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May 26, 2011</w:t>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50" w:right="239" w:bottom="1440" w:gutter="0" w:footer="0" w:header="0"/>
        </w:sectPr>
      </w:pPr>
    </w:p>
    <w:p>
      <w:pPr>
        <w:spacing w:after="0" w:line="261"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00" w:space="720"/>
            <w:col w:w="2580"/>
          </w:cols>
          <w:pgMar w:left="240" w:top="850" w:right="239" w:bottom="1440" w:gutter="0" w:footer="0" w:header="0"/>
          <w:type w:val="continuous"/>
        </w:sectPr>
      </w:pPr>
    </w:p>
    <w:p>
      <w:pPr>
        <w:spacing w:after="0" w:line="331" w:lineRule="exact"/>
        <w:rPr>
          <w:sz w:val="24"/>
          <w:szCs w:val="24"/>
          <w:color w:val="auto"/>
        </w:rPr>
      </w:pPr>
    </w:p>
    <w:p>
      <w:pPr>
        <w:ind w:left="3240" w:firstLine="1296"/>
        <w:spacing w:after="0" w:line="365" w:lineRule="auto"/>
        <w:rPr>
          <w:sz w:val="20"/>
          <w:szCs w:val="20"/>
          <w:color w:val="auto"/>
        </w:rPr>
      </w:pPr>
      <w:r>
        <w:rPr>
          <w:rFonts w:ascii="Arial" w:cs="Arial" w:eastAsia="Arial" w:hAnsi="Arial"/>
          <w:sz w:val="18"/>
          <w:szCs w:val="18"/>
          <w:b w:val="1"/>
          <w:bCs w:val="1"/>
          <w:color w:val="auto"/>
        </w:rPr>
        <w:t xml:space="preserve">280 Park Avenue, 38th Floor New York, New York 10017 </w:t>
      </w:r>
      <w:r>
        <w:rPr>
          <w:rFonts w:ascii="Arial" w:cs="Arial" w:eastAsia="Arial" w:hAnsi="Arial"/>
          <w:sz w:val="18"/>
          <w:szCs w:val="18"/>
          <w:color w:val="auto"/>
        </w:rPr>
        <w:t>(Address of principal executive offices) 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277-7100</w:t>
      </w:r>
    </w:p>
    <w:p>
      <w:pPr>
        <w:spacing w:after="0" w:line="301" w:lineRule="exact"/>
        <w:rPr>
          <w:sz w:val="24"/>
          <w:szCs w:val="24"/>
          <w:color w:val="auto"/>
        </w:rPr>
      </w:pPr>
    </w:p>
    <w:p>
      <w:pPr>
        <w:sectPr>
          <w:pgSz w:w="11900" w:h="16838" w:orient="portrait"/>
          <w:cols w:equalWidth="0" w:num="2">
            <w:col w:w="7060" w:space="0"/>
            <w:col w:w="4360"/>
          </w:cols>
          <w:pgMar w:left="240" w:top="85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address, if changed since last report)</w:t>
      </w:r>
    </w:p>
    <w:p>
      <w:pPr>
        <w:sectPr>
          <w:pgSz w:w="11900" w:h="16838" w:orient="portrait"/>
          <w:cols w:equalWidth="0" w:num="1">
            <w:col w:w="11420"/>
          </w:cols>
          <w:pgMar w:left="240" w:top="850" w:right="239" w:bottom="1440" w:gutter="0" w:footer="0" w:header="0"/>
          <w:type w:val="continuous"/>
        </w:sectPr>
      </w:pPr>
    </w:p>
    <w:p>
      <w:pPr>
        <w:spacing w:after="0" w:line="28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60" w:type="dxa"/>
            <w:vAlign w:val="bottom"/>
          </w:tcPr>
          <w:p>
            <w:pPr>
              <w:ind w:left="100"/>
              <w:spacing w:after="0"/>
              <w:rPr>
                <w:sz w:val="20"/>
                <w:szCs w:val="20"/>
                <w:color w:val="auto"/>
              </w:rPr>
            </w:pPr>
            <w:r>
              <w:rPr>
                <w:rFonts w:ascii="Arial" w:cs="Arial" w:eastAsia="Arial" w:hAnsi="Arial"/>
                <w:sz w:val="18"/>
                <w:szCs w:val="18"/>
                <w:color w:val="auto"/>
              </w:rPr>
              <w:t>Written communication pursuant to Rule 425 under the Securities Act (17 CFR 230.425)</w:t>
            </w:r>
          </w:p>
        </w:tc>
      </w:tr>
      <w:tr>
        <w:trPr>
          <w:trHeight w:val="432"/>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60" w:type="dxa"/>
            <w:vAlign w:val="bottom"/>
          </w:tcPr>
          <w:p>
            <w:pPr>
              <w:ind w:left="10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32"/>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60" w:type="dxa"/>
            <w:vAlign w:val="bottom"/>
          </w:tcPr>
          <w:p>
            <w:pPr>
              <w:ind w:left="1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32"/>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60" w:type="dxa"/>
            <w:vAlign w:val="bottom"/>
          </w:tcPr>
          <w:p>
            <w:pPr>
              <w:ind w:left="1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848"/>
        </w:trPr>
        <w:tc>
          <w:tcPr>
            <w:tcW w:w="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0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May 26, 2011, a credit agreement (the “Credit Agreement”) was entered into among ExlService Holdings, Inc. (“EXL”), as borrower, the other loan parties thereto, the lenders identified therein, and JPMorgan Chase Bank, N.A., as Administrative Agent (the “Agent”). The Credit Agreement provides for a $50 million revolving credit facility. EXL has an option to increase the commitments under the Credit Agreement by up to an additional $25 million, subject to certain approvals and conditions as set forth in the Credit Agreement. The loan facility also has a letter of credit subfacility.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Credit Agreement may be used for working capital and general corporate purposes of EXL and its subsidiaries.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EXL’s leverage ratio and ranges from 0.00% to 0.50% per annum with respect to loans (“ABR Loans”) pegged to the specified prime rate, and 2.00% to 2.50% per annum on loans (“Eurodollar Loans”) pegged to the adjusted LIBO rate (such applicable margin, the “Applicable Rate”). The revolving credit commitments under the Credit Agreement are subject to a commitment fee. The commitment fee is also tied to EXL’s leverage ratio, and ranges from 0.350% to 0.450% per annum on the average daily amount by which the aggregate revolving commitments exceed the sum of outstanding revolving loans and letter of credit obligations.</w:t>
      </w:r>
    </w:p>
    <w:p>
      <w:pPr>
        <w:spacing w:after="0" w:line="2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Credit Agreement will be guaranteed by EXL’s domestic subsidiaries. The obligations under the Credit Agreement will be secured by all or substantially all of the assets of the borrower and its material domestic subsidiaries.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Agreement contains customary affirmative and negative covenants (which are in some cases subject to certain exceptions), including, but not limited to, restrictions on the ability to incur additional indebtedness, create liens, make certain investments, make certain dividends and related distributions, enter into, or undertake, certain liquidations, mergers, consolidations or acquisitions and dispose of assets or subsidiaries. In addition, the Credit Agreement requires EXL to maintain a certain fixed charge coverage ratio and a leverage ratio.</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Credit Agreement contains customary events of default (which are in some cases subject to certain exceptions, thresholds, notice requirements and grace periods), including, but not limited to, nonpayment of principal or interest, breaches of representations and warranties, failure to perform or observe covenants, cross-defaults with certain other agreements or indebtedness, final judgments or orders, certain change of control events and certain bankruptcy-related events or proceedings.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description of the Credit Agreement is subject to, and qualified in its entirety by, the full text of the Credit Agreement, which EXL expects to file as an exhibit to its Quarterly Report on Form 10-Q for the quarter ending 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02" w:right="27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2.03. Creation of a Direct Financial Obligation or Obligations under an Off-Balance Sheet Arrangement of a Registrant.</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The disclosure required by this item is included in Item 1.01 of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936625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10" w:right="1440"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92" w:lineRule="exact"/>
        <w:rPr>
          <w:sz w:val="20"/>
          <w:szCs w:val="20"/>
          <w:color w:val="auto"/>
        </w:rPr>
      </w:pPr>
    </w:p>
    <w:p>
      <w:pPr>
        <w:spacing w:after="0"/>
        <w:tabs>
          <w:tab w:leader="none" w:pos="5720" w:val="left"/>
          <w:tab w:leader="none" w:pos="6400" w:val="left"/>
        </w:tabs>
        <w:rPr>
          <w:sz w:val="20"/>
          <w:szCs w:val="20"/>
          <w:color w:val="auto"/>
        </w:rPr>
      </w:pPr>
      <w:r>
        <w:rPr>
          <w:rFonts w:ascii="Arial" w:cs="Arial" w:eastAsia="Arial" w:hAnsi="Arial"/>
          <w:sz w:val="18"/>
          <w:szCs w:val="18"/>
          <w:color w:val="auto"/>
        </w:rPr>
        <w:t>Date: June 2,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2092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Amit Shashank</w:t>
      </w:r>
    </w:p>
    <w:p>
      <w:pPr>
        <w:spacing w:after="0" w:line="23" w:lineRule="exact"/>
        <w:rPr>
          <w:sz w:val="20"/>
          <w:szCs w:val="20"/>
          <w:color w:val="auto"/>
        </w:rPr>
      </w:pPr>
    </w:p>
    <w:p>
      <w:pPr>
        <w:ind w:left="6420"/>
        <w:spacing w:after="0"/>
        <w:tabs>
          <w:tab w:leader="none" w:pos="6980" w:val="left"/>
        </w:tabs>
        <w:rPr>
          <w:sz w:val="20"/>
          <w:szCs w:val="20"/>
          <w:color w:val="auto"/>
        </w:rPr>
      </w:pPr>
      <w:r>
        <w:rPr>
          <w:rFonts w:ascii="Arial" w:cs="Arial" w:eastAsia="Arial" w:hAnsi="Arial"/>
          <w:sz w:val="18"/>
          <w:szCs w:val="18"/>
          <w:color w:val="auto"/>
        </w:rPr>
        <w:t>Title:</w:t>
        <w:tab/>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40"/>
      </w:cols>
      <w:pgMar w:left="240" w:top="5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2019-12-11T00:40:43Z</dcterms:created>
  <dcterms:modified xsi:type="dcterms:W3CDTF">2019-12-11T00:40:43Z</dcterms:modified>
</cp:coreProperties>
</file>