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31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311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STAGLIN GAREN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06/22/2018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340" w:type="dxa"/>
            <w:vAlign w:val="bottom"/>
            <w:gridSpan w:val="2"/>
          </w:tcPr>
          <w:p>
            <w:pPr>
              <w:jc w:val="center"/>
              <w:ind w:left="28"/>
              <w:spacing w:after="0"/>
              <w:rPr>
                <w:sz w:val="20"/>
                <w:szCs w:val="20"/>
                <w:color w:val="auto"/>
              </w:rPr>
            </w:pPr>
            <w:r>
              <w:rPr>
                <w:rFonts w:ascii="Arial" w:cs="Arial" w:eastAsia="Arial" w:hAnsi="Arial"/>
                <w:sz w:val="18"/>
                <w:szCs w:val="18"/>
                <w:color w:val="0000FF"/>
                <w:w w:val="88"/>
              </w:rPr>
              <w:t>06/22/2018</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0000FF"/>
                <w:w w:val="84"/>
              </w:rPr>
              <w:t>1,854</w:t>
            </w:r>
          </w:p>
        </w:tc>
        <w:tc>
          <w:tcPr>
            <w:tcW w:w="64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360" w:type="dxa"/>
            <w:vAlign w:val="bottom"/>
            <w:gridSpan w:val="3"/>
          </w:tcPr>
          <w:p>
            <w:pPr>
              <w:ind w:left="480"/>
              <w:spacing w:after="0"/>
              <w:rPr>
                <w:sz w:val="20"/>
                <w:szCs w:val="20"/>
                <w:color w:val="auto"/>
              </w:rPr>
            </w:pPr>
            <w:r>
              <w:rPr>
                <w:rFonts w:ascii="Arial" w:cs="Arial" w:eastAsia="Arial" w:hAnsi="Arial"/>
                <w:sz w:val="18"/>
                <w:szCs w:val="18"/>
                <w:color w:val="0000FF"/>
              </w:rPr>
              <w:t>18,846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1"/>
          </w:tcPr>
          <w:p>
            <w:pPr>
              <w:jc w:val="right"/>
              <w:ind w:right="1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8"/>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8"/>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2"/>
                <w:szCs w:val="12"/>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12"/>
                <w:szCs w:val="12"/>
                <w:color w:val="auto"/>
              </w:rPr>
            </w:pPr>
          </w:p>
        </w:tc>
        <w:tc>
          <w:tcPr>
            <w:tcW w:w="640" w:type="dxa"/>
            <w:vAlign w:val="bottom"/>
          </w:tcPr>
          <w:p>
            <w:pPr>
              <w:ind w:left="8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6"/>
              <w:spacing w:after="0"/>
              <w:rPr>
                <w:sz w:val="20"/>
                <w:szCs w:val="20"/>
                <w:color w:val="auto"/>
              </w:rPr>
            </w:pPr>
            <w:r>
              <w:rPr>
                <w:rFonts w:ascii="Arial" w:cs="Arial" w:eastAsia="Arial" w:hAnsi="Arial"/>
                <w:sz w:val="18"/>
                <w:szCs w:val="18"/>
                <w:color w:val="0000FF"/>
                <w:w w:val="93"/>
              </w:rPr>
              <w:t>1,854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ind w:left="260"/>
              <w:spacing w:after="0" w:line="149" w:lineRule="exact"/>
              <w:rPr>
                <w:sz w:val="20"/>
                <w:szCs w:val="20"/>
                <w:color w:val="auto"/>
              </w:rPr>
            </w:pPr>
            <w:r>
              <w:rPr>
                <w:rFonts w:ascii="Arial" w:cs="Arial" w:eastAsia="Arial" w:hAnsi="Arial"/>
                <w:sz w:val="14"/>
                <w:szCs w:val="14"/>
                <w:color w:val="0000FF"/>
              </w:rPr>
              <w:t>06/22/2018</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920" w:type="dxa"/>
            <w:vAlign w:val="bottom"/>
          </w:tcPr>
          <w:p>
            <w:pPr>
              <w:ind w:left="480"/>
              <w:spacing w:after="0" w:line="149" w:lineRule="exact"/>
              <w:rPr>
                <w:sz w:val="20"/>
                <w:szCs w:val="20"/>
                <w:color w:val="auto"/>
              </w:rPr>
            </w:pPr>
            <w:r>
              <w:rPr>
                <w:rFonts w:ascii="Arial" w:cs="Arial" w:eastAsia="Arial" w:hAnsi="Arial"/>
                <w:sz w:val="14"/>
                <w:szCs w:val="14"/>
                <w:color w:val="0000FF"/>
              </w:rPr>
              <w:t>1,854</w:t>
            </w:r>
          </w:p>
        </w:tc>
        <w:tc>
          <w:tcPr>
            <w:tcW w:w="6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20"/>
              <w:spacing w:after="0" w:line="149" w:lineRule="exact"/>
              <w:rPr>
                <w:sz w:val="20"/>
                <w:szCs w:val="20"/>
                <w:color w:val="auto"/>
              </w:rPr>
            </w:pPr>
            <w:r>
              <w:rPr>
                <w:rFonts w:ascii="Arial" w:cs="Arial" w:eastAsia="Arial" w:hAnsi="Arial"/>
                <w:sz w:val="14"/>
                <w:szCs w:val="14"/>
                <w:color w:val="0000FF"/>
                <w:w w:val="88"/>
              </w:rPr>
              <w:t>51,200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ind w:left="6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June 22, 2017, the reporting person was granted 1,854 restricted stock units, that vest upon the earlier of (i) the first anniversary of the date of grant, (ii) the end of the reporting person's term on the Board if such person is not subsequently elected to a new term on the Board, and (iii) the occurrence of a "Change of Control", as defined in the Plan, and such awards settle upon the earlier of (i) the reporting person's death, (ii) the occurrence of a "Change of Control", as defined in the Plan or (iii) the vesting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06/26/2018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2019-12-04T01:58:18Z</dcterms:created>
  <dcterms:modified xsi:type="dcterms:W3CDTF">2019-12-04T01:58:18Z</dcterms:modified>
</cp:coreProperties>
</file>