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829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829550"/>
                    </a:xfrm>
                    <a:prstGeom prst="rect">
                      <a:avLst/>
                    </a:prstGeom>
                    <a:noFill/>
                  </pic:spPr>
                </pic:pic>
              </a:graphicData>
            </a:graphic>
          </wp:anchor>
        </w:drawing>
      </w:r>
    </w:p>
    <w:p>
      <w:pPr>
        <w:spacing w:after="0" w:line="32" w:lineRule="exact"/>
        <w:rPr>
          <w:sz w:val="24"/>
          <w:szCs w:val="24"/>
          <w:color w:val="auto"/>
        </w:rPr>
      </w:pPr>
    </w:p>
    <w:p>
      <w:pPr>
        <w:sectPr>
          <w:pgSz w:w="11900" w:h="16853"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1"/>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FINANCIAL TECHNOLOGY</w:t>
              </w:r>
            </w:hyperlink>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gridSpan w:val="7"/>
            <w:vMerge w:val="continue"/>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gridSpan w:val="2"/>
            <w:vMerge w:val="restart"/>
          </w:tcPr>
          <w:p>
            <w:pPr>
              <w:ind w:left="28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1580" w:type="dxa"/>
            <w:vAlign w:val="bottom"/>
            <w:gridSpan w:val="5"/>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40" w:type="dxa"/>
            <w:vAlign w:val="bottom"/>
            <w:gridSpan w:val="7"/>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tcBorders>
              <w:top w:val="single" w:sz="8" w:color="0000EE"/>
            </w:tcBorders>
            <w:gridSpan w:val="5"/>
            <w:vMerge w:val="restart"/>
          </w:tcPr>
          <w:p>
            <w:pPr>
              <w:spacing w:after="0" w:line="223" w:lineRule="exact"/>
              <w:rPr>
                <w:rFonts w:ascii="Arial" w:cs="Arial" w:eastAsia="Arial" w:hAnsi="Arial"/>
                <w:sz w:val="22"/>
                <w:szCs w:val="22"/>
                <w:color w:val="0000EE"/>
              </w:rPr>
            </w:pPr>
            <w:hyperlink r:id="rId12">
              <w:r>
                <w:rPr>
                  <w:rFonts w:ascii="Arial" w:cs="Arial" w:eastAsia="Arial" w:hAnsi="Arial"/>
                  <w:sz w:val="22"/>
                  <w:szCs w:val="22"/>
                  <w:color w:val="0000EE"/>
                </w:rPr>
                <w:t>MANAGEMENT II, LLC</w:t>
              </w:r>
            </w:hyperlink>
          </w:p>
        </w:tc>
        <w:tc>
          <w:tcPr>
            <w:tcW w:w="16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3"/>
            <w:vMerge w:val="restart"/>
          </w:tcPr>
          <w:p>
            <w:pPr>
              <w:ind w:left="28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gridSpan w:val="2"/>
            <w:vMerge w:val="restart"/>
          </w:tcPr>
          <w:p>
            <w:pPr>
              <w:ind w:left="280"/>
              <w:spacing w:after="0" w:line="102" w:lineRule="exact"/>
              <w:rPr>
                <w:sz w:val="20"/>
                <w:szCs w:val="20"/>
                <w:color w:val="auto"/>
              </w:rPr>
            </w:pPr>
            <w:r>
              <w:rPr>
                <w:rFonts w:ascii="Arial" w:cs="Arial" w:eastAsia="Arial" w:hAnsi="Arial"/>
                <w:sz w:val="11"/>
                <w:szCs w:val="11"/>
                <w:color w:val="auto"/>
              </w:rPr>
              <w:t>below)</w:t>
            </w:r>
          </w:p>
        </w:tc>
        <w:tc>
          <w:tcPr>
            <w:tcW w:w="30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440" w:type="dxa"/>
            <w:vAlign w:val="bottom"/>
            <w:gridSpan w:val="2"/>
            <w:vMerge w:val="restart"/>
          </w:tcPr>
          <w:p>
            <w:pPr>
              <w:ind w:left="20"/>
              <w:spacing w:after="0" w:line="102" w:lineRule="exact"/>
              <w:rPr>
                <w:sz w:val="20"/>
                <w:szCs w:val="20"/>
                <w:color w:val="auto"/>
              </w:rPr>
            </w:pPr>
            <w:r>
              <w:rPr>
                <w:rFonts w:ascii="Arial" w:cs="Arial" w:eastAsia="Arial" w:hAnsi="Arial"/>
                <w:sz w:val="11"/>
                <w:szCs w:val="11"/>
                <w:color w:val="auto"/>
              </w:rPr>
              <w:t>below)</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gridSpan w:val="3"/>
            <w:vMerge w:val="restart"/>
          </w:tcPr>
          <w:p>
            <w:pPr>
              <w:ind w:left="240"/>
              <w:spacing w:after="0"/>
              <w:rPr>
                <w:sz w:val="20"/>
                <w:szCs w:val="20"/>
                <w:color w:val="auto"/>
              </w:rPr>
            </w:pPr>
            <w:r>
              <w:rPr>
                <w:rFonts w:ascii="Arial" w:cs="Arial" w:eastAsia="Arial" w:hAnsi="Arial"/>
                <w:sz w:val="18"/>
                <w:szCs w:val="18"/>
                <w:color w:val="0000FF"/>
                <w:w w:val="82"/>
              </w:rPr>
              <w:t>See Footnote 1</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00" w:type="dxa"/>
            <w:vAlign w:val="bottom"/>
            <w:gridSpan w:val="2"/>
          </w:tcPr>
          <w:p>
            <w:pPr>
              <w:spacing w:after="0"/>
              <w:rPr>
                <w:sz w:val="20"/>
                <w:szCs w:val="20"/>
                <w:color w:val="auto"/>
              </w:rPr>
            </w:pPr>
            <w:r>
              <w:rPr>
                <w:rFonts w:ascii="Arial" w:cs="Arial" w:eastAsia="Arial" w:hAnsi="Arial"/>
                <w:sz w:val="14"/>
                <w:szCs w:val="14"/>
                <w:color w:val="auto"/>
                <w:w w:val="94"/>
              </w:rPr>
              <w:t>(Middle)</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0000FF"/>
              </w:rPr>
              <w:t>05/02/2007</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40" w:type="dxa"/>
            <w:vAlign w:val="bottom"/>
            <w:gridSpan w:val="7"/>
          </w:tcPr>
          <w:p>
            <w:pPr>
              <w:spacing w:after="0"/>
              <w:rPr>
                <w:sz w:val="20"/>
                <w:szCs w:val="20"/>
                <w:color w:val="auto"/>
              </w:rPr>
            </w:pPr>
            <w:r>
              <w:rPr>
                <w:rFonts w:ascii="Arial" w:cs="Arial" w:eastAsia="Arial" w:hAnsi="Arial"/>
                <w:sz w:val="18"/>
                <w:szCs w:val="18"/>
                <w:color w:val="0000FF"/>
                <w:w w:val="92"/>
              </w:rPr>
              <w:t>555 CALIFORNIA STREET, SUITE 2900</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3"/>
          </w:tcPr>
          <w:p>
            <w:pPr>
              <w:spacing w:after="0"/>
              <w:rPr>
                <w:sz w:val="13"/>
                <w:szCs w:val="13"/>
                <w:color w:val="auto"/>
              </w:rPr>
            </w:pPr>
          </w:p>
        </w:tc>
        <w:tc>
          <w:tcPr>
            <w:tcW w:w="940" w:type="dxa"/>
            <w:vAlign w:val="bottom"/>
            <w:tcBorders>
              <w:bottom w:val="single" w:sz="8" w:color="2C2C2C"/>
            </w:tcBorders>
            <w:gridSpan w:val="3"/>
          </w:tcPr>
          <w:p>
            <w:pPr>
              <w:spacing w:after="0"/>
              <w:rPr>
                <w:sz w:val="13"/>
                <w:szCs w:val="13"/>
                <w:color w:val="auto"/>
              </w:rPr>
            </w:pPr>
          </w:p>
        </w:tc>
        <w:tc>
          <w:tcPr>
            <w:tcW w:w="1240" w:type="dxa"/>
            <w:vAlign w:val="bottom"/>
            <w:tcBorders>
              <w:bottom w:val="single" w:sz="8" w:color="2C2C2C"/>
            </w:tcBorders>
            <w:gridSpan w:val="2"/>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gridSpan w:val="2"/>
          </w:tcPr>
          <w:p>
            <w:pPr>
              <w:spacing w:after="0"/>
              <w:rPr>
                <w:sz w:val="13"/>
                <w:szCs w:val="13"/>
                <w:color w:val="auto"/>
              </w:rPr>
            </w:pPr>
          </w:p>
        </w:tc>
        <w:tc>
          <w:tcPr>
            <w:tcW w:w="3080" w:type="dxa"/>
            <w:vAlign w:val="bottom"/>
            <w:tcBorders>
              <w:bottom w:val="single" w:sz="8" w:color="2C2C2C"/>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28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340" w:type="dxa"/>
            <w:vAlign w:val="bottom"/>
            <w:tcBorders>
              <w:bottom w:val="single" w:sz="8" w:color="9A9A9A"/>
            </w:tcBorders>
          </w:tcPr>
          <w:p>
            <w:pPr>
              <w:spacing w:after="0"/>
              <w:rPr>
                <w:sz w:val="2"/>
                <w:szCs w:val="2"/>
                <w:color w:val="auto"/>
              </w:rPr>
            </w:pPr>
          </w:p>
        </w:tc>
        <w:tc>
          <w:tcPr>
            <w:tcW w:w="700" w:type="dxa"/>
            <w:vAlign w:val="bottom"/>
            <w:tcBorders>
              <w:bottom w:val="single" w:sz="8" w:color="9A9A9A"/>
            </w:tcBorders>
          </w:tcPr>
          <w:p>
            <w:pPr>
              <w:spacing w:after="0"/>
              <w:rPr>
                <w:sz w:val="2"/>
                <w:szCs w:val="2"/>
                <w:color w:val="auto"/>
              </w:rPr>
            </w:pPr>
          </w:p>
        </w:tc>
        <w:tc>
          <w:tcPr>
            <w:tcW w:w="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60" w:type="dxa"/>
            <w:vAlign w:val="bottom"/>
            <w:gridSpan w:val="8"/>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360" w:type="dxa"/>
            <w:vAlign w:val="bottom"/>
            <w:gridSpan w:val="11"/>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gridSpan w:val="8"/>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6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spacing w:after="0" w:line="141" w:lineRule="exact"/>
              <w:rPr>
                <w:sz w:val="20"/>
                <w:szCs w:val="20"/>
                <w:color w:val="auto"/>
              </w:rPr>
            </w:pPr>
            <w:r>
              <w:rPr>
                <w:rFonts w:ascii="Arial" w:cs="Arial" w:eastAsia="Arial" w:hAnsi="Arial"/>
                <w:sz w:val="14"/>
                <w:szCs w:val="14"/>
                <w:color w:val="auto"/>
              </w:rPr>
              <w:t>Line)</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vMerge w:val="restart"/>
          </w:tcPr>
          <w:p>
            <w:pPr>
              <w:spacing w:after="0"/>
              <w:rPr>
                <w:sz w:val="20"/>
                <w:szCs w:val="20"/>
                <w:color w:val="auto"/>
              </w:rPr>
            </w:pPr>
            <w:r>
              <w:rPr>
                <w:rFonts w:ascii="Arial" w:cs="Arial" w:eastAsia="Arial" w:hAnsi="Arial"/>
                <w:sz w:val="18"/>
                <w:szCs w:val="18"/>
                <w:color w:val="0000FF"/>
                <w:w w:val="95"/>
              </w:rPr>
              <w:t>94104</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8"/>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300"/>
              <w:spacing w:after="0" w:line="102" w:lineRule="exact"/>
              <w:rPr>
                <w:sz w:val="20"/>
                <w:szCs w:val="20"/>
                <w:color w:val="auto"/>
              </w:rPr>
            </w:pPr>
            <w:r>
              <w:rPr>
                <w:rFonts w:ascii="Arial" w:cs="Arial" w:eastAsia="Arial" w:hAnsi="Arial"/>
                <w:sz w:val="11"/>
                <w:szCs w:val="11"/>
                <w:color w:val="auto"/>
              </w:rPr>
              <w:t>Person</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00" w:type="dxa"/>
            <w:vAlign w:val="bottom"/>
            <w:gridSpan w:val="2"/>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23"/>
          </w:tcPr>
          <w:p>
            <w:pPr>
              <w:jc w:val="center"/>
              <w:ind w:left="17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2. Transaction</w:t>
            </w:r>
          </w:p>
        </w:tc>
        <w:tc>
          <w:tcPr>
            <w:tcW w:w="18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5"/>
          </w:tcPr>
          <w:p>
            <w:pPr>
              <w:jc w:val="center"/>
              <w:ind w:right="5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26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8"/>
            <w:vMerge w:val="restart"/>
          </w:tcPr>
          <w:p>
            <w:pPr>
              <w:ind w:left="60"/>
              <w:spacing w:after="0"/>
              <w:rPr>
                <w:sz w:val="20"/>
                <w:szCs w:val="20"/>
                <w:color w:val="auto"/>
              </w:rPr>
            </w:pPr>
            <w:r>
              <w:rPr>
                <w:rFonts w:ascii="Arial" w:cs="Arial" w:eastAsia="Arial" w:hAnsi="Arial"/>
                <w:sz w:val="18"/>
                <w:szCs w:val="18"/>
                <w:color w:val="0000FF"/>
              </w:rPr>
              <w:t>Common Stock, par value $0.001 per</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Financial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920" w:type="dxa"/>
            <w:vAlign w:val="bottom"/>
            <w:gridSpan w:val="4"/>
            <w:vMerge w:val="restart"/>
          </w:tcPr>
          <w:p>
            <w:pPr>
              <w:jc w:val="center"/>
              <w:ind w:left="2"/>
              <w:spacing w:after="0"/>
              <w:rPr>
                <w:sz w:val="20"/>
                <w:szCs w:val="20"/>
                <w:color w:val="auto"/>
              </w:rPr>
            </w:pPr>
            <w:r>
              <w:rPr>
                <w:rFonts w:ascii="Arial" w:cs="Arial" w:eastAsia="Arial" w:hAnsi="Arial"/>
                <w:sz w:val="18"/>
                <w:szCs w:val="18"/>
                <w:color w:val="0000FF"/>
                <w:w w:val="88"/>
              </w:rPr>
              <w:t>05/02/2007</w:t>
            </w: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820" w:type="dxa"/>
            <w:vAlign w:val="bottom"/>
            <w:gridSpan w:val="2"/>
            <w:vMerge w:val="restart"/>
          </w:tcPr>
          <w:p>
            <w:pPr>
              <w:jc w:val="center"/>
              <w:ind w:right="59"/>
              <w:spacing w:after="0"/>
              <w:rPr>
                <w:sz w:val="20"/>
                <w:szCs w:val="20"/>
                <w:color w:val="auto"/>
              </w:rPr>
            </w:pPr>
            <w:r>
              <w:rPr>
                <w:rFonts w:ascii="Arial" w:cs="Arial" w:eastAsia="Arial" w:hAnsi="Arial"/>
                <w:sz w:val="18"/>
                <w:szCs w:val="18"/>
                <w:color w:val="0000FF"/>
                <w:w w:val="89"/>
              </w:rPr>
              <w:t>184,902</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720" w:type="dxa"/>
            <w:vAlign w:val="bottom"/>
            <w:gridSpan w:val="4"/>
            <w:vMerge w:val="restart"/>
          </w:tcPr>
          <w:p>
            <w:pPr>
              <w:ind w:left="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22.5554</w:t>
            </w: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1,561,806</w:t>
            </w:r>
          </w:p>
        </w:tc>
        <w:tc>
          <w:tcPr>
            <w:tcW w:w="300" w:type="dxa"/>
            <w:vAlign w:val="bottom"/>
          </w:tcPr>
          <w:p>
            <w:pPr>
              <w:spacing w:after="0"/>
              <w:rPr>
                <w:sz w:val="9"/>
                <w:szCs w:val="9"/>
                <w:color w:val="auto"/>
              </w:rPr>
            </w:pPr>
          </w:p>
        </w:tc>
        <w:tc>
          <w:tcPr>
            <w:tcW w:w="3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2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w w:val="96"/>
              </w:rPr>
              <w:t>Technology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rPr>
              <w:t>Ventures II</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(Q), L.P.</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8"/>
            <w:vMerge w:val="restart"/>
          </w:tcPr>
          <w:p>
            <w:pPr>
              <w:ind w:left="60"/>
              <w:spacing w:after="0"/>
              <w:rPr>
                <w:sz w:val="20"/>
                <w:szCs w:val="20"/>
                <w:color w:val="auto"/>
              </w:rPr>
            </w:pPr>
            <w:r>
              <w:rPr>
                <w:rFonts w:ascii="Arial" w:cs="Arial" w:eastAsia="Arial" w:hAnsi="Arial"/>
                <w:sz w:val="18"/>
                <w:szCs w:val="18"/>
                <w:color w:val="0000FF"/>
              </w:rPr>
              <w:t>Common Stock, par value $0.001 per</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Financial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920" w:type="dxa"/>
            <w:vAlign w:val="bottom"/>
            <w:gridSpan w:val="4"/>
            <w:vMerge w:val="restart"/>
          </w:tcPr>
          <w:p>
            <w:pPr>
              <w:jc w:val="center"/>
              <w:ind w:left="2"/>
              <w:spacing w:after="0"/>
              <w:rPr>
                <w:sz w:val="20"/>
                <w:szCs w:val="20"/>
                <w:color w:val="auto"/>
              </w:rPr>
            </w:pPr>
            <w:r>
              <w:rPr>
                <w:rFonts w:ascii="Arial" w:cs="Arial" w:eastAsia="Arial" w:hAnsi="Arial"/>
                <w:sz w:val="18"/>
                <w:szCs w:val="18"/>
                <w:color w:val="0000FF"/>
                <w:w w:val="88"/>
              </w:rPr>
              <w:t>05/02/2007</w:t>
            </w: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820" w:type="dxa"/>
            <w:vAlign w:val="bottom"/>
            <w:gridSpan w:val="2"/>
            <w:vMerge w:val="restart"/>
          </w:tcPr>
          <w:p>
            <w:pPr>
              <w:jc w:val="center"/>
              <w:ind w:right="39"/>
              <w:spacing w:after="0"/>
              <w:rPr>
                <w:sz w:val="20"/>
                <w:szCs w:val="20"/>
                <w:color w:val="auto"/>
              </w:rPr>
            </w:pPr>
            <w:r>
              <w:rPr>
                <w:rFonts w:ascii="Arial" w:cs="Arial" w:eastAsia="Arial" w:hAnsi="Arial"/>
                <w:sz w:val="18"/>
                <w:szCs w:val="18"/>
                <w:color w:val="0000FF"/>
                <w:w w:val="87"/>
              </w:rPr>
              <w:t>36,284</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720" w:type="dxa"/>
            <w:vAlign w:val="bottom"/>
            <w:gridSpan w:val="4"/>
            <w:vMerge w:val="restart"/>
          </w:tcPr>
          <w:p>
            <w:pPr>
              <w:ind w:left="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22.4707</w:t>
            </w: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1,525,522</w:t>
            </w:r>
          </w:p>
        </w:tc>
        <w:tc>
          <w:tcPr>
            <w:tcW w:w="300" w:type="dxa"/>
            <w:vAlign w:val="bottom"/>
          </w:tcPr>
          <w:p>
            <w:pPr>
              <w:spacing w:after="0"/>
              <w:rPr>
                <w:sz w:val="9"/>
                <w:szCs w:val="9"/>
                <w:color w:val="auto"/>
              </w:rPr>
            </w:pPr>
          </w:p>
        </w:tc>
        <w:tc>
          <w:tcPr>
            <w:tcW w:w="3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2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w w:val="96"/>
              </w:rPr>
              <w:t>Technology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rPr>
              <w:t>Ventures II</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(Q), L.P.</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8"/>
            <w:vMerge w:val="restart"/>
          </w:tcPr>
          <w:p>
            <w:pPr>
              <w:ind w:left="60"/>
              <w:spacing w:after="0"/>
              <w:rPr>
                <w:sz w:val="20"/>
                <w:szCs w:val="20"/>
                <w:color w:val="auto"/>
              </w:rPr>
            </w:pPr>
            <w:r>
              <w:rPr>
                <w:rFonts w:ascii="Arial" w:cs="Arial" w:eastAsia="Arial" w:hAnsi="Arial"/>
                <w:sz w:val="18"/>
                <w:szCs w:val="18"/>
                <w:color w:val="0000FF"/>
              </w:rPr>
              <w:t>Common Stock, par value $0.001 per</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Financial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920" w:type="dxa"/>
            <w:vAlign w:val="bottom"/>
            <w:gridSpan w:val="4"/>
            <w:vMerge w:val="restart"/>
          </w:tcPr>
          <w:p>
            <w:pPr>
              <w:jc w:val="center"/>
              <w:ind w:left="2"/>
              <w:spacing w:after="0"/>
              <w:rPr>
                <w:sz w:val="20"/>
                <w:szCs w:val="20"/>
                <w:color w:val="auto"/>
              </w:rPr>
            </w:pPr>
            <w:r>
              <w:rPr>
                <w:rFonts w:ascii="Arial" w:cs="Arial" w:eastAsia="Arial" w:hAnsi="Arial"/>
                <w:sz w:val="18"/>
                <w:szCs w:val="18"/>
                <w:color w:val="0000FF"/>
                <w:w w:val="88"/>
              </w:rPr>
              <w:t>05/02/2007</w:t>
            </w: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820" w:type="dxa"/>
            <w:vAlign w:val="bottom"/>
            <w:gridSpan w:val="2"/>
            <w:vMerge w:val="restart"/>
          </w:tcPr>
          <w:p>
            <w:pPr>
              <w:jc w:val="center"/>
              <w:ind w:right="59"/>
              <w:spacing w:after="0"/>
              <w:rPr>
                <w:sz w:val="20"/>
                <w:szCs w:val="20"/>
                <w:color w:val="auto"/>
              </w:rPr>
            </w:pPr>
            <w:r>
              <w:rPr>
                <w:rFonts w:ascii="Arial" w:cs="Arial" w:eastAsia="Arial" w:hAnsi="Arial"/>
                <w:sz w:val="18"/>
                <w:szCs w:val="18"/>
                <w:color w:val="0000FF"/>
                <w:w w:val="84"/>
              </w:rPr>
              <w:t>1,098</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720" w:type="dxa"/>
            <w:vAlign w:val="bottom"/>
            <w:gridSpan w:val="4"/>
            <w:vMerge w:val="restart"/>
          </w:tcPr>
          <w:p>
            <w:pPr>
              <w:ind w:left="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22.5554</w:t>
            </w: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4"/>
              </w:rPr>
              <w:t>9,278</w:t>
            </w:r>
          </w:p>
        </w:tc>
        <w:tc>
          <w:tcPr>
            <w:tcW w:w="300" w:type="dxa"/>
            <w:vAlign w:val="bottom"/>
          </w:tcPr>
          <w:p>
            <w:pPr>
              <w:spacing w:after="0"/>
              <w:rPr>
                <w:sz w:val="9"/>
                <w:szCs w:val="9"/>
                <w:color w:val="auto"/>
              </w:rPr>
            </w:pPr>
          </w:p>
        </w:tc>
        <w:tc>
          <w:tcPr>
            <w:tcW w:w="3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2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w w:val="96"/>
              </w:rPr>
              <w:t>Technology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w w:val="97"/>
              </w:rPr>
              <w:t>Ventures II,</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8"/>
            <w:vMerge w:val="restart"/>
          </w:tcPr>
          <w:p>
            <w:pPr>
              <w:ind w:left="60"/>
              <w:spacing w:after="0"/>
              <w:rPr>
                <w:sz w:val="20"/>
                <w:szCs w:val="20"/>
                <w:color w:val="auto"/>
              </w:rPr>
            </w:pPr>
            <w:r>
              <w:rPr>
                <w:rFonts w:ascii="Arial" w:cs="Arial" w:eastAsia="Arial" w:hAnsi="Arial"/>
                <w:sz w:val="18"/>
                <w:szCs w:val="18"/>
                <w:color w:val="0000FF"/>
              </w:rPr>
              <w:t>Common Stock, par value $0.001 per</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Financial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920" w:type="dxa"/>
            <w:vAlign w:val="bottom"/>
            <w:gridSpan w:val="4"/>
            <w:vMerge w:val="restart"/>
          </w:tcPr>
          <w:p>
            <w:pPr>
              <w:jc w:val="center"/>
              <w:ind w:left="2"/>
              <w:spacing w:after="0"/>
              <w:rPr>
                <w:sz w:val="20"/>
                <w:szCs w:val="20"/>
                <w:color w:val="auto"/>
              </w:rPr>
            </w:pPr>
            <w:r>
              <w:rPr>
                <w:rFonts w:ascii="Arial" w:cs="Arial" w:eastAsia="Arial" w:hAnsi="Arial"/>
                <w:sz w:val="18"/>
                <w:szCs w:val="18"/>
                <w:color w:val="0000FF"/>
                <w:w w:val="88"/>
              </w:rPr>
              <w:t>05/02/2007</w:t>
            </w: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820" w:type="dxa"/>
            <w:vAlign w:val="bottom"/>
            <w:gridSpan w:val="2"/>
            <w:vMerge w:val="restart"/>
          </w:tcPr>
          <w:p>
            <w:pPr>
              <w:jc w:val="center"/>
              <w:ind w:right="59"/>
              <w:spacing w:after="0"/>
              <w:rPr>
                <w:sz w:val="20"/>
                <w:szCs w:val="20"/>
                <w:color w:val="auto"/>
              </w:rPr>
            </w:pPr>
            <w:r>
              <w:rPr>
                <w:rFonts w:ascii="Arial" w:cs="Arial" w:eastAsia="Arial" w:hAnsi="Arial"/>
                <w:sz w:val="18"/>
                <w:szCs w:val="18"/>
                <w:color w:val="0000FF"/>
                <w:w w:val="86"/>
              </w:rPr>
              <w:t>216</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720" w:type="dxa"/>
            <w:vAlign w:val="bottom"/>
            <w:gridSpan w:val="4"/>
            <w:vMerge w:val="restart"/>
          </w:tcPr>
          <w:p>
            <w:pPr>
              <w:ind w:left="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22.4707</w:t>
            </w: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4"/>
              </w:rPr>
              <w:t>9,062</w:t>
            </w:r>
          </w:p>
        </w:tc>
        <w:tc>
          <w:tcPr>
            <w:tcW w:w="300" w:type="dxa"/>
            <w:vAlign w:val="bottom"/>
          </w:tcPr>
          <w:p>
            <w:pPr>
              <w:spacing w:after="0"/>
              <w:rPr>
                <w:sz w:val="9"/>
                <w:szCs w:val="9"/>
                <w:color w:val="auto"/>
              </w:rPr>
            </w:pPr>
          </w:p>
        </w:tc>
        <w:tc>
          <w:tcPr>
            <w:tcW w:w="3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2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w w:val="96"/>
              </w:rPr>
              <w:t>Technology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w w:val="97"/>
              </w:rPr>
              <w:t>Ventures II,</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540" w:type="dxa"/>
            <w:vAlign w:val="bottom"/>
            <w:tcBorders>
              <w:top w:val="single" w:sz="8" w:color="2C2C2C"/>
            </w:tcBorders>
            <w:gridSpan w:val="21"/>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00" w:type="dxa"/>
            <w:vAlign w:val="bottom"/>
            <w:gridSpan w:val="16"/>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4"/>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Financial Technology Management II, LLC ("FTM") is the general partner of Financial Technology Ventures II (Q), L.P. ("FTVQ") and Financial Technology Ventures II, L.P. ("FTV"). Pursuant to Rule 16a-1(a)(2)(ii)(B) under the Securities Exchange Act of 1934, as amended (the "Act"), FTM is deemed to be a beneficial owner of the securities owned by FTVQ and FTV only to the extent of the greater of its respective direct or indirect interest in the profits or capital account of FTVQ and FTV. Pursuant to Rule 16a-1(a)(4) under the Act, this filing shall not be deemed an admission that FTM is, for purposes of Section 16 of the Act or otherwise, the beneficial owner of any securities owned by FTVQ or FTV in excess of such amount.</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0000FF"/>
                <w:w w:val="88"/>
              </w:rPr>
              <w:t>/s/ Richard N. Garman</w:t>
            </w:r>
          </w:p>
        </w:tc>
        <w:tc>
          <w:tcPr>
            <w:tcW w:w="52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05/04/2007</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53" w:orient="portrait"/>
          <w:cols w:equalWidth="0" w:num="1">
            <w:col w:w="11420"/>
          </w:cols>
          <w:pgMar w:left="240" w:top="226" w:right="2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91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2019-12-16T21:24:17Z</dcterms:created>
  <dcterms:modified xsi:type="dcterms:W3CDTF">2019-12-16T21:24:17Z</dcterms:modified>
</cp:coreProperties>
</file>