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77"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Date of Report (Date of earliest event reported): July 27, 2023</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174" w:right="339" w:bottom="1440" w:gutter="0" w:footer="0" w:header="0"/>
        </w:sectPr>
      </w:pPr>
    </w:p>
    <w:p>
      <w:pPr>
        <w:spacing w:after="0" w:line="134"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60" w:space="720"/>
            <w:col w:w="2980" w:space="720"/>
            <w:col w:w="2260"/>
          </w:cols>
          <w:pgMar w:left="320" w:top="1174" w:right="339" w:bottom="1440" w:gutter="0" w:footer="0" w:header="0"/>
          <w:type w:val="continuous"/>
        </w:sectPr>
      </w:pPr>
    </w:p>
    <w:p>
      <w:pPr>
        <w:jc w:val="center"/>
        <w:ind w:right="240"/>
        <w:spacing w:after="0"/>
        <w:rPr>
          <w:sz w:val="20"/>
          <w:szCs w:val="20"/>
          <w:color w:val="auto"/>
        </w:rPr>
      </w:pPr>
      <w:r>
        <w:rPr>
          <w:rFonts w:ascii="Arial" w:cs="Arial" w:eastAsia="Arial" w:hAnsi="Arial"/>
          <w:sz w:val="16"/>
          <w:szCs w:val="16"/>
          <w:color w:val="auto"/>
        </w:rPr>
        <w:t>(State or other jurisdiction</w:t>
      </w:r>
    </w:p>
    <w:p>
      <w:pPr>
        <w:jc w:val="center"/>
        <w:ind w:right="24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74"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174"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174"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8"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174" w:right="339" w:bottom="1440" w:gutter="0" w:footer="0" w:header="0"/>
          <w:type w:val="continuous"/>
        </w:sectPr>
      </w:pPr>
    </w:p>
    <w:p>
      <w:pPr>
        <w:spacing w:after="0" w:line="27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68" w:lineRule="exact"/>
        <w:rPr>
          <w:rFonts w:ascii="MS PGothic" w:cs="MS PGothic" w:eastAsia="MS PGothic" w:hAnsi="MS PGothic"/>
          <w:sz w:val="22"/>
          <w:szCs w:val="22"/>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55" w:lineRule="exact"/>
        <w:rPr>
          <w:rFonts w:ascii="MS PGothic" w:cs="MS PGothic" w:eastAsia="MS PGothic" w:hAnsi="MS PGothic"/>
          <w:sz w:val="22"/>
          <w:szCs w:val="22"/>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68" w:lineRule="exact"/>
        <w:rPr>
          <w:rFonts w:ascii="MS PGothic" w:cs="MS PGothic" w:eastAsia="MS PGothic" w:hAnsi="MS PGothic"/>
          <w:sz w:val="22"/>
          <w:szCs w:val="22"/>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40" w:right="460" w:hanging="614"/>
        <w:spacing w:after="0" w:line="217"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1517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EXLS</w:t>
            </w:r>
          </w:p>
        </w:tc>
        <w:tc>
          <w:tcPr>
            <w:tcW w:w="4240" w:type="dxa"/>
            <w:vAlign w:val="bottom"/>
            <w:gridSpan w:val="2"/>
          </w:tcPr>
          <w:p>
            <w:pPr>
              <w:jc w:val="center"/>
              <w:ind w:right="40"/>
              <w:spacing w:after="0"/>
              <w:rPr>
                <w:sz w:val="20"/>
                <w:szCs w:val="20"/>
                <w:color w:val="auto"/>
              </w:rPr>
            </w:pPr>
            <w:r>
              <w:rPr>
                <w:rFonts w:ascii="Arial" w:cs="Arial" w:eastAsia="Arial" w:hAnsi="Arial"/>
                <w:sz w:val="16"/>
                <w:szCs w:val="16"/>
                <w:color w:val="auto"/>
              </w:rPr>
              <w:t>NASDAQ</w:t>
            </w:r>
          </w:p>
        </w:tc>
      </w:tr>
      <w:tr>
        <w:trPr>
          <w:trHeight w:val="348"/>
        </w:trPr>
        <w:tc>
          <w:tcPr>
            <w:tcW w:w="20" w:type="dxa"/>
            <w:vAlign w:val="bottom"/>
            <w:tcBorders>
              <w:bottom w:val="single" w:sz="8" w:color="auto"/>
            </w:tcBorders>
          </w:tcPr>
          <w:p>
            <w:pPr>
              <w:spacing w:after="0"/>
              <w:rPr>
                <w:sz w:val="24"/>
                <w:szCs w:val="24"/>
                <w:color w:val="auto"/>
              </w:rPr>
            </w:pPr>
          </w:p>
        </w:tc>
        <w:tc>
          <w:tcPr>
            <w:tcW w:w="3740" w:type="dxa"/>
            <w:vAlign w:val="bottom"/>
            <w:tcBorders>
              <w:top w:val="single" w:sz="8" w:color="auto"/>
              <w:bottom w:val="single" w:sz="8" w:color="auto"/>
            </w:tcBorders>
          </w:tcPr>
          <w:p>
            <w:pPr>
              <w:spacing w:after="0"/>
              <w:rPr>
                <w:sz w:val="24"/>
                <w:szCs w:val="24"/>
                <w:color w:val="auto"/>
              </w:rPr>
            </w:pPr>
          </w:p>
        </w:tc>
        <w:tc>
          <w:tcPr>
            <w:tcW w:w="3240" w:type="dxa"/>
            <w:vAlign w:val="bottom"/>
            <w:tcBorders>
              <w:top w:val="single" w:sz="8" w:color="auto"/>
              <w:bottom w:val="single" w:sz="8" w:color="auto"/>
            </w:tcBorders>
          </w:tcPr>
          <w:p>
            <w:pPr>
              <w:spacing w:after="0"/>
              <w:rPr>
                <w:sz w:val="24"/>
                <w:szCs w:val="24"/>
                <w:color w:val="auto"/>
              </w:rPr>
            </w:pPr>
          </w:p>
        </w:tc>
        <w:tc>
          <w:tcPr>
            <w:tcW w:w="42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27, 2023, ExlService Holdings, Inc. (the “Company”) reported its results of operations for the three months ended June 30, 2023.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60" w:type="dxa"/>
            <w:vAlign w:val="bottom"/>
          </w:tcPr>
          <w:p>
            <w:pPr>
              <w:spacing w:after="0"/>
              <w:rPr>
                <w:sz w:val="18"/>
                <w:szCs w:val="18"/>
                <w:color w:val="auto"/>
              </w:rPr>
            </w:pPr>
          </w:p>
        </w:tc>
        <w:tc>
          <w:tcPr>
            <w:tcW w:w="49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Press Release, dated July 27, 2023 (furnished pursuant to Item 2.02).</w:t>
            </w:r>
          </w:p>
        </w:tc>
        <w:tc>
          <w:tcPr>
            <w:tcW w:w="3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160" w:type="dxa"/>
            <w:vAlign w:val="bottom"/>
          </w:tcPr>
          <w:p>
            <w:pPr>
              <w:spacing w:after="0"/>
              <w:rPr>
                <w:sz w:val="20"/>
                <w:szCs w:val="20"/>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XBRL document)</w:t>
            </w:r>
          </w:p>
        </w:tc>
      </w:tr>
      <w:tr>
        <w:trPr>
          <w:trHeight w:val="45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8240" w:type="dxa"/>
            <w:vAlign w:val="bottom"/>
            <w:gridSpan w:val="2"/>
          </w:tcPr>
          <w:p>
            <w:pPr>
              <w:ind w:left="19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2980" w:type="dxa"/>
            <w:vAlign w:val="bottom"/>
          </w:tcPr>
          <w:p>
            <w:pPr>
              <w:spacing w:after="0"/>
              <w:rPr>
                <w:sz w:val="20"/>
                <w:szCs w:val="20"/>
                <w:color w:val="auto"/>
              </w:rPr>
            </w:pPr>
          </w:p>
        </w:tc>
        <w:tc>
          <w:tcPr>
            <w:tcW w:w="3280" w:type="dxa"/>
            <w:vAlign w:val="bottom"/>
          </w:tcPr>
          <w:p>
            <w:pPr>
              <w:ind w:left="198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49"/>
        </w:trPr>
        <w:tc>
          <w:tcPr>
            <w:tcW w:w="2980" w:type="dxa"/>
            <w:vAlign w:val="bottom"/>
          </w:tcPr>
          <w:p>
            <w:pPr>
              <w:spacing w:after="0"/>
              <w:rPr>
                <w:sz w:val="20"/>
                <w:szCs w:val="20"/>
                <w:color w:val="auto"/>
              </w:rPr>
            </w:pPr>
            <w:r>
              <w:rPr>
                <w:rFonts w:ascii="Arial" w:cs="Arial" w:eastAsia="Arial" w:hAnsi="Arial"/>
                <w:sz w:val="18"/>
                <w:szCs w:val="18"/>
                <w:color w:val="auto"/>
              </w:rPr>
              <w:t>July 27, 2023</w:t>
            </w:r>
          </w:p>
        </w:tc>
        <w:tc>
          <w:tcPr>
            <w:tcW w:w="3280" w:type="dxa"/>
            <w:vAlign w:val="bottom"/>
          </w:tcPr>
          <w:p>
            <w:pPr>
              <w:ind w:left="19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Ajay Ayyappan</w:t>
            </w:r>
          </w:p>
        </w:tc>
      </w:tr>
      <w:tr>
        <w:trPr>
          <w:trHeight w:val="256"/>
        </w:trPr>
        <w:tc>
          <w:tcPr>
            <w:tcW w:w="2980" w:type="dxa"/>
            <w:vAlign w:val="bottom"/>
          </w:tcPr>
          <w:p>
            <w:pPr>
              <w:spacing w:after="0"/>
              <w:rPr>
                <w:sz w:val="22"/>
                <w:szCs w:val="22"/>
                <w:color w:val="auto"/>
              </w:rPr>
            </w:pPr>
          </w:p>
        </w:tc>
        <w:tc>
          <w:tcPr>
            <w:tcW w:w="3280" w:type="dxa"/>
            <w:vAlign w:val="bottom"/>
          </w:tcPr>
          <w:p>
            <w:pPr>
              <w:ind w:left="198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2980" w:type="dxa"/>
            <w:vAlign w:val="bottom"/>
          </w:tcPr>
          <w:p>
            <w:pPr>
              <w:spacing w:after="0"/>
              <w:rPr>
                <w:sz w:val="20"/>
                <w:szCs w:val="20"/>
                <w:color w:val="auto"/>
              </w:rPr>
            </w:pPr>
          </w:p>
        </w:tc>
        <w:tc>
          <w:tcPr>
            <w:tcW w:w="3280" w:type="dxa"/>
            <w:vAlign w:val="bottom"/>
          </w:tcPr>
          <w:p>
            <w:pPr>
              <w:ind w:left="198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2023 SECOND QUARTER RESULTS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2023 Second Quarter Revenue of $405.0 Million, up 16.8% year-over-year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Q2 Diluted EPS (GAAP) of $1.46, up 37.7% from $1.06 in Q2 of 2022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Q2 Adjusted Diluted EPS (Non-GAAP) </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$1.82, up 21.3% from $1.50 in Q2 of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40" w:lineRule="auto"/>
        <w:rPr>
          <w:sz w:val="20"/>
          <w:szCs w:val="20"/>
          <w:color w:val="auto"/>
        </w:rPr>
      </w:pPr>
      <w:r>
        <w:rPr>
          <w:rFonts w:ascii="Arial" w:cs="Arial" w:eastAsia="Arial" w:hAnsi="Arial"/>
          <w:sz w:val="18"/>
          <w:szCs w:val="18"/>
          <w:color w:val="auto"/>
        </w:rPr>
        <w:t>New York – July 27, 2023 (GLOBE NEWSWIRE) - ExlService Holdings, Inc. (NASDAQ: EXLS), a leading data analytics and digital operations and solutions company, today announced its financial results for the quarter ended June 30, 2023.</w:t>
      </w:r>
    </w:p>
    <w:p>
      <w:pPr>
        <w:spacing w:after="0" w:line="183"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Vice Chairman and Chief Executive Officer Rohit Kapoor, said, “We delivered another strong quarter, with revenue growth of 16.8% and adjusted diluted EPS growth of 21.3%. Our data-led strategy, unique digital/AI capabilities and balanced portfolio across data analytics and digital operations and solutions create resiliency in our business. This has enabled us to deliver continued strong double-digit growth.”</w:t>
      </w:r>
    </w:p>
    <w:p>
      <w:pPr>
        <w:spacing w:after="0" w:line="200" w:lineRule="exact"/>
        <w:rPr>
          <w:sz w:val="20"/>
          <w:szCs w:val="20"/>
          <w:color w:val="auto"/>
        </w:rPr>
      </w:pPr>
    </w:p>
    <w:p>
      <w:pPr>
        <w:spacing w:after="0" w:line="253"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Chief Financial Officer Maurizio Nicolelli, said, “While we remain cautious about the macro-economic environment, we are increasing our revenue and EPS guidance for the full year 2023 based on our strong momentum in the first half and current visibility for the remainder of the year. We now expect revenue to be in the range of $1.605 billion to $1.625 billion, up from our prior guidance of $1.595 billion to $1.620 billion. This represents 14% to 15% year-over-year growth on both a reported and constant currency basis. We are also increasing our adjusted diluted earnings per share guidance for 2023 to $6.90 to $7.05, up from $6.75 to $6.90, representing growth of 15% to 17% over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__________________________________________________________</w:t>
      </w:r>
    </w:p>
    <w:p>
      <w:pPr>
        <w:spacing w:after="0" w:line="336" w:lineRule="exact"/>
        <w:rPr>
          <w:sz w:val="20"/>
          <w:szCs w:val="20"/>
          <w:color w:val="auto"/>
        </w:rPr>
      </w:pPr>
    </w:p>
    <w:p>
      <w:pPr>
        <w:jc w:val="both"/>
        <w:ind w:left="340" w:hanging="332"/>
        <w:spacing w:after="0" w:line="277"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Reconciliatons of adjusted (non-GAAP) fnancial measures to the most directly comparable GAAP measures, where applicable, are included at the end of this release under “Reconciliaton of Adjusted Financial Measures to GAAP Measures.” These non-GAAP measures, including adjusted diluted EPS and constant currency measures, are not measures of fnancial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Second Quarter 2023</w:t>
      </w:r>
    </w:p>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31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for the quarter ended June 30, 2023 increased to $405.0 million compared to $346.8 million for the second quarter of 2022, an increase of 16.8% on a reported basis and 17.1% on a constant currency basis. Revenue increased by 1.1% sequentially on a reported basis and 1.0% on a constant currency basis, from the first quarter of 2023.</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89"/>
              </w:rPr>
              <w:t>Revenue</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3"/>
              </w:rPr>
              <w:t>Gross Margin</w:t>
            </w: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center"/>
              <w:ind w:left="433"/>
              <w:spacing w:after="0"/>
              <w:rPr>
                <w:sz w:val="20"/>
                <w:szCs w:val="20"/>
                <w:color w:val="auto"/>
              </w:rPr>
            </w:pPr>
            <w:r>
              <w:rPr>
                <w:rFonts w:ascii="Arial" w:cs="Arial" w:eastAsia="Arial" w:hAnsi="Arial"/>
                <w:sz w:val="16"/>
                <w:szCs w:val="16"/>
                <w:b w:val="1"/>
                <w:bCs w:val="1"/>
                <w:color w:val="auto"/>
                <w:w w:val="90"/>
              </w:rPr>
              <w:t>Three months ended</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6"/>
                <w:szCs w:val="16"/>
                <w:b w:val="1"/>
                <w:bCs w:val="1"/>
                <w:color w:val="auto"/>
                <w:w w:val="90"/>
              </w:rPr>
              <w:t>Three months ended</w:t>
            </w: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June 30, 2023</w:t>
            </w:r>
          </w:p>
        </w:tc>
        <w:tc>
          <w:tcPr>
            <w:tcW w:w="100" w:type="dxa"/>
            <w:vAlign w:val="bottom"/>
          </w:tcPr>
          <w:p>
            <w:pPr>
              <w:spacing w:after="0"/>
              <w:rPr>
                <w:sz w:val="21"/>
                <w:szCs w:val="21"/>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June 30, 2022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21"/>
                <w:szCs w:val="2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June 30, 2023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4"/>
            <w:vMerge w:val="restart"/>
          </w:tcPr>
          <w:p>
            <w:pPr>
              <w:jc w:val="center"/>
              <w:ind w:right="140"/>
              <w:spacing w:after="0"/>
              <w:rPr>
                <w:sz w:val="20"/>
                <w:szCs w:val="20"/>
                <w:color w:val="auto"/>
              </w:rPr>
            </w:pPr>
            <w:r>
              <w:rPr>
                <w:rFonts w:ascii="Arial" w:cs="Arial" w:eastAsia="Arial" w:hAnsi="Arial"/>
                <w:sz w:val="16"/>
                <w:szCs w:val="16"/>
                <w:b w:val="1"/>
                <w:bCs w:val="1"/>
                <w:color w:val="auto"/>
                <w:w w:val="90"/>
              </w:rPr>
              <w:t>June 30, 2022</w:t>
            </w: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March 31, 2023</w:t>
            </w:r>
          </w:p>
        </w:tc>
        <w:tc>
          <w:tcPr>
            <w:tcW w:w="0" w:type="dxa"/>
            <w:vAlign w:val="bottom"/>
          </w:tcPr>
          <w:p>
            <w:pPr>
              <w:spacing w:after="0"/>
              <w:rPr>
                <w:sz w:val="1"/>
                <w:szCs w:val="1"/>
                <w:color w:val="auto"/>
              </w:rPr>
            </w:pPr>
          </w:p>
        </w:tc>
      </w:tr>
      <w:tr>
        <w:trPr>
          <w:trHeight w:val="213"/>
        </w:trPr>
        <w:tc>
          <w:tcPr>
            <w:tcW w:w="274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gridSpan w:val="6"/>
          </w:tcPr>
          <w:p>
            <w:pPr>
              <w:jc w:val="center"/>
              <w:ind w:left="453"/>
              <w:spacing w:after="0"/>
              <w:rPr>
                <w:sz w:val="20"/>
                <w:szCs w:val="20"/>
                <w:color w:val="auto"/>
              </w:rPr>
            </w:pPr>
            <w:r>
              <w:rPr>
                <w:rFonts w:ascii="Arial" w:cs="Arial" w:eastAsia="Arial" w:hAnsi="Arial"/>
                <w:sz w:val="16"/>
                <w:szCs w:val="16"/>
                <w:b w:val="1"/>
                <w:bCs w:val="1"/>
                <w:color w:val="auto"/>
                <w:w w:val="92"/>
              </w:rPr>
              <w:t>(dollars in millions)</w:t>
            </w: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Revenues, net</w:t>
            </w: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37.2 %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32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margin for the quarter ended June 30, 2023, was 16.0%, compared to 13.6% for the second quarter of 2022 and 14.8% for the first quarter of 2023. Adjusted operating income margin for the quarter ended June 30, 2023, was 20.0%, compared to 18.7% for the second quarter of 2022 and 19.4% for the first quarter of 2023.</w:t>
      </w:r>
    </w:p>
    <w:p>
      <w:pPr>
        <w:spacing w:after="0" w:line="209" w:lineRule="exact"/>
        <w:rPr>
          <w:rFonts w:ascii="Arial" w:cs="Arial" w:eastAsia="Arial" w:hAnsi="Arial"/>
          <w:sz w:val="18"/>
          <w:szCs w:val="18"/>
          <w:color w:val="auto"/>
        </w:rPr>
      </w:pPr>
    </w:p>
    <w:p>
      <w:pPr>
        <w:jc w:val="both"/>
        <w:ind w:left="660" w:hanging="328"/>
        <w:spacing w:after="0" w:line="32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2023, was $1.46, compared to $1.06 for the second quarter of 2022 and $1.51 for the first quarter of 2023. Adjusted diluted earnings per share for the quarter ended June 30, 2023, was $1.82, compared to $1.50 for the second quarter of 2022 and $1.74 for the first quarter of 2023.</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Second Quarter 2023</w:t>
      </w:r>
    </w:p>
    <w:p>
      <w:pPr>
        <w:spacing w:after="0" w:line="18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14 new clients in the second quarter of 2023, with 9 in digital operations and solutions business and 5 in data analytics.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by USA TODAY in their first-ever America's Climate Leaders 2023.</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Recognized as a Major Player in IDC MarketScape: Worldwide Artificial Intelligence Services 2023 Vendor Assessment.</w:t>
      </w:r>
    </w:p>
    <w:p>
      <w:pPr>
        <w:spacing w:after="0" w:line="171" w:lineRule="exact"/>
        <w:rPr>
          <w:rFonts w:ascii="Arial" w:cs="Arial" w:eastAsia="Arial" w:hAnsi="Arial"/>
          <w:sz w:val="18"/>
          <w:szCs w:val="18"/>
          <w:color w:val="auto"/>
        </w:rPr>
      </w:pPr>
    </w:p>
    <w:p>
      <w:pPr>
        <w:ind w:left="260" w:hanging="252"/>
        <w:spacing w:after="0" w:line="340"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Identified as a Leader and Star Performer in Everest Group’s Life and Annuities (L&amp;A) Insurance BPS and Third-Party Administrator (TPA) PEAK Matrix® Assessment 2023.</w:t>
      </w:r>
    </w:p>
    <w:p>
      <w:pPr>
        <w:spacing w:after="0" w:line="6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Positioned as a Leader in the May 2023 Gartner® Magic Quadrant™ for Finance and Accounting Business Process Outsourcing 2023</w:t>
      </w:r>
      <w:r>
        <w:rPr>
          <w:rFonts w:ascii="Arial" w:cs="Arial" w:eastAsia="Arial" w:hAnsi="Arial"/>
          <w:sz w:val="23"/>
          <w:szCs w:val="23"/>
          <w:b w:val="1"/>
          <w:bCs w:val="1"/>
          <w:color w:val="auto"/>
          <w:vertAlign w:val="superscript"/>
        </w:rPr>
        <w:t>(1)</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260" w:hanging="252"/>
        <w:spacing w:after="0" w:line="340" w:lineRule="auto"/>
        <w:tabs>
          <w:tab w:leader="none" w:pos="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Appointed Pamela Harrison executive vice president and chief human resources officer, responsible for developing and implementing the next phase of EXL’s talent strategy.</w:t>
      </w:r>
    </w:p>
    <w:p>
      <w:pPr>
        <w:spacing w:after="0" w:line="61" w:lineRule="exact"/>
        <w:rPr>
          <w:rFonts w:ascii="Arial" w:cs="Arial" w:eastAsia="Arial" w:hAnsi="Arial"/>
          <w:sz w:val="18"/>
          <w:szCs w:val="18"/>
          <w:color w:val="auto"/>
        </w:rPr>
      </w:pPr>
    </w:p>
    <w:p>
      <w:pPr>
        <w:ind w:left="260" w:hanging="252"/>
        <w:spacing w:after="0" w:line="340"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Appointed Vishal Chhibbar as executive vice president and chief growth and strategy officer, responsible for EXL's growth, overseeing areas such as strategy, marketing, sales governance, mergers and acquisitions and partnerships.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Guidance</w:t>
      </w:r>
    </w:p>
    <w:p>
      <w:pPr>
        <w:spacing w:after="0" w:line="121" w:lineRule="exact"/>
        <w:rPr>
          <w:sz w:val="20"/>
          <w:szCs w:val="20"/>
          <w:color w:val="auto"/>
        </w:rPr>
      </w:pPr>
    </w:p>
    <w:p>
      <w:pPr>
        <w:jc w:val="both"/>
        <w:spacing w:after="0" w:line="395" w:lineRule="auto"/>
        <w:rPr>
          <w:sz w:val="20"/>
          <w:szCs w:val="20"/>
          <w:color w:val="auto"/>
        </w:rPr>
      </w:pPr>
      <w:r>
        <w:rPr>
          <w:rFonts w:ascii="Arial" w:cs="Arial" w:eastAsia="Arial" w:hAnsi="Arial"/>
          <w:sz w:val="16"/>
          <w:szCs w:val="16"/>
          <w:color w:val="auto"/>
        </w:rPr>
        <w:t>Based on current visibility, and a U.S. dollar to Indian rupee exchange rate of 82.0, U.K. pound sterling to U.S. dollar exchange rate of 1.3, U.S. dollar to the Philippine peso exchange rate of 54.5 and all other currencies at current exchange rates, we are providing the following guidance for the full year 2023:</w:t>
      </w:r>
    </w:p>
    <w:p>
      <w:pPr>
        <w:spacing w:after="0" w:line="19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1"/>
          <w:szCs w:val="21"/>
          <w:color w:val="auto"/>
        </w:rPr>
      </w:pPr>
      <w:r>
        <w:rPr>
          <w:rFonts w:ascii="Arial" w:cs="Arial" w:eastAsia="Arial" w:hAnsi="Arial"/>
          <w:sz w:val="17"/>
          <w:szCs w:val="17"/>
          <w:color w:val="auto"/>
        </w:rPr>
        <w:t>Revenue of $1.605 billion to $1.625 billion, representing growth of 14% to 15% on both a reported and constant currency basis from 2022.</w:t>
      </w:r>
    </w:p>
    <w:p>
      <w:pPr>
        <w:spacing w:after="0" w:line="282" w:lineRule="exact"/>
        <w:rPr>
          <w:rFonts w:ascii="Arial" w:cs="Arial" w:eastAsia="Arial" w:hAnsi="Arial"/>
          <w:sz w:val="21"/>
          <w:szCs w:val="21"/>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diluted earnings per share of $6.90 to $7.05, representing growth of 15% to 17% from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 xml:space="preserve">ExlService Holdings, Inc. will host a conference call on Thursday, July 27, 2023,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10"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 xml:space="preserve">Please note that there is a new system to access the live call-in order to ask questions. To join the live call, please register </w:t>
      </w:r>
      <w:r>
        <w:rPr>
          <w:rFonts w:ascii="Arial" w:cs="Arial" w:eastAsia="Arial" w:hAnsi="Arial"/>
          <w:sz w:val="18"/>
          <w:szCs w:val="18"/>
          <w:u w:val="single" w:color="auto"/>
          <w:color w:val="0000FF"/>
        </w:rPr>
        <w:t>here</w:t>
      </w:r>
      <w:r>
        <w:rPr>
          <w:rFonts w:ascii="Arial" w:cs="Arial" w:eastAsia="Arial" w:hAnsi="Arial"/>
          <w:sz w:val="18"/>
          <w:szCs w:val="18"/>
          <w:color w:val="0000FF"/>
        </w:rPr>
        <w:t>.</w:t>
      </w:r>
      <w:r>
        <w:rPr>
          <w:rFonts w:ascii="Arial" w:cs="Arial" w:eastAsia="Arial" w:hAnsi="Arial"/>
          <w:sz w:val="18"/>
          <w:szCs w:val="18"/>
          <w:color w:val="auto"/>
        </w:rPr>
        <w:t xml:space="preserve"> A dial-in and unique PIN will be provided to join the call. For those who cannot access the live broadcast, a replay will be available on the EXL website </w:t>
      </w:r>
      <w:r>
        <w:rPr>
          <w:rFonts w:ascii="Arial" w:cs="Arial" w:eastAsia="Arial" w:hAnsi="Arial"/>
          <w:sz w:val="18"/>
          <w:szCs w:val="18"/>
          <w:u w:val="single" w:color="auto"/>
          <w:color w:val="0000FF"/>
        </w:rPr>
        <w:t>ir.exlservice.com</w:t>
      </w:r>
      <w:r>
        <w:rPr>
          <w:rFonts w:ascii="Arial" w:cs="Arial" w:eastAsia="Arial" w:hAnsi="Arial"/>
          <w:sz w:val="18"/>
          <w:szCs w:val="18"/>
          <w:color w:val="auto"/>
        </w:rPr>
        <w:t xml:space="preserve"> for a period of twelve months.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__________________________________________________________</w:t>
      </w:r>
    </w:p>
    <w:p>
      <w:pPr>
        <w:spacing w:after="0" w:line="14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Gartner does not endorse any vendor, product or service depicted in its research publications, and does not advise technology users to select only those vendors with the highest ratings or</w:t>
      </w:r>
    </w:p>
    <w:p>
      <w:pPr>
        <w:spacing w:after="0" w:line="80" w:lineRule="exact"/>
        <w:rPr>
          <w:rFonts w:ascii="Arial" w:cs="Arial" w:eastAsia="Arial" w:hAnsi="Arial"/>
          <w:sz w:val="13"/>
          <w:szCs w:val="13"/>
          <w:color w:val="auto"/>
        </w:rPr>
      </w:pPr>
    </w:p>
    <w:p>
      <w:pPr>
        <w:jc w:val="both"/>
        <w:ind w:left="340"/>
        <w:spacing w:after="0" w:line="317" w:lineRule="auto"/>
        <w:rPr>
          <w:rFonts w:ascii="Arial" w:cs="Arial" w:eastAsia="Arial" w:hAnsi="Arial"/>
          <w:sz w:val="13"/>
          <w:szCs w:val="13"/>
          <w:color w:val="auto"/>
        </w:rPr>
      </w:pPr>
      <w:r>
        <w:rPr>
          <w:rFonts w:ascii="Arial" w:cs="Arial" w:eastAsia="Arial" w:hAnsi="Arial"/>
          <w:sz w:val="14"/>
          <w:szCs w:val="14"/>
          <w:color w:val="auto"/>
        </w:rPr>
        <w:t>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 GARTNER and MAGIC QUADRANT are registered trademarks of Gartner, Inc. and/or its affiliates in the U.S. and internationally and is used herein with permission. All rights reserved.</w:t>
      </w:r>
    </w:p>
    <w:p>
      <w:pPr>
        <w:sectPr>
          <w:pgSz w:w="11900" w:h="16838" w:orient="portrait"/>
          <w:cols w:equalWidth="0" w:num="1">
            <w:col w:w="11240"/>
          </w:cols>
          <w:pgMar w:left="320" w:top="11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16" w:lineRule="exact"/>
        <w:rPr>
          <w:sz w:val="20"/>
          <w:szCs w:val="20"/>
          <w:color w:val="auto"/>
        </w:rPr>
      </w:pPr>
    </w:p>
    <w:p>
      <w:pPr>
        <w:jc w:val="both"/>
        <w:spacing w:after="0" w:line="413" w:lineRule="auto"/>
        <w:rPr>
          <w:sz w:val="20"/>
          <w:szCs w:val="20"/>
          <w:color w:val="auto"/>
        </w:rPr>
      </w:pPr>
      <w:r>
        <w:rPr>
          <w:rFonts w:ascii="Arial" w:cs="Arial" w:eastAsia="Arial" w:hAnsi="Arial"/>
          <w:sz w:val="16"/>
          <w:szCs w:val="16"/>
          <w:color w:val="auto"/>
        </w:rPr>
        <w:t>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w:t>
      </w:r>
    </w:p>
    <w:p>
      <w:pPr>
        <w:spacing w:after="0" w:line="1"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 xml:space="preserve">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48,000 strong, with more than 50 offices spanning six continents. For more information, visit </w:t>
      </w:r>
      <w:r>
        <w:rPr>
          <w:rFonts w:ascii="Arial" w:cs="Arial" w:eastAsia="Arial" w:hAnsi="Arial"/>
          <w:sz w:val="17"/>
          <w:szCs w:val="17"/>
          <w:u w:val="single" w:color="auto"/>
          <w:color w:val="0000FF"/>
        </w:rPr>
        <w:t>www.exlservice.com.</w:t>
      </w:r>
    </w:p>
    <w:p>
      <w:pPr>
        <w:spacing w:after="0" w:line="275" w:lineRule="exact"/>
        <w:rPr>
          <w:sz w:val="20"/>
          <w:szCs w:val="20"/>
          <w:color w:val="auto"/>
        </w:rPr>
      </w:pPr>
    </w:p>
    <w:p>
      <w:pPr>
        <w:jc w:val="both"/>
        <w:spacing w:after="0" w:line="321" w:lineRule="auto"/>
        <w:rPr>
          <w:sz w:val="20"/>
          <w:szCs w:val="20"/>
          <w:color w:val="auto"/>
        </w:rPr>
      </w:pPr>
      <w:r>
        <w:rPr>
          <w:rFonts w:ascii="Arial" w:cs="Arial" w:eastAsia="Arial" w:hAnsi="Arial"/>
          <w:sz w:val="17"/>
          <w:szCs w:val="17"/>
          <w:b w:val="1"/>
          <w:bCs w:val="1"/>
          <w:color w:val="auto"/>
        </w:rPr>
        <w:t xml:space="preserve">Cautionary Statement Regarding Forward-Looking Statements </w:t>
      </w:r>
      <w:r>
        <w:rPr>
          <w:rFonts w:ascii="Arial" w:cs="Arial" w:eastAsia="Arial" w:hAnsi="Arial"/>
          <w:sz w:val="17"/>
          <w:szCs w:val="17"/>
          <w:i w:val="1"/>
          <w:iCs w:val="1"/>
          <w:color w:val="auto"/>
        </w:rPr>
        <w:t>This press release contains forward-looking statements within the meaning of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5" w:right="339" w:bottom="1440" w:gutter="0" w:footer="0" w:header="0"/>
        </w:sectPr>
      </w:pPr>
    </w:p>
    <w:bookmarkStart w:id="7" w:name="page8"/>
    <w:bookmarkEnd w:id="7"/>
    <w:p>
      <w:pPr>
        <w:ind w:left="4280"/>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675,990</w:t>
            </w: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221,207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504,689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428,723</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151,776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125,575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300,950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247,267</w:t>
            </w:r>
          </w:p>
        </w:tc>
        <w:tc>
          <w:tcPr>
            <w:tcW w:w="0" w:type="dxa"/>
            <w:vAlign w:val="bottom"/>
          </w:tcPr>
          <w:p>
            <w:pPr>
              <w:spacing w:after="0"/>
              <w:rPr>
                <w:sz w:val="1"/>
                <w:szCs w:val="1"/>
                <w:color w:val="auto"/>
              </w:rPr>
            </w:pPr>
          </w:p>
        </w:tc>
      </w:tr>
      <w:tr>
        <w:trPr>
          <w:trHeight w:val="217"/>
        </w:trPr>
        <w:tc>
          <w:tcPr>
            <w:tcW w:w="5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80,379</w:t>
            </w:r>
          </w:p>
        </w:tc>
        <w:tc>
          <w:tcPr>
            <w:tcW w:w="0" w:type="dxa"/>
            <w:vAlign w:val="bottom"/>
          </w:tcPr>
          <w:p>
            <w:pPr>
              <w:spacing w:after="0"/>
              <w:rPr>
                <w:sz w:val="1"/>
                <w:szCs w:val="1"/>
                <w:color w:val="auto"/>
              </w:rPr>
            </w:pPr>
          </w:p>
        </w:tc>
      </w:tr>
      <w:tr>
        <w:trPr>
          <w:trHeight w:val="229"/>
        </w:trPr>
        <w:tc>
          <w:tcPr>
            <w:tcW w:w="568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48,155</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27,677</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86,965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176,691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156,211</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124,259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91,056</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income/(loss),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Income before income tax expense and earnings from equity affiliates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94,094</w:t>
            </w: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71,767</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Gain from equity-method investment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57"/>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49,068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35,846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100,399</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72,024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7"/>
              </w:rPr>
              <w:t>Earnings per share attributable to ExlService Holdings, Inc. stockholders: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7"/>
        </w:trPr>
        <w:tc>
          <w:tcPr>
            <w:tcW w:w="5680" w:type="dxa"/>
            <w:vAlign w:val="bottom"/>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Weighted-average number of shares used in computing earnings per share</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ExlService Holdings Inc. stockholders: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33,355,354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33,403,411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33,397,226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33,422,618</w:t>
            </w:r>
          </w:p>
        </w:tc>
        <w:tc>
          <w:tcPr>
            <w:tcW w:w="0" w:type="dxa"/>
            <w:vAlign w:val="bottom"/>
          </w:tcPr>
          <w:p>
            <w:pPr>
              <w:spacing w:after="0"/>
              <w:rPr>
                <w:sz w:val="1"/>
                <w:szCs w:val="1"/>
                <w:color w:val="auto"/>
              </w:rPr>
            </w:pPr>
          </w:p>
        </w:tc>
      </w:tr>
      <w:tr>
        <w:trPr>
          <w:trHeight w:val="236"/>
        </w:trPr>
        <w:tc>
          <w:tcPr>
            <w:tcW w:w="5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33,688,449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33,830,539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33,809,555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33,862,597</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Exclusive of depreciation and amortization expense.</w:t>
      </w:r>
    </w:p>
    <w:p>
      <w:pPr>
        <w:sectPr>
          <w:pgSz w:w="11900" w:h="16838" w:orient="portrait"/>
          <w:cols w:equalWidth="0" w:num="1">
            <w:col w:w="11200"/>
          </w:cols>
          <w:pgMar w:left="340" w:top="1107"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9"/>
              </w:rPr>
              <w:t>June 30, 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w w:val="90"/>
              </w:rPr>
              <w:t>December 31, 2022</w:t>
            </w:r>
          </w:p>
        </w:tc>
        <w:tc>
          <w:tcPr>
            <w:tcW w:w="0" w:type="dxa"/>
            <w:vAlign w:val="bottom"/>
          </w:tcPr>
          <w:p>
            <w:pPr>
              <w:spacing w:after="0"/>
              <w:rPr>
                <w:sz w:val="1"/>
                <w:szCs w:val="1"/>
                <w:color w:val="auto"/>
              </w:rPr>
            </w:pPr>
          </w:p>
        </w:tc>
      </w:tr>
      <w:tr>
        <w:trPr>
          <w:trHeight w:val="199"/>
        </w:trPr>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118,669</w:t>
            </w:r>
          </w:p>
        </w:tc>
        <w:tc>
          <w:tcPr>
            <w:tcW w:w="0" w:type="dxa"/>
            <w:vAlign w:val="bottom"/>
          </w:tcPr>
          <w:p>
            <w:pPr>
              <w:spacing w:after="0"/>
              <w:rPr>
                <w:sz w:val="1"/>
                <w:szCs w:val="1"/>
                <w:color w:val="auto"/>
              </w:rPr>
            </w:pPr>
          </w:p>
        </w:tc>
      </w:tr>
      <w:tr>
        <w:trPr>
          <w:trHeight w:val="237"/>
        </w:trPr>
        <w:tc>
          <w:tcPr>
            <w:tcW w:w="704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156,098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179,027</w:t>
            </w:r>
          </w:p>
        </w:tc>
        <w:tc>
          <w:tcPr>
            <w:tcW w:w="0" w:type="dxa"/>
            <w:vAlign w:val="bottom"/>
          </w:tcPr>
          <w:p>
            <w:pPr>
              <w:spacing w:after="0"/>
              <w:rPr>
                <w:sz w:val="1"/>
                <w:szCs w:val="1"/>
                <w:color w:val="auto"/>
              </w:rPr>
            </w:pPr>
          </w:p>
        </w:tc>
      </w:tr>
      <w:tr>
        <w:trPr>
          <w:trHeight w:val="236"/>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29"/>
        </w:trPr>
        <w:tc>
          <w:tcPr>
            <w:tcW w:w="704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288,305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259,222</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50,979</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613,177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612,794</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82,828</w:t>
            </w:r>
          </w:p>
        </w:tc>
        <w:tc>
          <w:tcPr>
            <w:tcW w:w="0" w:type="dxa"/>
            <w:vAlign w:val="bottom"/>
          </w:tcPr>
          <w:p>
            <w:pPr>
              <w:spacing w:after="0"/>
              <w:rPr>
                <w:sz w:val="1"/>
                <w:szCs w:val="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58,423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55,347</w:t>
            </w:r>
          </w:p>
        </w:tc>
        <w:tc>
          <w:tcPr>
            <w:tcW w:w="0" w:type="dxa"/>
            <w:vAlign w:val="bottom"/>
          </w:tcPr>
          <w:p>
            <w:pPr>
              <w:spacing w:after="0"/>
              <w:rPr>
                <w:sz w:val="1"/>
                <w:szCs w:val="1"/>
                <w:color w:val="auto"/>
              </w:rPr>
            </w:pP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68,612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55,791</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64,819</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405,903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405,637</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34,779</w:t>
            </w:r>
          </w:p>
        </w:tc>
        <w:tc>
          <w:tcPr>
            <w:tcW w:w="0" w:type="dxa"/>
            <w:vAlign w:val="bottom"/>
          </w:tcPr>
          <w:p>
            <w:pPr>
              <w:spacing w:after="0"/>
              <w:rPr>
                <w:sz w:val="1"/>
                <w:szCs w:val="1"/>
                <w:color w:val="auto"/>
              </w:rPr>
            </w:pPr>
          </w:p>
        </w:tc>
      </w:tr>
      <w:tr>
        <w:trPr>
          <w:trHeight w:val="237"/>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32,069</w:t>
            </w:r>
          </w:p>
        </w:tc>
        <w:tc>
          <w:tcPr>
            <w:tcW w:w="0" w:type="dxa"/>
            <w:vAlign w:val="bottom"/>
          </w:tcPr>
          <w:p>
            <w:pPr>
              <w:spacing w:after="0"/>
              <w:rPr>
                <w:sz w:val="1"/>
                <w:szCs w:val="1"/>
                <w:color w:val="auto"/>
              </w:rPr>
            </w:pPr>
          </w:p>
        </w:tc>
      </w:tr>
      <w:tr>
        <w:trPr>
          <w:trHeight w:val="25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1,362,702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1,346,119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7,789</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704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18,782</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108,100</w:t>
            </w:r>
          </w:p>
        </w:tc>
        <w:tc>
          <w:tcPr>
            <w:tcW w:w="0" w:type="dxa"/>
            <w:vAlign w:val="bottom"/>
          </w:tcPr>
          <w:p>
            <w:pPr>
              <w:spacing w:after="0"/>
              <w:rPr>
                <w:sz w:val="1"/>
                <w:szCs w:val="1"/>
                <w:color w:val="auto"/>
              </w:rPr>
            </w:pPr>
          </w:p>
        </w:tc>
      </w:tr>
      <w:tr>
        <w:trPr>
          <w:trHeight w:val="237"/>
        </w:trPr>
        <w:tc>
          <w:tcPr>
            <w:tcW w:w="704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104,480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95,352</w:t>
            </w:r>
          </w:p>
        </w:tc>
        <w:tc>
          <w:tcPr>
            <w:tcW w:w="0" w:type="dxa"/>
            <w:vAlign w:val="bottom"/>
          </w:tcPr>
          <w:p>
            <w:pPr>
              <w:spacing w:after="0"/>
              <w:rPr>
                <w:sz w:val="1"/>
                <w:szCs w:val="1"/>
                <w:color w:val="auto"/>
              </w:rPr>
            </w:pPr>
          </w:p>
        </w:tc>
      </w:tr>
      <w:tr>
        <w:trPr>
          <w:trHeight w:val="236"/>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30"/>
        </w:trPr>
        <w:tc>
          <w:tcPr>
            <w:tcW w:w="7040" w:type="dxa"/>
            <w:vAlign w:val="bottom"/>
          </w:tcPr>
          <w:p>
            <w:pPr>
              <w:ind w:left="340"/>
              <w:spacing w:after="0"/>
              <w:rPr>
                <w:sz w:val="20"/>
                <w:szCs w:val="20"/>
                <w:color w:val="auto"/>
              </w:rPr>
            </w:pPr>
            <w:r>
              <w:rPr>
                <w:rFonts w:ascii="Arial" w:cs="Arial" w:eastAsia="Arial" w:hAnsi="Arial"/>
                <w:sz w:val="16"/>
                <w:szCs w:val="16"/>
                <w:color w:val="auto"/>
              </w:rPr>
              <w:t>Income taxes payable, net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259,063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277,946</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48,155</w:t>
            </w:r>
          </w:p>
        </w:tc>
        <w:tc>
          <w:tcPr>
            <w:tcW w:w="0" w:type="dxa"/>
            <w:vAlign w:val="bottom"/>
          </w:tcPr>
          <w:p>
            <w:pPr>
              <w:spacing w:after="0"/>
              <w:rPr>
                <w:sz w:val="1"/>
                <w:szCs w:val="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41,292</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528,488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587,940</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ExlService Holdings, Inc. Stockholders’ equity:</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7040" w:type="dxa"/>
            <w:vAlign w:val="bottom"/>
          </w:tcPr>
          <w:p>
            <w:pPr>
              <w:ind w:left="340"/>
              <w:spacing w:after="0" w:line="166" w:lineRule="exact"/>
              <w:rPr>
                <w:sz w:val="20"/>
                <w:szCs w:val="20"/>
                <w:color w:val="auto"/>
              </w:rPr>
            </w:pPr>
            <w:r>
              <w:rPr>
                <w:rFonts w:ascii="Arial" w:cs="Arial" w:eastAsia="Arial" w:hAnsi="Arial"/>
                <w:sz w:val="16"/>
                <w:szCs w:val="16"/>
                <w:color w:val="auto"/>
                <w:w w:val="97"/>
              </w:rPr>
              <w:t>Common stock, $0.001 par value; 100,000,000 shares authorized, 40,349,727 shares issued and</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ind w:left="340"/>
              <w:spacing w:after="0" w:line="162" w:lineRule="exact"/>
              <w:rPr>
                <w:sz w:val="20"/>
                <w:szCs w:val="20"/>
                <w:color w:val="auto"/>
              </w:rPr>
            </w:pPr>
            <w:r>
              <w:rPr>
                <w:rFonts w:ascii="Arial" w:cs="Arial" w:eastAsia="Arial" w:hAnsi="Arial"/>
                <w:sz w:val="16"/>
                <w:szCs w:val="16"/>
                <w:color w:val="auto"/>
                <w:w w:val="95"/>
              </w:rPr>
              <w:t>33,152,670 shares outstanding as of June 30, 2023 and 39,987,976 shares issued and 33,234,444</w:t>
            </w: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7040" w:type="dxa"/>
            <w:vAlign w:val="bottom"/>
          </w:tcPr>
          <w:p>
            <w:pPr>
              <w:ind w:left="340"/>
              <w:spacing w:after="0"/>
              <w:rPr>
                <w:sz w:val="20"/>
                <w:szCs w:val="20"/>
                <w:color w:val="auto"/>
              </w:rPr>
            </w:pPr>
            <w:r>
              <w:rPr>
                <w:rFonts w:ascii="Arial" w:cs="Arial" w:eastAsia="Arial" w:hAnsi="Arial"/>
                <w:sz w:val="16"/>
                <w:szCs w:val="16"/>
                <w:color w:val="auto"/>
              </w:rPr>
              <w:t>shares outstanding as of December 31, 2022</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445,108</w:t>
            </w:r>
          </w:p>
        </w:tc>
        <w:tc>
          <w:tcPr>
            <w:tcW w:w="0" w:type="dxa"/>
            <w:vAlign w:val="bottom"/>
          </w:tcPr>
          <w:p>
            <w:pPr>
              <w:spacing w:after="0"/>
              <w:rPr>
                <w:sz w:val="1"/>
                <w:szCs w:val="1"/>
                <w:color w:val="auto"/>
              </w:rPr>
            </w:pPr>
          </w:p>
        </w:tc>
      </w:tr>
      <w:tr>
        <w:trPr>
          <w:trHeight w:val="237"/>
        </w:trPr>
        <w:tc>
          <w:tcPr>
            <w:tcW w:w="704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999,504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899,105</w:t>
            </w:r>
          </w:p>
        </w:tc>
        <w:tc>
          <w:tcPr>
            <w:tcW w:w="0" w:type="dxa"/>
            <w:vAlign w:val="bottom"/>
          </w:tcPr>
          <w:p>
            <w:pPr>
              <w:spacing w:after="0"/>
              <w:rPr>
                <w:sz w:val="1"/>
                <w:szCs w:val="1"/>
                <w:color w:val="auto"/>
              </w:rPr>
            </w:pPr>
          </w:p>
        </w:tc>
      </w:tr>
      <w:tr>
        <w:trPr>
          <w:trHeight w:val="236"/>
        </w:trPr>
        <w:tc>
          <w:tcPr>
            <w:tcW w:w="7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(144,143)</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1,347,521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1,200,110</w:t>
            </w:r>
          </w:p>
        </w:tc>
        <w:tc>
          <w:tcPr>
            <w:tcW w:w="0" w:type="dxa"/>
            <w:vAlign w:val="bottom"/>
          </w:tcPr>
          <w:p>
            <w:pPr>
              <w:spacing w:after="0"/>
              <w:rPr>
                <w:sz w:val="1"/>
                <w:szCs w:val="1"/>
                <w:color w:val="auto"/>
              </w:rPr>
            </w:pPr>
          </w:p>
        </w:tc>
      </w:tr>
      <w:tr>
        <w:trPr>
          <w:trHeight w:val="159"/>
        </w:trPr>
        <w:tc>
          <w:tcPr>
            <w:tcW w:w="704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8"/>
              </w:rPr>
              <w:t>Less: 7,197,057 shares as of June 30, 2023 and 6,753,532 shares as of December 31, 2022, held in</w:t>
            </w: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(513,307)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(441,931)</w:t>
            </w:r>
          </w:p>
        </w:tc>
        <w:tc>
          <w:tcPr>
            <w:tcW w:w="0" w:type="dxa"/>
            <w:vAlign w:val="bottom"/>
          </w:tcPr>
          <w:p>
            <w:pPr>
              <w:spacing w:after="0"/>
              <w:rPr>
                <w:sz w:val="1"/>
                <w:szCs w:val="1"/>
                <w:color w:val="auto"/>
              </w:rPr>
            </w:pPr>
          </w:p>
        </w:tc>
      </w:tr>
      <w:tr>
        <w:trPr>
          <w:trHeight w:val="19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treasury, at cost</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834,214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758,179</w:t>
            </w:r>
          </w:p>
        </w:tc>
        <w:tc>
          <w:tcPr>
            <w:tcW w:w="0" w:type="dxa"/>
            <w:vAlign w:val="bottom"/>
          </w:tcPr>
          <w:p>
            <w:pPr>
              <w:spacing w:after="0"/>
              <w:rPr>
                <w:sz w:val="1"/>
                <w:szCs w:val="1"/>
                <w:color w:val="auto"/>
              </w:rPr>
            </w:pPr>
          </w:p>
        </w:tc>
      </w:tr>
      <w:tr>
        <w:trPr>
          <w:trHeight w:val="251"/>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1,362,702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1,346,119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60"/>
          </w:cols>
          <w:pgMar w:left="760" w:top="891" w:right="7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growth on an organic constant currency basis.</w:t>
      </w:r>
    </w:p>
    <w:p>
      <w:pPr>
        <w:spacing w:after="0" w:line="306" w:lineRule="exact"/>
        <w:rPr>
          <w:sz w:val="20"/>
          <w:szCs w:val="20"/>
          <w:color w:val="auto"/>
        </w:rPr>
      </w:pPr>
    </w:p>
    <w:p>
      <w:pPr>
        <w:jc w:val="both"/>
        <w:ind w:firstLine="405"/>
        <w:spacing w:after="0" w:line="343"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3"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EXL non-GAAP financial measures exclude, where applicable, stock-based compensation expense, amortization of acquisition-related intangible assets, provision for litigation settlement, impairment charges on acquired long-lived and intangible assets including goodwill, effects of termination of leases, certain defined social security contributions,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1"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7"/>
          <w:szCs w:val="17"/>
          <w:color w:val="auto"/>
        </w:rPr>
        <w:t>The information provided on an organic constant currency basis reflects a comparison of current period results translated at the prior period currency rates and exclude the impact from an acquisition for a twelve-month period from the date of the acquisition.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77.68 during the quarter ended June 30, 2022 to 82.20 during the quarter ended June 30, 2023, representing a depreciation of 5.8% against the U.S. dollar. The average exchange rate of the U.S. Dollar against the Philippine Peso increased from 53.18 during the quarter ended June 30, 2022 to 55.58 during the quarter ended June 30, 2023, representing a depreciation of 4.5%</w:t>
      </w:r>
    </w:p>
    <w:p>
      <w:pPr>
        <w:sectPr>
          <w:pgSz w:w="11900" w:h="16838" w:orient="portrait"/>
          <w:cols w:equalWidth="0" w:num="1">
            <w:col w:w="11240"/>
          </w:cols>
          <w:pgMar w:left="320" w:top="931" w:right="339" w:bottom="1440" w:gutter="0" w:footer="0" w:header="0"/>
        </w:sectPr>
      </w:pPr>
    </w:p>
    <w:bookmarkStart w:id="10" w:name="page11"/>
    <w:bookmarkEnd w:id="10"/>
    <w:p>
      <w:pPr>
        <w:spacing w:after="0" w:line="324" w:lineRule="auto"/>
        <w:rPr>
          <w:sz w:val="20"/>
          <w:szCs w:val="20"/>
          <w:color w:val="auto"/>
        </w:rPr>
      </w:pPr>
      <w:r>
        <w:rPr>
          <w:rFonts w:ascii="Arial" w:cs="Arial" w:eastAsia="Arial" w:hAnsi="Arial"/>
          <w:sz w:val="18"/>
          <w:szCs w:val="18"/>
          <w:color w:val="auto"/>
        </w:rPr>
        <w:t>against the U.S. dollar. The average exchange rate of the U.K. pound sterling against the U.S. Dollar increased from 1.24 during the quarter ended June 30, 2022 to 1.25 during the quarter ended June 30, 2023, representing an appreciation of 0.9% against the U.S. dollar.</w:t>
      </w:r>
    </w:p>
    <w:p>
      <w:pPr>
        <w:spacing w:after="0" w:line="197" w:lineRule="exact"/>
        <w:rPr>
          <w:sz w:val="20"/>
          <w:szCs w:val="20"/>
          <w:color w:val="auto"/>
        </w:rPr>
      </w:pPr>
    </w:p>
    <w:p>
      <w:pPr>
        <w:ind w:firstLine="405"/>
        <w:spacing w:after="0" w:line="340"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June 30, 2023 and June 30, 2022, and the three months ended March 31, 2023: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17"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6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1"/>
              </w:rPr>
              <w:t>Three months ended</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49,068</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35,846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51,331</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6"/>
                <w:szCs w:val="16"/>
                <w:color w:val="auto"/>
              </w:rPr>
              <w:t>add: Income tax expense</w:t>
            </w:r>
          </w:p>
        </w:tc>
        <w:tc>
          <w:tcPr>
            <w:tcW w:w="36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15,554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11,125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179"/>
        </w:trPr>
        <w:tc>
          <w:tcPr>
            <w:tcW w:w="600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add/(subtract): Foreign exchange gain, net, interest expense,</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6"/>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from equity-method investment and other income/(loss),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b w:val="1"/>
                <w:bCs w:val="1"/>
                <w:color w:val="auto"/>
              </w:rPr>
              <w:t>64,811</w:t>
            </w:r>
          </w:p>
        </w:tc>
        <w:tc>
          <w:tcPr>
            <w:tcW w:w="5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rPr>
              <w:t>47,081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3"/>
              <w:spacing w:after="0"/>
              <w:rPr>
                <w:sz w:val="20"/>
                <w:szCs w:val="20"/>
                <w:color w:val="auto"/>
              </w:rPr>
            </w:pPr>
            <w:r>
              <w:rPr>
                <w:rFonts w:ascii="Arial" w:cs="Arial" w:eastAsia="Arial" w:hAnsi="Arial"/>
                <w:sz w:val="18"/>
                <w:szCs w:val="18"/>
                <w:b w:val="1"/>
                <w:bCs w:val="1"/>
                <w:color w:val="auto"/>
              </w:rPr>
              <w:t>59,448</w:t>
            </w:r>
          </w:p>
        </w:tc>
        <w:tc>
          <w:tcPr>
            <w:tcW w:w="0" w:type="dxa"/>
            <w:vAlign w:val="bottom"/>
          </w:tcPr>
          <w:p>
            <w:pPr>
              <w:spacing w:after="0"/>
              <w:rPr>
                <w:sz w:val="1"/>
                <w:szCs w:val="1"/>
                <w:color w:val="auto"/>
              </w:rPr>
            </w:pPr>
          </w:p>
        </w:tc>
      </w:tr>
      <w:tr>
        <w:trPr>
          <w:trHeight w:val="233"/>
        </w:trPr>
        <w:tc>
          <w:tcPr>
            <w:tcW w:w="6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Stock-based compensation expense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11,511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13,340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6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add/(subtract): Other expenses/(benefits) (a)</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81,104</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64,784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77,915</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 (Non-GAAP)</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20.0 %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19.4 %</w:t>
            </w:r>
          </w:p>
        </w:tc>
        <w:tc>
          <w:tcPr>
            <w:tcW w:w="0" w:type="dxa"/>
            <w:vAlign w:val="bottom"/>
          </w:tcPr>
          <w:p>
            <w:pPr>
              <w:spacing w:after="0"/>
              <w:rPr>
                <w:sz w:val="1"/>
                <w:szCs w:val="1"/>
                <w:color w:val="auto"/>
              </w:rPr>
            </w:pPr>
          </w:p>
        </w:tc>
      </w:tr>
      <w:tr>
        <w:trPr>
          <w:trHeight w:val="213"/>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add: Depreciation on long-lived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color w:val="auto"/>
              </w:rPr>
              <w:t>8,289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color w:val="auto"/>
              </w:rPr>
              <w:t>9,929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color w:val="auto"/>
              </w:rPr>
              <w:t>8,589</w:t>
            </w:r>
          </w:p>
        </w:tc>
        <w:tc>
          <w:tcPr>
            <w:tcW w:w="0" w:type="dxa"/>
            <w:vAlign w:val="bottom"/>
          </w:tcPr>
          <w:p>
            <w:pPr>
              <w:spacing w:after="0"/>
              <w:rPr>
                <w:sz w:val="1"/>
                <w:szCs w:val="1"/>
                <w:color w:val="auto"/>
              </w:rPr>
            </w:pPr>
          </w:p>
        </w:tc>
      </w:tr>
      <w:tr>
        <w:trPr>
          <w:trHeight w:val="25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89,393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74,713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86,504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22.1 %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21.5 %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21.6 %</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left="500" w:hanging="249"/>
        <w:spacing w:after="0" w:line="252" w:lineRule="auto"/>
        <w:tabs>
          <w:tab w:leader="none" w:pos="487"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effects of lease termination of $578 and $nil during the three months ended June 30, 2023 and 2022 respectively, and ($89) during the three months ended March 31, 2023, and to exclude certain expenses related to defined social security contribution in India for historical periods of $217 recorded during the three months ended June 30, 2022.</w:t>
      </w:r>
    </w:p>
    <w:p>
      <w:pPr>
        <w:sectPr>
          <w:pgSz w:w="11900" w:h="16838" w:orient="portrait"/>
          <w:cols w:equalWidth="0" w:num="1">
            <w:col w:w="11240"/>
          </w:cols>
          <w:pgMar w:left="320" w:top="9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5"/>
              </w:rPr>
              <w:t>Three months ended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51,331</w:t>
            </w:r>
          </w:p>
        </w:tc>
        <w:tc>
          <w:tcPr>
            <w:tcW w:w="0" w:type="dxa"/>
            <w:vAlign w:val="bottom"/>
          </w:tcPr>
          <w:p>
            <w:pPr>
              <w:spacing w:after="0"/>
              <w:rPr>
                <w:sz w:val="1"/>
                <w:szCs w:val="1"/>
                <w:color w:val="auto"/>
              </w:rPr>
            </w:pPr>
          </w:p>
        </w:tc>
      </w:tr>
      <w:tr>
        <w:trPr>
          <w:trHeight w:val="230"/>
        </w:trPr>
        <w:tc>
          <w:tcPr>
            <w:tcW w:w="6260" w:type="dxa"/>
            <w:vAlign w:val="bottom"/>
          </w:tcPr>
          <w:p>
            <w:pPr>
              <w:ind w:left="340"/>
              <w:spacing w:after="0"/>
              <w:rPr>
                <w:sz w:val="20"/>
                <w:szCs w:val="20"/>
                <w:color w:val="auto"/>
              </w:rPr>
            </w:pPr>
            <w:r>
              <w:rPr>
                <w:rFonts w:ascii="Arial" w:cs="Arial" w:eastAsia="Arial" w:hAnsi="Arial"/>
                <w:sz w:val="16"/>
                <w:szCs w:val="16"/>
                <w:color w:val="auto"/>
              </w:rPr>
              <w:t>add: Stock-based compensation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30"/>
        </w:trPr>
        <w:tc>
          <w:tcPr>
            <w:tcW w:w="6260" w:type="dxa"/>
            <w:vAlign w:val="bottom"/>
          </w:tcPr>
          <w:p>
            <w:pPr>
              <w:ind w:left="340"/>
              <w:spacing w:after="0"/>
              <w:rPr>
                <w:sz w:val="20"/>
                <w:szCs w:val="20"/>
                <w:color w:val="auto"/>
              </w:rPr>
            </w:pPr>
            <w:r>
              <w:rPr>
                <w:rFonts w:ascii="Arial" w:cs="Arial" w:eastAsia="Arial" w:hAnsi="Arial"/>
                <w:sz w:val="16"/>
                <w:szCs w:val="16"/>
                <w:color w:val="auto"/>
              </w:rPr>
              <w:t>add: Effects of changes in fair value of contingent consideration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add/(subtract): Other expenses/(benefits) (a)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6260" w:type="dxa"/>
            <w:vAlign w:val="bottom"/>
          </w:tcPr>
          <w:p>
            <w:pPr>
              <w:ind w:left="340"/>
              <w:spacing w:after="0"/>
              <w:rPr>
                <w:sz w:val="20"/>
                <w:szCs w:val="20"/>
                <w:color w:val="auto"/>
              </w:rPr>
            </w:pPr>
            <w:r>
              <w:rPr>
                <w:rFonts w:ascii="Arial" w:cs="Arial" w:eastAsia="Arial" w:hAnsi="Arial"/>
                <w:sz w:val="16"/>
                <w:szCs w:val="16"/>
                <w:color w:val="auto"/>
              </w:rPr>
              <w:t>subtract: Tax impact on stock-based compensation expense (b)</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36"/>
        </w:trPr>
        <w:tc>
          <w:tcPr>
            <w:tcW w:w="6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add/(subtract): Tax impact on other expenses/(benefits)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58,967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tcBorders>
              <w:top w:val="single" w:sz="8" w:color="CCEEFF"/>
            </w:tcBorders>
            <w:vMerge w:val="continue"/>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500" w:hanging="249"/>
        <w:spacing w:after="0" w:line="269" w:lineRule="auto"/>
        <w:tabs>
          <w:tab w:leader="none" w:pos="487"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effects of lease termination of $578 and $nil during the three months ended June 30, 2023 and 2022 respectively, and ($89) during the three months ended March 31, 2023, and to exclude certain expenses related to defined social security contribution in India for historical periods of $580 recorded during the three months ended June 30, 2022.</w:t>
      </w:r>
    </w:p>
    <w:p>
      <w:pPr>
        <w:spacing w:after="0" w:line="69" w:lineRule="exact"/>
        <w:rPr>
          <w:rFonts w:ascii="Arial" w:cs="Arial" w:eastAsia="Arial" w:hAnsi="Arial"/>
          <w:sz w:val="16"/>
          <w:szCs w:val="16"/>
          <w:i w:val="1"/>
          <w:iCs w:val="1"/>
          <w:color w:val="auto"/>
        </w:rPr>
      </w:pPr>
    </w:p>
    <w:p>
      <w:pPr>
        <w:ind w:left="500" w:hanging="249"/>
        <w:spacing w:after="0" w:line="328" w:lineRule="auto"/>
        <w:tabs>
          <w:tab w:leader="none" w:pos="49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Tax impact includes $190 and $14 during the three months ended June 30, 2023 and 2022 respectively, and $12,520 during the three months ended March 31, 2023, related to discrete benefits recognized in income tax expense in accordance with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Kristoff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+1 212 209 4613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ir@exlservice.com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Keith Little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+1 703 598 0980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media.relations@exlservice.com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UK, Europe, and APAC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Anna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Light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+44 202 617 7240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exlteam@firstlightgroup.io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India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+91 9810476075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shailendra.singh@exlservice.com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2023-07-27T05:13:21Z</dcterms:created>
  <dcterms:modified xsi:type="dcterms:W3CDTF">2023-07-27T05:13:21Z</dcterms:modified>
</cp:coreProperties>
</file>