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24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24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Nacha Krishna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02/10/2009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6"/>
        <w:spacing w:after="0"/>
        <w:rPr>
          <w:sz w:val="20"/>
          <w:szCs w:val="20"/>
          <w:color w:val="auto"/>
        </w:rPr>
      </w:pPr>
      <w:r>
        <w:rPr>
          <w:rFonts w:ascii="Arial" w:cs="Arial" w:eastAsia="Arial" w:hAnsi="Arial"/>
          <w:sz w:val="17"/>
          <w:szCs w:val="17"/>
          <w:color w:val="0000FF"/>
        </w:rPr>
        <w:t>VP &amp; Head of Sales &amp; Marketing</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10022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jc w:val="right"/>
              <w:ind w:right="157"/>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43,000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02/10/2009</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8" w:lineRule="exact"/>
              <w:rPr>
                <w:sz w:val="20"/>
                <w:szCs w:val="20"/>
                <w:color w:val="auto"/>
              </w:rPr>
            </w:pPr>
            <w:r>
              <w:rPr>
                <w:rFonts w:ascii="Arial" w:cs="Arial" w:eastAsia="Arial" w:hAnsi="Arial"/>
                <w:sz w:val="13"/>
                <w:szCs w:val="13"/>
                <w:color w:val="0000FF"/>
              </w:rPr>
              <w:t>43,000</w:t>
            </w:r>
          </w:p>
        </w:tc>
        <w:tc>
          <w:tcPr>
            <w:tcW w:w="3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02/10/2019</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43,000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0.001 per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exerciseable on February 10, 2010; an additional 20 percent of the options will vest and become exerciseable on February 10, 2011, an additional 30 percent of the options will vest and become exerciseable on February 10, 2012; and the remaining 40 percent of options will vest and become exerciseable on February 10, 2013.</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02/12/2009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2019-12-16T15:23:21Z</dcterms:created>
  <dcterms:modified xsi:type="dcterms:W3CDTF">2019-12-16T15:23:21Z</dcterms:modified>
</cp:coreProperties>
</file>