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964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9648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Bhalla Vikas</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5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01/30/2018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623"/>
        <w:spacing w:after="0"/>
        <w:rPr>
          <w:sz w:val="20"/>
          <w:szCs w:val="20"/>
          <w:color w:val="auto"/>
        </w:rPr>
      </w:pPr>
      <w:r>
        <w:rPr>
          <w:rFonts w:ascii="Arial" w:cs="Arial" w:eastAsia="Arial" w:hAnsi="Arial"/>
          <w:sz w:val="18"/>
          <w:szCs w:val="18"/>
          <w:color w:val="0000FF"/>
        </w:rPr>
        <w:t>EVP &amp; Head of Outsourcing</w:t>
      </w:r>
    </w:p>
    <w:p>
      <w:pPr>
        <w:spacing w:after="0" w:line="315"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500" w:type="dxa"/>
            <w:vAlign w:val="bottom"/>
          </w:tcPr>
          <w:p>
            <w:pPr>
              <w:spacing w:after="0"/>
              <w:rPr>
                <w:sz w:val="14"/>
                <w:szCs w:val="14"/>
                <w:color w:val="auto"/>
              </w:rPr>
            </w:pPr>
          </w:p>
        </w:tc>
        <w:tc>
          <w:tcPr>
            <w:tcW w:w="1120" w:type="dxa"/>
            <w:vAlign w:val="bottom"/>
            <w:gridSpan w:val="2"/>
          </w:tcPr>
          <w:p>
            <w:pPr>
              <w:ind w:left="120"/>
              <w:spacing w:after="0"/>
              <w:rPr>
                <w:sz w:val="20"/>
                <w:szCs w:val="20"/>
                <w:color w:val="auto"/>
              </w:rPr>
            </w:pPr>
            <w:r>
              <w:rPr>
                <w:rFonts w:ascii="Arial" w:cs="Arial" w:eastAsia="Arial" w:hAnsi="Arial"/>
                <w:sz w:val="12"/>
                <w:szCs w:val="12"/>
                <w:b w:val="1"/>
                <w:bCs w:val="1"/>
                <w:color w:val="auto"/>
              </w:rPr>
              <w:t>2.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30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2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36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w w:val="95"/>
              </w:rPr>
              <w:t>if any</w:t>
            </w:r>
          </w:p>
        </w:tc>
        <w:tc>
          <w:tcPr>
            <w:tcW w:w="76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500" w:type="dxa"/>
            <w:vAlign w:val="bottom"/>
          </w:tcPr>
          <w:p>
            <w:pPr>
              <w:spacing w:after="0"/>
              <w:rPr>
                <w:sz w:val="6"/>
                <w:szCs w:val="6"/>
                <w:color w:val="auto"/>
              </w:rPr>
            </w:pPr>
          </w:p>
        </w:tc>
        <w:tc>
          <w:tcPr>
            <w:tcW w:w="640" w:type="dxa"/>
            <w:vAlign w:val="bottom"/>
          </w:tcPr>
          <w:p>
            <w:pPr>
              <w:spacing w:after="0"/>
              <w:rPr>
                <w:sz w:val="6"/>
                <w:szCs w:val="6"/>
                <w:color w:val="auto"/>
              </w:rPr>
            </w:pPr>
          </w:p>
        </w:tc>
        <w:tc>
          <w:tcPr>
            <w:tcW w:w="480" w:type="dxa"/>
            <w:vAlign w:val="bottom"/>
          </w:tcPr>
          <w:p>
            <w:pPr>
              <w:spacing w:after="0"/>
              <w:rPr>
                <w:sz w:val="6"/>
                <w:szCs w:val="6"/>
                <w:color w:val="auto"/>
              </w:rPr>
            </w:pPr>
          </w:p>
        </w:tc>
        <w:tc>
          <w:tcPr>
            <w:tcW w:w="44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40" w:type="dxa"/>
            <w:vAlign w:val="bottom"/>
          </w:tcPr>
          <w:p>
            <w:pPr>
              <w:spacing w:after="0"/>
              <w:rPr>
                <w:sz w:val="3"/>
                <w:szCs w:val="3"/>
                <w:color w:val="auto"/>
              </w:rPr>
            </w:pPr>
          </w:p>
        </w:tc>
        <w:tc>
          <w:tcPr>
            <w:tcW w:w="4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180"/>
              <w:spacing w:after="0" w:line="135" w:lineRule="exact"/>
              <w:rPr>
                <w:sz w:val="20"/>
                <w:szCs w:val="20"/>
                <w:color w:val="auto"/>
              </w:rPr>
            </w:pPr>
            <w:r>
              <w:rPr>
                <w:rFonts w:ascii="Arial" w:cs="Arial" w:eastAsia="Arial" w:hAnsi="Arial"/>
                <w:sz w:val="12"/>
                <w:szCs w:val="12"/>
                <w:b w:val="1"/>
                <w:bCs w:val="1"/>
                <w:color w:val="auto"/>
                <w:w w:val="99"/>
              </w:rPr>
              <w:t>(A) or</w:t>
            </w: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2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80" w:type="dxa"/>
            <w:vAlign w:val="bottom"/>
            <w:vMerge w:val="continue"/>
          </w:tcPr>
          <w:p>
            <w:pPr>
              <w:spacing w:after="0"/>
              <w:rPr>
                <w:sz w:val="8"/>
                <w:szCs w:val="8"/>
                <w:color w:val="auto"/>
              </w:rPr>
            </w:pPr>
          </w:p>
        </w:tc>
        <w:tc>
          <w:tcPr>
            <w:tcW w:w="30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500" w:type="dxa"/>
            <w:vAlign w:val="bottom"/>
          </w:tcPr>
          <w:p>
            <w:pPr>
              <w:spacing w:after="0"/>
              <w:rPr>
                <w:sz w:val="5"/>
                <w:szCs w:val="5"/>
                <w:color w:val="auto"/>
              </w:rPr>
            </w:pPr>
          </w:p>
        </w:tc>
        <w:tc>
          <w:tcPr>
            <w:tcW w:w="6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00" w:type="dxa"/>
            <w:vAlign w:val="bottom"/>
            <w:tcBorders>
              <w:bottom w:val="single" w:sz="8" w:color="2C2C2C"/>
            </w:tcBorders>
            <w:gridSpan w:val="4"/>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200" w:type="dxa"/>
            <w:vAlign w:val="bottom"/>
            <w:gridSpan w:val="4"/>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1120" w:type="dxa"/>
            <w:vAlign w:val="bottom"/>
            <w:gridSpan w:val="2"/>
          </w:tcPr>
          <w:p>
            <w:pPr>
              <w:jc w:val="right"/>
              <w:ind w:right="39"/>
              <w:spacing w:after="0"/>
              <w:rPr>
                <w:sz w:val="20"/>
                <w:szCs w:val="20"/>
                <w:color w:val="auto"/>
              </w:rPr>
            </w:pPr>
            <w:r>
              <w:rPr>
                <w:rFonts w:ascii="Arial" w:cs="Arial" w:eastAsia="Arial" w:hAnsi="Arial"/>
                <w:sz w:val="18"/>
                <w:szCs w:val="18"/>
                <w:color w:val="0000FF"/>
              </w:rPr>
              <w:t>01/30/2018</w:t>
            </w:r>
          </w:p>
        </w:tc>
        <w:tc>
          <w:tcPr>
            <w:tcW w:w="4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00" w:type="dxa"/>
            <w:vAlign w:val="bottom"/>
          </w:tcPr>
          <w:p>
            <w:pPr>
              <w:ind w:left="180"/>
              <w:spacing w:after="0"/>
              <w:rPr>
                <w:sz w:val="20"/>
                <w:szCs w:val="20"/>
                <w:color w:val="auto"/>
              </w:rPr>
            </w:pPr>
            <w:r>
              <w:rPr>
                <w:rFonts w:ascii="Arial" w:cs="Arial" w:eastAsia="Arial" w:hAnsi="Arial"/>
                <w:sz w:val="14"/>
                <w:szCs w:val="14"/>
                <w:color w:val="0000FF"/>
              </w:rPr>
              <w:t>A</w:t>
            </w:r>
          </w:p>
        </w:tc>
        <w:tc>
          <w:tcPr>
            <w:tcW w:w="720" w:type="dxa"/>
            <w:vAlign w:val="bottom"/>
          </w:tcPr>
          <w:p>
            <w:pPr>
              <w:jc w:val="right"/>
              <w:ind w:right="32"/>
              <w:spacing w:after="0"/>
              <w:rPr>
                <w:sz w:val="20"/>
                <w:szCs w:val="20"/>
                <w:color w:val="auto"/>
              </w:rPr>
            </w:pPr>
            <w:r>
              <w:rPr>
                <w:rFonts w:ascii="Arial" w:cs="Arial" w:eastAsia="Arial" w:hAnsi="Arial"/>
                <w:sz w:val="18"/>
                <w:szCs w:val="18"/>
                <w:color w:val="0000FF"/>
              </w:rPr>
              <w:t>9,901</w:t>
            </w:r>
          </w:p>
        </w:tc>
        <w:tc>
          <w:tcPr>
            <w:tcW w:w="520" w:type="dxa"/>
            <w:vAlign w:val="bottom"/>
          </w:tcPr>
          <w:p>
            <w:pPr>
              <w:ind w:left="320"/>
              <w:spacing w:after="0"/>
              <w:rPr>
                <w:sz w:val="20"/>
                <w:szCs w:val="20"/>
                <w:color w:val="auto"/>
              </w:rPr>
            </w:pPr>
            <w:r>
              <w:rPr>
                <w:rFonts w:ascii="Arial" w:cs="Arial" w:eastAsia="Arial" w:hAnsi="Arial"/>
                <w:sz w:val="18"/>
                <w:szCs w:val="18"/>
                <w:color w:val="0000FF"/>
              </w:rPr>
              <w:t>A</w:t>
            </w:r>
          </w:p>
        </w:tc>
        <w:tc>
          <w:tcPr>
            <w:tcW w:w="580" w:type="dxa"/>
            <w:vAlign w:val="bottom"/>
          </w:tcPr>
          <w:p>
            <w:pPr>
              <w:jc w:val="right"/>
              <w:spacing w:after="0"/>
              <w:rPr>
                <w:sz w:val="20"/>
                <w:szCs w:val="20"/>
                <w:color w:val="auto"/>
              </w:rPr>
            </w:pPr>
            <w:r>
              <w:rPr>
                <w:rFonts w:ascii="Arial" w:cs="Arial" w:eastAsia="Arial" w:hAnsi="Arial"/>
                <w:sz w:val="11"/>
                <w:szCs w:val="11"/>
                <w:color w:val="008000"/>
              </w:rPr>
              <w:t>(1)</w:t>
            </w:r>
          </w:p>
        </w:tc>
        <w:tc>
          <w:tcPr>
            <w:tcW w:w="3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ind w:left="40"/>
              <w:spacing w:after="0"/>
              <w:rPr>
                <w:sz w:val="20"/>
                <w:szCs w:val="20"/>
                <w:color w:val="auto"/>
              </w:rPr>
            </w:pPr>
            <w:r>
              <w:rPr>
                <w:rFonts w:ascii="Arial" w:cs="Arial" w:eastAsia="Arial" w:hAnsi="Arial"/>
                <w:sz w:val="18"/>
                <w:szCs w:val="18"/>
                <w:color w:val="0000FF"/>
              </w:rPr>
              <w:t>9,903</w:t>
            </w:r>
          </w:p>
        </w:tc>
        <w:tc>
          <w:tcPr>
            <w:tcW w:w="920" w:type="dxa"/>
            <w:vAlign w:val="bottom"/>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00" w:type="dxa"/>
            <w:vAlign w:val="bottom"/>
            <w:tcBorders>
              <w:bottom w:val="single" w:sz="8" w:color="2C2C2C"/>
            </w:tcBorders>
            <w:gridSpan w:val="4"/>
          </w:tcPr>
          <w:p>
            <w:pPr>
              <w:spacing w:after="0"/>
              <w:rPr>
                <w:sz w:val="5"/>
                <w:szCs w:val="5"/>
                <w:color w:val="auto"/>
              </w:rPr>
            </w:pPr>
          </w:p>
        </w:tc>
        <w:tc>
          <w:tcPr>
            <w:tcW w:w="1120" w:type="dxa"/>
            <w:vAlign w:val="bottom"/>
            <w:tcBorders>
              <w:bottom w:val="single" w:sz="8" w:color="2C2C2C"/>
            </w:tcBorders>
            <w:gridSpan w:val="2"/>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gridSpan w:val="2"/>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320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1120" w:type="dxa"/>
            <w:vAlign w:val="bottom"/>
            <w:tcBorders>
              <w:bottom w:val="single" w:sz="8" w:color="2C2C2C"/>
            </w:tcBorders>
            <w:gridSpan w:val="2"/>
          </w:tcPr>
          <w:p>
            <w:pPr>
              <w:jc w:val="right"/>
              <w:ind w:right="39"/>
              <w:spacing w:after="0"/>
              <w:rPr>
                <w:sz w:val="20"/>
                <w:szCs w:val="20"/>
                <w:color w:val="auto"/>
              </w:rPr>
            </w:pPr>
            <w:r>
              <w:rPr>
                <w:rFonts w:ascii="Arial" w:cs="Arial" w:eastAsia="Arial" w:hAnsi="Arial"/>
                <w:sz w:val="18"/>
                <w:szCs w:val="18"/>
                <w:color w:val="0000FF"/>
              </w:rPr>
              <w:t>01/30/2018</w:t>
            </w:r>
          </w:p>
        </w:tc>
        <w:tc>
          <w:tcPr>
            <w:tcW w:w="4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F</w:t>
            </w:r>
          </w:p>
        </w:tc>
        <w:tc>
          <w:tcPr>
            <w:tcW w:w="720" w:type="dxa"/>
            <w:vAlign w:val="bottom"/>
            <w:tcBorders>
              <w:bottom w:val="single" w:sz="8" w:color="2C2C2C"/>
            </w:tcBorders>
          </w:tcPr>
          <w:p>
            <w:pPr>
              <w:jc w:val="right"/>
              <w:ind w:right="32"/>
              <w:spacing w:after="0"/>
              <w:rPr>
                <w:sz w:val="20"/>
                <w:szCs w:val="20"/>
                <w:color w:val="auto"/>
              </w:rPr>
            </w:pPr>
            <w:r>
              <w:rPr>
                <w:rFonts w:ascii="Arial" w:cs="Arial" w:eastAsia="Arial" w:hAnsi="Arial"/>
                <w:sz w:val="18"/>
                <w:szCs w:val="18"/>
                <w:color w:val="0000FF"/>
              </w:rPr>
              <w:t>3,520</w:t>
            </w:r>
          </w:p>
        </w:tc>
        <w:tc>
          <w:tcPr>
            <w:tcW w:w="52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61.94</w:t>
            </w:r>
            <w:r>
              <w:rPr>
                <w:rFonts w:ascii="Arial" w:cs="Arial" w:eastAsia="Arial" w:hAnsi="Arial"/>
                <w:sz w:val="22"/>
                <w:szCs w:val="22"/>
                <w:color w:val="008000"/>
                <w:vertAlign w:val="superscript"/>
              </w:rPr>
              <w:t>(2)</w:t>
            </w:r>
          </w:p>
        </w:tc>
        <w:tc>
          <w:tcPr>
            <w:tcW w:w="3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ind w:left="40"/>
              <w:spacing w:after="0"/>
              <w:rPr>
                <w:sz w:val="20"/>
                <w:szCs w:val="20"/>
                <w:color w:val="auto"/>
              </w:rPr>
            </w:pPr>
            <w:r>
              <w:rPr>
                <w:rFonts w:ascii="Arial" w:cs="Arial" w:eastAsia="Arial" w:hAnsi="Arial"/>
                <w:sz w:val="18"/>
                <w:szCs w:val="18"/>
                <w:color w:val="0000FF"/>
              </w:rPr>
              <w:t>6,383</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3"/>
          </w:tcPr>
          <w:p>
            <w:pPr>
              <w:jc w:val="center"/>
              <w:ind w:left="9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940" w:type="dxa"/>
            <w:vAlign w:val="bottom"/>
            <w:gridSpan w:val="8"/>
          </w:tcPr>
          <w:p>
            <w:pPr>
              <w:jc w:val="center"/>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500" w:type="dxa"/>
            <w:vAlign w:val="bottom"/>
          </w:tcPr>
          <w:p>
            <w:pPr>
              <w:spacing w:after="0"/>
              <w:rPr>
                <w:sz w:val="4"/>
                <w:szCs w:val="4"/>
                <w:color w:val="auto"/>
              </w:rPr>
            </w:pPr>
          </w:p>
        </w:tc>
        <w:tc>
          <w:tcPr>
            <w:tcW w:w="640" w:type="dxa"/>
            <w:vAlign w:val="bottom"/>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Pr>
          <w:p>
            <w:pPr>
              <w:spacing w:after="0"/>
              <w:rPr>
                <w:sz w:val="4"/>
                <w:szCs w:val="4"/>
                <w:color w:val="auto"/>
              </w:rPr>
            </w:pPr>
          </w:p>
        </w:tc>
        <w:tc>
          <w:tcPr>
            <w:tcW w:w="36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6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5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80" w:firstLine="9"/>
        <w:spacing w:after="0" w:line="230"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reporting person's shares of common stock, par value $0.001 per share (the "Common Stock") reported in this report were earned pursuant to the performance restricted stock units ("PRSUs") of ExlService Holdings, Inc. (the "Company") granted on February 26, 2015 and voluntarily reported in a Form 4 filed on March 12, 2015. Such shares of Common Stock were deemed earned on January 30, 2018 based on the Compensation Committee of the Board of Directors administering the award certifying the achievement of performance targets applicable to the PRSUs for the performance period ending on December 31, 2017.</w:t>
      </w:r>
    </w:p>
    <w:p>
      <w:pPr>
        <w:spacing w:after="0" w:line="31" w:lineRule="exact"/>
        <w:rPr>
          <w:rFonts w:ascii="Arial" w:cs="Arial" w:eastAsia="Arial" w:hAnsi="Arial"/>
          <w:sz w:val="14"/>
          <w:szCs w:val="14"/>
          <w:color w:val="008000"/>
        </w:rPr>
      </w:pPr>
    </w:p>
    <w:p>
      <w:pPr>
        <w:ind w:left="40" w:right="80" w:firstLine="9"/>
        <w:spacing w:after="0" w:line="29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Pursuant to the agreement governing the grant of the PRSUs and pursuant to the Company's 2006 Omnibus Award Plan, pursuant to which such PRSUs were granted, the average of the high and low price of the Common Stock on the Nasdaq Global Select Market on the preceding day, January 29, 2018 in this case, is used for purposes of computing tax reporting and withholding.</w:t>
      </w: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02/01/2018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3633"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2019-12-04T01:58:06Z</dcterms:created>
  <dcterms:modified xsi:type="dcterms:W3CDTF">2019-12-04T01:58:06Z</dcterms:modified>
</cp:coreProperties>
</file>