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2515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25157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715"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Talwar Vikram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01/11/2011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23"/>
        <w:spacing w:after="0"/>
        <w:rPr>
          <w:sz w:val="20"/>
          <w:szCs w:val="20"/>
          <w:color w:val="auto"/>
        </w:rPr>
      </w:pPr>
      <w:r>
        <w:rPr>
          <w:rFonts w:ascii="Arial" w:cs="Arial" w:eastAsia="Arial" w:hAnsi="Arial"/>
          <w:sz w:val="18"/>
          <w:szCs w:val="18"/>
          <w:color w:val="0000FF"/>
        </w:rPr>
        <w:t>Executive Chairman</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715"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shd w:val="clear" w:color="auto" w:fill="9A9A9A"/>
          </w:tcPr>
          <w:p>
            <w:pPr>
              <w:spacing w:after="0"/>
              <w:rPr>
                <w:sz w:val="2"/>
                <w:szCs w:val="2"/>
                <w:color w:val="auto"/>
              </w:rPr>
            </w:pPr>
          </w:p>
        </w:tc>
        <w:tc>
          <w:tcPr>
            <w:tcW w:w="860" w:type="dxa"/>
            <w:vAlign w:val="bottom"/>
            <w:shd w:val="clear" w:color="auto" w:fill="9A9A9A"/>
          </w:tcPr>
          <w:p>
            <w:pPr>
              <w:spacing w:after="0"/>
              <w:rPr>
                <w:sz w:val="2"/>
                <w:szCs w:val="2"/>
                <w:color w:val="auto"/>
              </w:rPr>
            </w:pPr>
          </w:p>
        </w:tc>
        <w:tc>
          <w:tcPr>
            <w:tcW w:w="1020" w:type="dxa"/>
            <w:vAlign w:val="bottom"/>
            <w:shd w:val="clear" w:color="auto" w:fill="9A9A9A"/>
          </w:tcPr>
          <w:p>
            <w:pPr>
              <w:spacing w:after="0"/>
              <w:rPr>
                <w:sz w:val="2"/>
                <w:szCs w:val="2"/>
                <w:color w:val="auto"/>
              </w:rPr>
            </w:pPr>
          </w:p>
        </w:tc>
        <w:tc>
          <w:tcPr>
            <w:tcW w:w="800" w:type="dxa"/>
            <w:vAlign w:val="bottom"/>
            <w:shd w:val="clear" w:color="auto" w:fill="9A9A9A"/>
          </w:tcPr>
          <w:p>
            <w:pPr>
              <w:spacing w:after="0"/>
              <w:rPr>
                <w:sz w:val="2"/>
                <w:szCs w:val="2"/>
                <w:color w:val="auto"/>
              </w:rPr>
            </w:pPr>
          </w:p>
        </w:tc>
        <w:tc>
          <w:tcPr>
            <w:tcW w:w="3600" w:type="dxa"/>
            <w:vAlign w:val="bottom"/>
            <w:gridSpan w:val="5"/>
            <w:vMerge w:val="restart"/>
          </w:tcPr>
          <w:p>
            <w:pPr>
              <w:ind w:left="160"/>
              <w:spacing w:after="0"/>
              <w:rPr>
                <w:sz w:val="20"/>
                <w:szCs w:val="20"/>
                <w:color w:val="auto"/>
              </w:rPr>
            </w:pPr>
            <w:r>
              <w:rPr>
                <w:rFonts w:ascii="Arial" w:cs="Arial" w:eastAsia="Arial" w:hAnsi="Arial"/>
                <w:sz w:val="14"/>
                <w:szCs w:val="14"/>
                <w:color w:val="auto"/>
                <w:w w:val="95"/>
              </w:rPr>
              <w:t>4. If Amendment, Date of Original Filed (Month/Day/Year)</w:t>
            </w:r>
          </w:p>
        </w:tc>
        <w:tc>
          <w:tcPr>
            <w:tcW w:w="3900" w:type="dxa"/>
            <w:vAlign w:val="bottom"/>
            <w:gridSpan w:val="5"/>
            <w:vMerge w:val="restart"/>
          </w:tcPr>
          <w:p>
            <w:pPr>
              <w:ind w:left="5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0" w:type="dxa"/>
            <w:vAlign w:val="bottom"/>
            <w:gridSpan w:val="5"/>
            <w:vMerge w:val="continue"/>
          </w:tcPr>
          <w:p>
            <w:pPr>
              <w:spacing w:after="0"/>
              <w:rPr>
                <w:sz w:val="11"/>
                <w:szCs w:val="11"/>
                <w:color w:val="auto"/>
              </w:rPr>
            </w:pPr>
          </w:p>
        </w:tc>
        <w:tc>
          <w:tcPr>
            <w:tcW w:w="390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8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ind w:left="540"/>
              <w:spacing w:after="0" w:line="155" w:lineRule="exact"/>
              <w:rPr>
                <w:sz w:val="20"/>
                <w:szCs w:val="20"/>
                <w:color w:val="auto"/>
              </w:rPr>
            </w:pPr>
            <w:r>
              <w:rPr>
                <w:rFonts w:ascii="Arial" w:cs="Arial" w:eastAsia="Arial" w:hAnsi="Arial"/>
                <w:sz w:val="14"/>
                <w:szCs w:val="14"/>
                <w:color w:val="auto"/>
              </w:rPr>
              <w:t>Line)</w:t>
            </w:r>
          </w:p>
        </w:tc>
        <w:tc>
          <w:tcPr>
            <w:tcW w:w="1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860" w:type="dxa"/>
            <w:vAlign w:val="bottom"/>
          </w:tcPr>
          <w:p>
            <w:pPr>
              <w:ind w:left="160"/>
              <w:spacing w:after="0"/>
              <w:rPr>
                <w:sz w:val="20"/>
                <w:szCs w:val="20"/>
                <w:color w:val="auto"/>
              </w:rPr>
            </w:pPr>
            <w:r>
              <w:rPr>
                <w:rFonts w:ascii="Arial" w:cs="Arial" w:eastAsia="Arial" w:hAnsi="Arial"/>
                <w:sz w:val="18"/>
                <w:szCs w:val="18"/>
                <w:color w:val="0000FF"/>
              </w:rPr>
              <w:t>NY</w:t>
            </w:r>
          </w:p>
        </w:tc>
        <w:tc>
          <w:tcPr>
            <w:tcW w:w="1020" w:type="dxa"/>
            <w:vAlign w:val="bottom"/>
          </w:tcPr>
          <w:p>
            <w:pPr>
              <w:ind w:left="560"/>
              <w:spacing w:after="0"/>
              <w:rPr>
                <w:sz w:val="20"/>
                <w:szCs w:val="20"/>
                <w:color w:val="auto"/>
              </w:rPr>
            </w:pPr>
            <w:r>
              <w:rPr>
                <w:rFonts w:ascii="Arial" w:cs="Arial" w:eastAsia="Arial" w:hAnsi="Arial"/>
                <w:sz w:val="18"/>
                <w:szCs w:val="18"/>
                <w:color w:val="0000FF"/>
                <w:w w:val="87"/>
              </w:rPr>
              <w:t>10017</w:t>
            </w: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900" w:type="dxa"/>
            <w:vAlign w:val="bottom"/>
            <w:gridSpan w:val="5"/>
          </w:tcPr>
          <w:p>
            <w:pPr>
              <w:ind w:left="7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20" w:type="dxa"/>
            <w:vAlign w:val="bottom"/>
            <w:gridSpan w:val="4"/>
            <w:vMerge w:val="restart"/>
          </w:tcPr>
          <w:p>
            <w:pPr>
              <w:ind w:left="2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Borders>
              <w:top w:val="single" w:sz="8" w:color="EEEEEE"/>
            </w:tcBorders>
          </w:tcPr>
          <w:p>
            <w:pPr>
              <w:spacing w:after="0"/>
              <w:rPr>
                <w:sz w:val="3"/>
                <w:szCs w:val="3"/>
                <w:color w:val="auto"/>
              </w:rPr>
            </w:pPr>
          </w:p>
        </w:tc>
        <w:tc>
          <w:tcPr>
            <w:tcW w:w="86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800" w:type="dxa"/>
            <w:vAlign w:val="bottom"/>
            <w:tcBorders>
              <w:top w:val="single" w:sz="8" w:color="EEEEEE"/>
            </w:tcBorders>
          </w:tcPr>
          <w:p>
            <w:pPr>
              <w:spacing w:after="0"/>
              <w:rPr>
                <w:sz w:val="3"/>
                <w:szCs w:val="3"/>
                <w:color w:val="auto"/>
              </w:rPr>
            </w:pPr>
          </w:p>
        </w:tc>
        <w:tc>
          <w:tcPr>
            <w:tcW w:w="2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tcPr>
          <w:p>
            <w:pPr>
              <w:spacing w:after="0"/>
              <w:rPr>
                <w:sz w:val="3"/>
                <w:szCs w:val="3"/>
                <w:color w:val="auto"/>
              </w:rPr>
            </w:pPr>
          </w:p>
        </w:tc>
        <w:tc>
          <w:tcPr>
            <w:tcW w:w="302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860" w:type="dxa"/>
            <w:vAlign w:val="bottom"/>
            <w:vMerge w:val="restart"/>
          </w:tcPr>
          <w:p>
            <w:pPr>
              <w:ind w:left="160"/>
              <w:spacing w:after="0"/>
              <w:rPr>
                <w:sz w:val="20"/>
                <w:szCs w:val="20"/>
                <w:color w:val="auto"/>
              </w:rPr>
            </w:pPr>
            <w:r>
              <w:rPr>
                <w:rFonts w:ascii="Arial" w:cs="Arial" w:eastAsia="Arial" w:hAnsi="Arial"/>
                <w:sz w:val="14"/>
                <w:szCs w:val="14"/>
                <w:color w:val="auto"/>
              </w:rPr>
              <w:t>(State)</w:t>
            </w:r>
          </w:p>
        </w:tc>
        <w:tc>
          <w:tcPr>
            <w:tcW w:w="1020" w:type="dxa"/>
            <w:vAlign w:val="bottom"/>
            <w:vMerge w:val="restart"/>
          </w:tcPr>
          <w:p>
            <w:pPr>
              <w:ind w:left="560"/>
              <w:spacing w:after="0"/>
              <w:rPr>
                <w:sz w:val="20"/>
                <w:szCs w:val="20"/>
                <w:color w:val="auto"/>
              </w:rPr>
            </w:pPr>
            <w:r>
              <w:rPr>
                <w:rFonts w:ascii="Arial" w:cs="Arial" w:eastAsia="Arial" w:hAnsi="Arial"/>
                <w:sz w:val="14"/>
                <w:szCs w:val="14"/>
                <w:color w:val="auto"/>
              </w:rPr>
              <w:t>(Zip)</w:t>
            </w: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60" w:type="dxa"/>
            <w:vAlign w:val="bottom"/>
          </w:tcPr>
          <w:p>
            <w:pPr>
              <w:ind w:left="22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gridSpan w:val="2"/>
          </w:tcPr>
          <w:p>
            <w:pPr>
              <w:spacing w:after="0"/>
              <w:rPr>
                <w:sz w:val="11"/>
                <w:szCs w:val="11"/>
                <w:color w:val="auto"/>
              </w:rPr>
            </w:pPr>
          </w:p>
        </w:tc>
        <w:tc>
          <w:tcPr>
            <w:tcW w:w="5640" w:type="dxa"/>
            <w:vAlign w:val="bottom"/>
            <w:tcBorders>
              <w:bottom w:val="single" w:sz="8" w:color="2C2C2C"/>
            </w:tcBorders>
            <w:gridSpan w:val="7"/>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9"/>
          </w:tcPr>
          <w:p>
            <w:pPr>
              <w:ind w:left="2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9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08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240" w:type="dxa"/>
            <w:vAlign w:val="bottom"/>
            <w:tcBorders>
              <w:bottom w:val="single" w:sz="8" w:color="2C2C2C"/>
            </w:tcBorders>
            <w:gridSpan w:val="3"/>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020" w:type="dxa"/>
            <w:vAlign w:val="bottom"/>
          </w:tcPr>
          <w:p>
            <w:pPr>
              <w:spacing w:after="0"/>
              <w:rPr>
                <w:sz w:val="15"/>
                <w:szCs w:val="15"/>
                <w:color w:val="auto"/>
              </w:rPr>
            </w:pP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9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(A) or</w:t>
            </w:r>
          </w:p>
        </w:tc>
        <w:tc>
          <w:tcPr>
            <w:tcW w:w="8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80" w:type="dxa"/>
            <w:vAlign w:val="bottom"/>
            <w:vMerge w:val="continue"/>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100" w:type="dxa"/>
            <w:vAlign w:val="bottom"/>
            <w:tcBorders>
              <w:bottom w:val="single" w:sz="8" w:color="2C2C2C"/>
            </w:tcBorders>
            <w:gridSpan w:val="4"/>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00" w:type="dxa"/>
            <w:vAlign w:val="bottom"/>
            <w:gridSpan w:val="4"/>
          </w:tcPr>
          <w:p>
            <w:pPr>
              <w:ind w:left="60"/>
              <w:spacing w:after="0"/>
              <w:rPr>
                <w:sz w:val="20"/>
                <w:szCs w:val="20"/>
                <w:color w:val="auto"/>
              </w:rPr>
            </w:pPr>
            <w:r>
              <w:rPr>
                <w:rFonts w:ascii="Arial" w:cs="Arial" w:eastAsia="Arial" w:hAnsi="Arial"/>
                <w:sz w:val="18"/>
                <w:szCs w:val="18"/>
                <w:color w:val="0000FF"/>
              </w:rPr>
              <w:t>Common Stock, par value $0.001 per</w:t>
            </w:r>
          </w:p>
        </w:tc>
        <w:tc>
          <w:tcPr>
            <w:tcW w:w="1080" w:type="dxa"/>
            <w:vAlign w:val="bottom"/>
            <w:gridSpan w:val="2"/>
            <w:vMerge w:val="restart"/>
          </w:tcPr>
          <w:p>
            <w:pPr>
              <w:jc w:val="right"/>
              <w:ind w:right="92"/>
              <w:spacing w:after="0"/>
              <w:rPr>
                <w:sz w:val="20"/>
                <w:szCs w:val="20"/>
                <w:color w:val="auto"/>
              </w:rPr>
            </w:pPr>
            <w:r>
              <w:rPr>
                <w:rFonts w:ascii="Arial" w:cs="Arial" w:eastAsia="Arial" w:hAnsi="Arial"/>
                <w:sz w:val="18"/>
                <w:szCs w:val="18"/>
                <w:color w:val="0000FF"/>
                <w:w w:val="99"/>
              </w:rPr>
              <w:t>01/11/2011</w:t>
            </w:r>
          </w:p>
        </w:tc>
        <w:tc>
          <w:tcPr>
            <w:tcW w:w="1140" w:type="dxa"/>
            <w:vAlign w:val="bottom"/>
          </w:tcPr>
          <w:p>
            <w:pPr>
              <w:spacing w:after="0"/>
              <w:rPr>
                <w:sz w:val="22"/>
                <w:szCs w:val="22"/>
                <w:color w:val="auto"/>
              </w:rPr>
            </w:pPr>
          </w:p>
        </w:tc>
        <w:tc>
          <w:tcPr>
            <w:tcW w:w="82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40" w:type="dxa"/>
            <w:vAlign w:val="bottom"/>
            <w:vMerge w:val="restart"/>
          </w:tcPr>
          <w:p>
            <w:pPr>
              <w:jc w:val="right"/>
              <w:ind w:right="68"/>
              <w:spacing w:after="0"/>
              <w:rPr>
                <w:sz w:val="20"/>
                <w:szCs w:val="20"/>
                <w:color w:val="auto"/>
              </w:rPr>
            </w:pPr>
            <w:r>
              <w:rPr>
                <w:rFonts w:ascii="Arial" w:cs="Arial" w:eastAsia="Arial" w:hAnsi="Arial"/>
                <w:sz w:val="18"/>
                <w:szCs w:val="18"/>
                <w:color w:val="0000FF"/>
              </w:rPr>
              <w:t>2,280</w:t>
            </w:r>
          </w:p>
        </w:tc>
        <w:tc>
          <w:tcPr>
            <w:tcW w:w="620" w:type="dxa"/>
            <w:vAlign w:val="bottom"/>
            <w:vMerge w:val="restart"/>
          </w:tcPr>
          <w:p>
            <w:pPr>
              <w:jc w:val="center"/>
              <w:spacing w:after="0"/>
              <w:rPr>
                <w:sz w:val="20"/>
                <w:szCs w:val="20"/>
                <w:color w:val="auto"/>
              </w:rPr>
            </w:pPr>
            <w:r>
              <w:rPr>
                <w:rFonts w:ascii="Arial" w:cs="Arial" w:eastAsia="Arial" w:hAnsi="Arial"/>
                <w:sz w:val="18"/>
                <w:szCs w:val="18"/>
                <w:color w:val="0000FF"/>
              </w:rPr>
              <w:t>D</w:t>
            </w:r>
          </w:p>
        </w:tc>
        <w:tc>
          <w:tcPr>
            <w:tcW w:w="880" w:type="dxa"/>
            <w:vAlign w:val="bottom"/>
            <w:vMerge w:val="restart"/>
          </w:tcPr>
          <w:p>
            <w:pPr>
              <w:jc w:val="center"/>
              <w:ind w:right="223"/>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22</w:t>
            </w:r>
          </w:p>
        </w:tc>
        <w:tc>
          <w:tcPr>
            <w:tcW w:w="1160" w:type="dxa"/>
            <w:vAlign w:val="bottom"/>
            <w:vMerge w:val="restart"/>
          </w:tcPr>
          <w:p>
            <w:pPr>
              <w:ind w:left="300"/>
              <w:spacing w:after="0"/>
              <w:rPr>
                <w:sz w:val="20"/>
                <w:szCs w:val="20"/>
                <w:color w:val="auto"/>
              </w:rPr>
            </w:pPr>
            <w:r>
              <w:rPr>
                <w:rFonts w:ascii="Arial" w:cs="Arial" w:eastAsia="Arial" w:hAnsi="Arial"/>
                <w:sz w:val="18"/>
                <w:szCs w:val="18"/>
                <w:color w:val="0000FF"/>
              </w:rPr>
              <w:t>756,144</w:t>
            </w:r>
          </w:p>
        </w:tc>
        <w:tc>
          <w:tcPr>
            <w:tcW w:w="940" w:type="dxa"/>
            <w:vAlign w:val="bottom"/>
            <w:vMerge w:val="restart"/>
          </w:tcPr>
          <w:p>
            <w:pPr>
              <w:ind w:left="460"/>
              <w:spacing w:after="0"/>
              <w:rPr>
                <w:sz w:val="20"/>
                <w:szCs w:val="20"/>
                <w:color w:val="auto"/>
              </w:rPr>
            </w:pPr>
            <w:r>
              <w:rPr>
                <w:rFonts w:ascii="Arial" w:cs="Arial" w:eastAsia="Arial" w:hAnsi="Arial"/>
                <w:sz w:val="18"/>
                <w:szCs w:val="18"/>
                <w:color w:val="0000FF"/>
              </w:rPr>
              <w:t>I</w:t>
            </w:r>
          </w:p>
        </w:tc>
        <w:tc>
          <w:tcPr>
            <w:tcW w:w="920" w:type="dxa"/>
            <w:vAlign w:val="bottom"/>
            <w:gridSpan w:val="2"/>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8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900" w:type="dxa"/>
            <w:vAlign w:val="bottom"/>
            <w:vMerge w:val="restart"/>
          </w:tcPr>
          <w:p>
            <w:pPr>
              <w:ind w:left="8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(2)</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20" w:type="dxa"/>
            <w:vAlign w:val="bottom"/>
            <w:tcBorders>
              <w:bottom w:val="single" w:sz="8" w:color="2C2C2C"/>
            </w:tcBorders>
            <w:gridSpan w:val="2"/>
            <w:vMerge w:val="continue"/>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10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00" w:type="dxa"/>
            <w:vAlign w:val="bottom"/>
            <w:gridSpan w:val="4"/>
          </w:tcPr>
          <w:p>
            <w:pPr>
              <w:ind w:left="60"/>
              <w:spacing w:after="0"/>
              <w:rPr>
                <w:sz w:val="20"/>
                <w:szCs w:val="20"/>
                <w:color w:val="auto"/>
              </w:rPr>
            </w:pPr>
            <w:r>
              <w:rPr>
                <w:rFonts w:ascii="Arial" w:cs="Arial" w:eastAsia="Arial" w:hAnsi="Arial"/>
                <w:sz w:val="18"/>
                <w:szCs w:val="18"/>
                <w:color w:val="0000FF"/>
              </w:rPr>
              <w:t>Common Stock, par value $0.001 per</w:t>
            </w:r>
          </w:p>
        </w:tc>
        <w:tc>
          <w:tcPr>
            <w:tcW w:w="1080" w:type="dxa"/>
            <w:vAlign w:val="bottom"/>
            <w:gridSpan w:val="2"/>
            <w:vMerge w:val="restart"/>
          </w:tcPr>
          <w:p>
            <w:pPr>
              <w:jc w:val="right"/>
              <w:ind w:right="92"/>
              <w:spacing w:after="0"/>
              <w:rPr>
                <w:sz w:val="20"/>
                <w:szCs w:val="20"/>
                <w:color w:val="auto"/>
              </w:rPr>
            </w:pPr>
            <w:r>
              <w:rPr>
                <w:rFonts w:ascii="Arial" w:cs="Arial" w:eastAsia="Arial" w:hAnsi="Arial"/>
                <w:sz w:val="18"/>
                <w:szCs w:val="18"/>
                <w:color w:val="0000FF"/>
                <w:w w:val="99"/>
              </w:rPr>
              <w:t>01/12/2011</w:t>
            </w:r>
          </w:p>
        </w:tc>
        <w:tc>
          <w:tcPr>
            <w:tcW w:w="1140" w:type="dxa"/>
            <w:vAlign w:val="bottom"/>
          </w:tcPr>
          <w:p>
            <w:pPr>
              <w:spacing w:after="0"/>
              <w:rPr>
                <w:sz w:val="22"/>
                <w:szCs w:val="22"/>
                <w:color w:val="auto"/>
              </w:rPr>
            </w:pPr>
          </w:p>
        </w:tc>
        <w:tc>
          <w:tcPr>
            <w:tcW w:w="82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40" w:type="dxa"/>
            <w:vAlign w:val="bottom"/>
            <w:vMerge w:val="restart"/>
          </w:tcPr>
          <w:p>
            <w:pPr>
              <w:jc w:val="right"/>
              <w:ind w:right="68"/>
              <w:spacing w:after="0"/>
              <w:rPr>
                <w:sz w:val="20"/>
                <w:szCs w:val="20"/>
                <w:color w:val="auto"/>
              </w:rPr>
            </w:pPr>
            <w:r>
              <w:rPr>
                <w:rFonts w:ascii="Arial" w:cs="Arial" w:eastAsia="Arial" w:hAnsi="Arial"/>
                <w:sz w:val="18"/>
                <w:szCs w:val="18"/>
                <w:color w:val="0000FF"/>
              </w:rPr>
              <w:t>5,453</w:t>
            </w:r>
          </w:p>
        </w:tc>
        <w:tc>
          <w:tcPr>
            <w:tcW w:w="620" w:type="dxa"/>
            <w:vAlign w:val="bottom"/>
            <w:vMerge w:val="restart"/>
          </w:tcPr>
          <w:p>
            <w:pPr>
              <w:jc w:val="center"/>
              <w:spacing w:after="0"/>
              <w:rPr>
                <w:sz w:val="20"/>
                <w:szCs w:val="20"/>
                <w:color w:val="auto"/>
              </w:rPr>
            </w:pPr>
            <w:r>
              <w:rPr>
                <w:rFonts w:ascii="Arial" w:cs="Arial" w:eastAsia="Arial" w:hAnsi="Arial"/>
                <w:sz w:val="18"/>
                <w:szCs w:val="18"/>
                <w:color w:val="0000FF"/>
              </w:rPr>
              <w:t>D</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22.0087</w:t>
            </w:r>
            <w:r>
              <w:rPr>
                <w:rFonts w:ascii="Arial" w:cs="Arial" w:eastAsia="Arial" w:hAnsi="Arial"/>
                <w:sz w:val="22"/>
                <w:szCs w:val="22"/>
                <w:color w:val="008000"/>
                <w:w w:val="85"/>
                <w:vertAlign w:val="superscript"/>
              </w:rPr>
              <w:t>(3)</w:t>
            </w:r>
          </w:p>
        </w:tc>
        <w:tc>
          <w:tcPr>
            <w:tcW w:w="1160" w:type="dxa"/>
            <w:vAlign w:val="bottom"/>
            <w:vMerge w:val="restart"/>
          </w:tcPr>
          <w:p>
            <w:pPr>
              <w:ind w:left="300"/>
              <w:spacing w:after="0"/>
              <w:rPr>
                <w:sz w:val="20"/>
                <w:szCs w:val="20"/>
                <w:color w:val="auto"/>
              </w:rPr>
            </w:pPr>
            <w:r>
              <w:rPr>
                <w:rFonts w:ascii="Arial" w:cs="Arial" w:eastAsia="Arial" w:hAnsi="Arial"/>
                <w:sz w:val="18"/>
                <w:szCs w:val="18"/>
                <w:color w:val="0000FF"/>
              </w:rPr>
              <w:t>750,691</w:t>
            </w:r>
          </w:p>
        </w:tc>
        <w:tc>
          <w:tcPr>
            <w:tcW w:w="940" w:type="dxa"/>
            <w:vAlign w:val="bottom"/>
            <w:vMerge w:val="restart"/>
          </w:tcPr>
          <w:p>
            <w:pPr>
              <w:ind w:left="460"/>
              <w:spacing w:after="0"/>
              <w:rPr>
                <w:sz w:val="20"/>
                <w:szCs w:val="20"/>
                <w:color w:val="auto"/>
              </w:rPr>
            </w:pPr>
            <w:r>
              <w:rPr>
                <w:rFonts w:ascii="Arial" w:cs="Arial" w:eastAsia="Arial" w:hAnsi="Arial"/>
                <w:sz w:val="18"/>
                <w:szCs w:val="18"/>
                <w:color w:val="0000FF"/>
              </w:rPr>
              <w:t>I</w:t>
            </w:r>
          </w:p>
        </w:tc>
        <w:tc>
          <w:tcPr>
            <w:tcW w:w="920" w:type="dxa"/>
            <w:vAlign w:val="bottom"/>
            <w:gridSpan w:val="2"/>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20" w:type="dxa"/>
            <w:vAlign w:val="bottom"/>
            <w:gridSpan w:val="2"/>
            <w:vMerge w:val="restart"/>
          </w:tcPr>
          <w:p>
            <w:pPr>
              <w:ind w:left="80"/>
              <w:spacing w:after="0"/>
              <w:rPr>
                <w:sz w:val="20"/>
                <w:szCs w:val="20"/>
                <w:color w:val="auto"/>
              </w:rPr>
            </w:pPr>
            <w:r>
              <w:rPr>
                <w:rFonts w:ascii="Arial" w:cs="Arial" w:eastAsia="Arial" w:hAnsi="Arial"/>
                <w:sz w:val="18"/>
                <w:szCs w:val="18"/>
                <w:color w:val="0000FF"/>
                <w:w w:val="92"/>
              </w:rPr>
              <w:t>Footnote</w:t>
            </w:r>
            <w:r>
              <w:rPr>
                <w:rFonts w:ascii="Arial" w:cs="Arial" w:eastAsia="Arial" w:hAnsi="Arial"/>
                <w:sz w:val="22"/>
                <w:szCs w:val="22"/>
                <w:color w:val="008000"/>
                <w:w w:val="92"/>
                <w:vertAlign w:val="superscript"/>
              </w:rPr>
              <w:t>(2)</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sectPr>
          <w:pgSz w:w="11900" w:h="16838" w:orient="portrait"/>
          <w:cols w:equalWidth="0" w:num="1">
            <w:col w:w="11420"/>
          </w:cols>
          <w:pgMar w:left="240" w:top="226" w:right="239" w:bottom="715" w:gutter="0" w:footer="0" w:header="0"/>
          <w:type w:val="continuous"/>
        </w:sectPr>
      </w:pPr>
    </w:p>
    <w:p>
      <w:pPr>
        <w:spacing w:after="0" w:line="51"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457"/>
        </w:trPr>
        <w:tc>
          <w:tcPr>
            <w:tcW w:w="900" w:type="dxa"/>
            <w:vAlign w:val="bottom"/>
          </w:tcPr>
          <w:p>
            <w:pPr>
              <w:jc w:val="center"/>
              <w:ind w:right="232"/>
              <w:spacing w:after="0"/>
              <w:rPr>
                <w:sz w:val="20"/>
                <w:szCs w:val="20"/>
                <w:color w:val="auto"/>
              </w:rPr>
            </w:pPr>
            <w:r>
              <w:rPr>
                <w:rFonts w:ascii="Arial" w:cs="Arial" w:eastAsia="Arial" w:hAnsi="Arial"/>
                <w:sz w:val="18"/>
                <w:szCs w:val="18"/>
                <w:color w:val="0000FF"/>
                <w:w w:val="90"/>
              </w:rPr>
              <w:t>37,500</w:t>
            </w:r>
          </w:p>
        </w:tc>
        <w:tc>
          <w:tcPr>
            <w:tcW w:w="780" w:type="dxa"/>
            <w:vAlign w:val="bottom"/>
          </w:tcPr>
          <w:p>
            <w:pPr>
              <w:jc w:val="center"/>
              <w:ind w:left="43"/>
              <w:spacing w:after="0"/>
              <w:rPr>
                <w:sz w:val="20"/>
                <w:szCs w:val="20"/>
                <w:color w:val="auto"/>
              </w:rPr>
            </w:pPr>
            <w:r>
              <w:rPr>
                <w:rFonts w:ascii="Arial" w:cs="Arial" w:eastAsia="Arial" w:hAnsi="Arial"/>
                <w:sz w:val="35"/>
                <w:szCs w:val="35"/>
                <w:color w:val="0000FF"/>
                <w:w w:val="85"/>
                <w:vertAlign w:val="subscript"/>
              </w:rPr>
              <w:t>D</w:t>
            </w:r>
            <w:r>
              <w:rPr>
                <w:rFonts w:ascii="Arial" w:cs="Arial" w:eastAsia="Arial" w:hAnsi="Arial"/>
                <w:sz w:val="11"/>
                <w:szCs w:val="11"/>
                <w:color w:val="008000"/>
                <w:w w:val="85"/>
              </w:rPr>
              <w:t>(4)</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900" w:type="dxa"/>
            <w:vAlign w:val="bottom"/>
            <w:vMerge w:val="restart"/>
          </w:tcPr>
          <w:p>
            <w:pPr>
              <w:jc w:val="center"/>
              <w:ind w:right="232"/>
              <w:spacing w:after="0"/>
              <w:rPr>
                <w:sz w:val="20"/>
                <w:szCs w:val="20"/>
                <w:color w:val="auto"/>
              </w:rPr>
            </w:pPr>
            <w:r>
              <w:rPr>
                <w:rFonts w:ascii="Arial" w:cs="Arial" w:eastAsia="Arial" w:hAnsi="Arial"/>
                <w:sz w:val="18"/>
                <w:szCs w:val="18"/>
                <w:color w:val="0000FF"/>
                <w:w w:val="89"/>
              </w:rPr>
              <w:t>105,756</w:t>
            </w:r>
          </w:p>
        </w:tc>
        <w:tc>
          <w:tcPr>
            <w:tcW w:w="780" w:type="dxa"/>
            <w:vAlign w:val="bottom"/>
            <w:vMerge w:val="restart"/>
          </w:tcPr>
          <w:p>
            <w:pPr>
              <w:jc w:val="center"/>
              <w:ind w:left="43"/>
              <w:spacing w:after="0"/>
              <w:rPr>
                <w:sz w:val="20"/>
                <w:szCs w:val="20"/>
                <w:color w:val="auto"/>
              </w:rPr>
            </w:pPr>
            <w:r>
              <w:rPr>
                <w:rFonts w:ascii="Arial" w:cs="Arial" w:eastAsia="Arial" w:hAnsi="Arial"/>
                <w:sz w:val="18"/>
                <w:szCs w:val="18"/>
                <w:color w:val="0000FF"/>
              </w:rPr>
              <w:t>I</w:t>
            </w:r>
          </w:p>
        </w:tc>
        <w:tc>
          <w:tcPr>
            <w:tcW w:w="960" w:type="dxa"/>
            <w:vAlign w:val="bottom"/>
          </w:tcPr>
          <w:p>
            <w:pPr>
              <w:ind w:left="20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0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960" w:type="dxa"/>
            <w:vAlign w:val="bottom"/>
            <w:vMerge w:val="restart"/>
          </w:tcPr>
          <w:p>
            <w:pPr>
              <w:ind w:left="200"/>
              <w:spacing w:after="0"/>
              <w:rPr>
                <w:sz w:val="20"/>
                <w:szCs w:val="20"/>
                <w:color w:val="auto"/>
              </w:rPr>
            </w:pPr>
            <w:r>
              <w:rPr>
                <w:rFonts w:ascii="Arial" w:cs="Arial" w:eastAsia="Arial" w:hAnsi="Arial"/>
                <w:sz w:val="18"/>
                <w:szCs w:val="18"/>
                <w:color w:val="0000FF"/>
                <w:w w:val="83"/>
              </w:rPr>
              <w:t>Footnote</w:t>
            </w:r>
            <w:r>
              <w:rPr>
                <w:rFonts w:ascii="Arial" w:cs="Arial" w:eastAsia="Arial" w:hAnsi="Arial"/>
                <w:sz w:val="22"/>
                <w:szCs w:val="22"/>
                <w:color w:val="008000"/>
                <w:w w:val="83"/>
                <w:vertAlign w:val="superscript"/>
              </w:rPr>
              <w:t>(5)</w:t>
            </w:r>
          </w:p>
        </w:tc>
        <w:tc>
          <w:tcPr>
            <w:tcW w:w="0" w:type="dxa"/>
            <w:vAlign w:val="bottom"/>
          </w:tcPr>
          <w:p>
            <w:pPr>
              <w:spacing w:after="0"/>
              <w:rPr>
                <w:sz w:val="1"/>
                <w:szCs w:val="1"/>
                <w:color w:val="auto"/>
              </w:rPr>
            </w:pPr>
          </w:p>
        </w:tc>
      </w:tr>
      <w:tr>
        <w:trPr>
          <w:trHeight w:val="184"/>
        </w:trPr>
        <w:tc>
          <w:tcPr>
            <w:tcW w:w="9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00" w:type="dxa"/>
            <w:vAlign w:val="bottom"/>
            <w:vMerge w:val="restart"/>
          </w:tcPr>
          <w:p>
            <w:pPr>
              <w:jc w:val="center"/>
              <w:ind w:right="232"/>
              <w:spacing w:after="0"/>
              <w:rPr>
                <w:sz w:val="20"/>
                <w:szCs w:val="20"/>
                <w:color w:val="auto"/>
              </w:rPr>
            </w:pPr>
            <w:r>
              <w:rPr>
                <w:rFonts w:ascii="Arial" w:cs="Arial" w:eastAsia="Arial" w:hAnsi="Arial"/>
                <w:sz w:val="18"/>
                <w:szCs w:val="18"/>
                <w:color w:val="0000FF"/>
                <w:w w:val="89"/>
              </w:rPr>
              <w:t>162,197</w:t>
            </w:r>
          </w:p>
        </w:tc>
        <w:tc>
          <w:tcPr>
            <w:tcW w:w="780" w:type="dxa"/>
            <w:vAlign w:val="bottom"/>
            <w:vMerge w:val="restart"/>
          </w:tcPr>
          <w:p>
            <w:pPr>
              <w:jc w:val="center"/>
              <w:ind w:left="43"/>
              <w:spacing w:after="0"/>
              <w:rPr>
                <w:sz w:val="20"/>
                <w:szCs w:val="20"/>
                <w:color w:val="auto"/>
              </w:rPr>
            </w:pPr>
            <w:r>
              <w:rPr>
                <w:rFonts w:ascii="Arial" w:cs="Arial" w:eastAsia="Arial" w:hAnsi="Arial"/>
                <w:sz w:val="18"/>
                <w:szCs w:val="18"/>
                <w:color w:val="0000FF"/>
              </w:rPr>
              <w:t>I</w:t>
            </w:r>
          </w:p>
        </w:tc>
        <w:tc>
          <w:tcPr>
            <w:tcW w:w="960" w:type="dxa"/>
            <w:vAlign w:val="bottom"/>
          </w:tcPr>
          <w:p>
            <w:pPr>
              <w:ind w:left="20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0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960" w:type="dxa"/>
            <w:vAlign w:val="bottom"/>
            <w:vMerge w:val="restart"/>
          </w:tcPr>
          <w:p>
            <w:pPr>
              <w:ind w:left="200"/>
              <w:spacing w:after="0"/>
              <w:rPr>
                <w:sz w:val="20"/>
                <w:szCs w:val="20"/>
                <w:color w:val="auto"/>
              </w:rPr>
            </w:pPr>
            <w:r>
              <w:rPr>
                <w:rFonts w:ascii="Arial" w:cs="Arial" w:eastAsia="Arial" w:hAnsi="Arial"/>
                <w:sz w:val="18"/>
                <w:szCs w:val="18"/>
                <w:color w:val="0000FF"/>
                <w:w w:val="83"/>
              </w:rPr>
              <w:t>Footnote</w:t>
            </w:r>
            <w:r>
              <w:rPr>
                <w:rFonts w:ascii="Arial" w:cs="Arial" w:eastAsia="Arial" w:hAnsi="Arial"/>
                <w:sz w:val="22"/>
                <w:szCs w:val="22"/>
                <w:color w:val="008000"/>
                <w:w w:val="83"/>
                <w:vertAlign w:val="superscript"/>
              </w:rPr>
              <w:t>(6)</w:t>
            </w:r>
          </w:p>
        </w:tc>
        <w:tc>
          <w:tcPr>
            <w:tcW w:w="0" w:type="dxa"/>
            <w:vAlign w:val="bottom"/>
          </w:tcPr>
          <w:p>
            <w:pPr>
              <w:spacing w:after="0"/>
              <w:rPr>
                <w:sz w:val="1"/>
                <w:szCs w:val="1"/>
                <w:color w:val="auto"/>
              </w:rPr>
            </w:pPr>
          </w:p>
        </w:tc>
      </w:tr>
      <w:tr>
        <w:trPr>
          <w:trHeight w:val="184"/>
        </w:trPr>
        <w:tc>
          <w:tcPr>
            <w:tcW w:w="9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69" w:lineRule="exact"/>
        <w:rPr>
          <w:sz w:val="24"/>
          <w:szCs w:val="24"/>
          <w:color w:val="auto"/>
        </w:rPr>
      </w:pPr>
    </w:p>
    <w:p>
      <w:pPr>
        <w:sectPr>
          <w:pgSz w:w="11900" w:h="16838" w:orient="portrait"/>
          <w:cols w:equalWidth="0" w:num="2">
            <w:col w:w="7980" w:space="720"/>
            <w:col w:w="2720"/>
          </w:cols>
          <w:pgMar w:left="240" w:top="226" w:right="239" w:bottom="715"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Talwar 1994 Trust (the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Trust.</w:t>
      </w:r>
    </w:p>
    <w:p>
      <w:pPr>
        <w:spacing w:after="0" w:line="41" w:lineRule="exact"/>
        <w:rPr>
          <w:rFonts w:ascii="Arial" w:cs="Arial" w:eastAsia="Arial" w:hAnsi="Arial"/>
          <w:sz w:val="14"/>
          <w:szCs w:val="14"/>
          <w:color w:val="008000"/>
        </w:rPr>
      </w:pPr>
    </w:p>
    <w:p>
      <w:pPr>
        <w:jc w:val="both"/>
        <w:ind w:left="40" w:right="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$22.00 to $22.05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Vikram Talwar.</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Vikram Talwar 2008 Grantor Retained Annuity Trust 2.</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Vikram Talwar 2009 Grantor Retained Annuity Trust.</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01/13/2011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71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28"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2019-12-16T14:58:40Z</dcterms:created>
  <dcterms:modified xsi:type="dcterms:W3CDTF">2019-12-16T14:58:40Z</dcterms:modified>
</cp:coreProperties>
</file>