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254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2548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10/12/2017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60" w:type="dxa"/>
            <w:vAlign w:val="bottom"/>
            <w:gridSpan w:val="6"/>
            <w:vMerge w:val="restart"/>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840" w:type="dxa"/>
            <w:vAlign w:val="bottom"/>
            <w:gridSpan w:val="11"/>
            <w:vMerge w:val="restart"/>
          </w:tcPr>
          <w:p>
            <w:pPr>
              <w:ind w:left="3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6"/>
            <w:vMerge w:val="continue"/>
          </w:tcPr>
          <w:p>
            <w:pPr>
              <w:spacing w:after="0"/>
              <w:rPr>
                <w:sz w:val="11"/>
                <w:szCs w:val="11"/>
                <w:color w:val="auto"/>
              </w:rPr>
            </w:pPr>
          </w:p>
        </w:tc>
        <w:tc>
          <w:tcPr>
            <w:tcW w:w="384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80" w:type="dxa"/>
            <w:vAlign w:val="bottom"/>
            <w:gridSpan w:val="4"/>
          </w:tcPr>
          <w:p>
            <w:pPr>
              <w:ind w:left="380"/>
              <w:spacing w:after="0" w:line="155" w:lineRule="exact"/>
              <w:rPr>
                <w:sz w:val="20"/>
                <w:szCs w:val="20"/>
                <w:color w:val="auto"/>
              </w:rPr>
            </w:pPr>
            <w:r>
              <w:rPr>
                <w:rFonts w:ascii="Arial" w:cs="Arial" w:eastAsia="Arial" w:hAnsi="Arial"/>
                <w:sz w:val="14"/>
                <w:szCs w:val="14"/>
                <w:color w:val="auto"/>
              </w:rPr>
              <w:t>Line)</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tcPr>
          <w:p>
            <w:pPr>
              <w:spacing w:after="0"/>
              <w:rPr>
                <w:sz w:val="20"/>
                <w:szCs w:val="20"/>
                <w:color w:val="auto"/>
              </w:rPr>
            </w:pPr>
            <w:r>
              <w:rPr>
                <w:rFonts w:ascii="Arial" w:cs="Arial" w:eastAsia="Arial" w:hAnsi="Arial"/>
                <w:sz w:val="18"/>
                <w:szCs w:val="18"/>
                <w:color w:val="0000FF"/>
              </w:rPr>
              <w:t>NY</w:t>
            </w:r>
          </w:p>
        </w:tc>
        <w:tc>
          <w:tcPr>
            <w:tcW w:w="560" w:type="dxa"/>
            <w:vAlign w:val="bottom"/>
          </w:tcPr>
          <w:p>
            <w:pPr>
              <w:ind w:left="20"/>
              <w:spacing w:after="0"/>
              <w:rPr>
                <w:sz w:val="20"/>
                <w:szCs w:val="20"/>
                <w:color w:val="auto"/>
              </w:rPr>
            </w:pPr>
            <w:r>
              <w:rPr>
                <w:rFonts w:ascii="Arial" w:cs="Arial" w:eastAsia="Arial" w:hAnsi="Arial"/>
                <w:sz w:val="18"/>
                <w:szCs w:val="18"/>
                <w:color w:val="0000FF"/>
              </w:rPr>
              <w:t>10017</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120" w:type="dxa"/>
            <w:vAlign w:val="bottom"/>
            <w:gridSpan w:val="8"/>
          </w:tcPr>
          <w:p>
            <w:pPr>
              <w:ind w:left="5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140" w:type="dxa"/>
            <w:vAlign w:val="bottom"/>
            <w:gridSpan w:val="8"/>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14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ind w:left="240"/>
              <w:spacing w:after="0"/>
              <w:rPr>
                <w:sz w:val="20"/>
                <w:szCs w:val="20"/>
                <w:color w:val="auto"/>
              </w:rPr>
            </w:pPr>
            <w:r>
              <w:rPr>
                <w:rFonts w:ascii="Arial" w:cs="Arial" w:eastAsia="Arial" w:hAnsi="Arial"/>
                <w:sz w:val="14"/>
                <w:szCs w:val="14"/>
                <w:color w:val="auto"/>
                <w:w w:val="94"/>
              </w:rPr>
              <w:t>Person</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4360" w:type="dxa"/>
            <w:vAlign w:val="bottom"/>
            <w:tcBorders>
              <w:bottom w:val="single" w:sz="8" w:color="2C2C2C"/>
            </w:tcBorders>
            <w:gridSpan w:val="7"/>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jc w:val="center"/>
              <w:ind w:left="72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3"/>
          </w:tcPr>
          <w:p>
            <w:pPr>
              <w:jc w:val="right"/>
              <w:ind w:right="58"/>
              <w:spacing w:after="0"/>
              <w:rPr>
                <w:sz w:val="20"/>
                <w:szCs w:val="20"/>
                <w:color w:val="auto"/>
              </w:rPr>
            </w:pPr>
            <w:r>
              <w:rPr>
                <w:rFonts w:ascii="Arial" w:cs="Arial" w:eastAsia="Arial" w:hAnsi="Arial"/>
                <w:sz w:val="18"/>
                <w:szCs w:val="18"/>
                <w:color w:val="0000FF"/>
              </w:rPr>
              <w:t>10/12/2017</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27"/>
                <w:szCs w:val="27"/>
                <w:color w:val="0000FF"/>
                <w:w w:val="91"/>
                <w:vertAlign w:val="subscript"/>
              </w:rPr>
              <w:t>M</w:t>
            </w:r>
            <w:r>
              <w:rPr>
                <w:rFonts w:ascii="Arial" w:cs="Arial" w:eastAsia="Arial" w:hAnsi="Arial"/>
                <w:sz w:val="11"/>
                <w:szCs w:val="11"/>
                <w:color w:val="008000"/>
                <w:w w:val="91"/>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3,929</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19.76</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9"/>
              </w:rPr>
              <w:t>176,615</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70"/>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3"/>
          </w:tcPr>
          <w:p>
            <w:pPr>
              <w:jc w:val="right"/>
              <w:ind w:right="58"/>
              <w:spacing w:after="0"/>
              <w:rPr>
                <w:sz w:val="20"/>
                <w:szCs w:val="20"/>
                <w:color w:val="auto"/>
              </w:rPr>
            </w:pPr>
            <w:r>
              <w:rPr>
                <w:rFonts w:ascii="Arial" w:cs="Arial" w:eastAsia="Arial" w:hAnsi="Arial"/>
                <w:sz w:val="18"/>
                <w:szCs w:val="18"/>
                <w:color w:val="0000FF"/>
              </w:rPr>
              <w:t>10/12/2017</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(3)</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3,929</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59.98</w:t>
            </w:r>
            <w:r>
              <w:rPr>
                <w:rFonts w:ascii="Arial" w:cs="Arial" w:eastAsia="Arial" w:hAnsi="Arial"/>
                <w:sz w:val="22"/>
                <w:szCs w:val="22"/>
                <w:color w:val="008000"/>
                <w:w w:val="82"/>
                <w:vertAlign w:val="superscript"/>
              </w:rPr>
              <w:t>(4)</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9"/>
              </w:rPr>
              <w:t>172,686</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70"/>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90"/>
              </w:rPr>
              <w:t>40,219</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9"/>
              </w:rPr>
              <w:t>333,185</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9"/>
              </w:rPr>
              <w:t>177,134</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(8)</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500" w:type="dxa"/>
            <w:vAlign w:val="bottom"/>
            <w:gridSpan w:val="14"/>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2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Reported</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ind w:left="80"/>
              <w:spacing w:after="0"/>
              <w:rPr>
                <w:sz w:val="20"/>
                <w:szCs w:val="20"/>
                <w:color w:val="auto"/>
              </w:rPr>
            </w:pPr>
            <w:r>
              <w:rPr>
                <w:rFonts w:ascii="Arial" w:cs="Arial" w:eastAsia="Arial" w:hAnsi="Arial"/>
                <w:sz w:val="14"/>
                <w:szCs w:val="14"/>
                <w:color w:val="0000FF"/>
                <w:w w:val="98"/>
              </w:rPr>
              <w:t>Common</w:t>
            </w: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restart"/>
          </w:tcPr>
          <w:p>
            <w:pPr>
              <w:jc w:val="right"/>
              <w:ind w:right="58"/>
              <w:spacing w:after="0" w:line="297" w:lineRule="exact"/>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280"/>
              <w:spacing w:after="0"/>
              <w:rPr>
                <w:sz w:val="20"/>
                <w:szCs w:val="20"/>
                <w:color w:val="auto"/>
              </w:rPr>
            </w:pPr>
            <w:r>
              <w:rPr>
                <w:rFonts w:ascii="Arial" w:cs="Arial" w:eastAsia="Arial" w:hAnsi="Arial"/>
                <w:sz w:val="11"/>
                <w:szCs w:val="11"/>
                <w:color w:val="008000"/>
              </w:rPr>
              <w:t>(10)</w:t>
            </w: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600" w:type="dxa"/>
            <w:vAlign w:val="bottom"/>
            <w:vMerge w:val="restart"/>
          </w:tcPr>
          <w:p>
            <w:pPr>
              <w:ind w:left="100"/>
              <w:spacing w:after="0"/>
              <w:rPr>
                <w:sz w:val="20"/>
                <w:szCs w:val="20"/>
                <w:color w:val="auto"/>
              </w:rPr>
            </w:pPr>
            <w:r>
              <w:rPr>
                <w:rFonts w:ascii="Arial" w:cs="Arial" w:eastAsia="Arial" w:hAnsi="Arial"/>
                <w:sz w:val="18"/>
                <w:szCs w:val="18"/>
                <w:color w:val="0000FF"/>
              </w:rPr>
              <w:t>3,929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Options</w:t>
            </w:r>
          </w:p>
        </w:tc>
        <w:tc>
          <w:tcPr>
            <w:tcW w:w="66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19.76</w:t>
            </w:r>
          </w:p>
        </w:tc>
        <w:tc>
          <w:tcPr>
            <w:tcW w:w="160" w:type="dxa"/>
            <w:vAlign w:val="bottom"/>
          </w:tcPr>
          <w:p>
            <w:pPr>
              <w:spacing w:after="0"/>
              <w:rPr>
                <w:sz w:val="12"/>
                <w:szCs w:val="12"/>
                <w:color w:val="auto"/>
              </w:rPr>
            </w:pPr>
          </w:p>
        </w:tc>
        <w:tc>
          <w:tcPr>
            <w:tcW w:w="1080" w:type="dxa"/>
            <w:vAlign w:val="bottom"/>
          </w:tcPr>
          <w:p>
            <w:pPr>
              <w:jc w:val="right"/>
              <w:ind w:right="129"/>
              <w:spacing w:after="0" w:line="149" w:lineRule="exact"/>
              <w:rPr>
                <w:sz w:val="20"/>
                <w:szCs w:val="20"/>
                <w:color w:val="auto"/>
              </w:rPr>
            </w:pPr>
            <w:r>
              <w:rPr>
                <w:rFonts w:ascii="Arial" w:cs="Arial" w:eastAsia="Arial" w:hAnsi="Arial"/>
                <w:sz w:val="14"/>
                <w:szCs w:val="14"/>
                <w:color w:val="0000FF"/>
              </w:rPr>
              <w:t>10/12/2017</w:t>
            </w: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ind w:left="320"/>
              <w:spacing w:after="0" w:line="149" w:lineRule="exact"/>
              <w:rPr>
                <w:sz w:val="20"/>
                <w:szCs w:val="20"/>
                <w:color w:val="auto"/>
              </w:rPr>
            </w:pPr>
            <w:r>
              <w:rPr>
                <w:rFonts w:ascii="Arial" w:cs="Arial" w:eastAsia="Arial" w:hAnsi="Arial"/>
                <w:sz w:val="14"/>
                <w:szCs w:val="14"/>
                <w:color w:val="0000FF"/>
              </w:rPr>
              <w:t>3,929</w:t>
            </w:r>
          </w:p>
        </w:tc>
        <w:tc>
          <w:tcPr>
            <w:tcW w:w="800" w:type="dxa"/>
            <w:vAlign w:val="bottom"/>
            <w:vMerge w:val="continue"/>
          </w:tcPr>
          <w:p>
            <w:pPr>
              <w:spacing w:after="0"/>
              <w:rPr>
                <w:sz w:val="12"/>
                <w:szCs w:val="12"/>
                <w:color w:val="auto"/>
              </w:rPr>
            </w:pPr>
          </w:p>
        </w:tc>
        <w:tc>
          <w:tcPr>
            <w:tcW w:w="740" w:type="dxa"/>
            <w:vAlign w:val="bottom"/>
          </w:tcPr>
          <w:p>
            <w:pPr>
              <w:ind w:left="60"/>
              <w:spacing w:after="0" w:line="149" w:lineRule="exact"/>
              <w:rPr>
                <w:sz w:val="20"/>
                <w:szCs w:val="20"/>
                <w:color w:val="auto"/>
              </w:rPr>
            </w:pPr>
            <w:r>
              <w:rPr>
                <w:rFonts w:ascii="Arial" w:cs="Arial" w:eastAsia="Arial" w:hAnsi="Arial"/>
                <w:sz w:val="14"/>
                <w:szCs w:val="14"/>
                <w:color w:val="0000FF"/>
                <w:w w:val="94"/>
              </w:rPr>
              <w:t>02/03/2021</w:t>
            </w:r>
          </w:p>
        </w:tc>
        <w:tc>
          <w:tcPr>
            <w:tcW w:w="660" w:type="dxa"/>
            <w:vAlign w:val="bottom"/>
          </w:tcPr>
          <w:p>
            <w:pPr>
              <w:ind w:left="80"/>
              <w:spacing w:after="0" w:line="149" w:lineRule="exact"/>
              <w:rPr>
                <w:sz w:val="20"/>
                <w:szCs w:val="20"/>
                <w:color w:val="auto"/>
              </w:rPr>
            </w:pPr>
            <w:r>
              <w:rPr>
                <w:rFonts w:ascii="Arial" w:cs="Arial" w:eastAsia="Arial" w:hAnsi="Arial"/>
                <w:sz w:val="14"/>
                <w:szCs w:val="14"/>
                <w:color w:val="0000FF"/>
                <w:w w:val="97"/>
              </w:rPr>
              <w:t>par value</w:t>
            </w: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60" w:type="dxa"/>
            <w:vAlign w:val="bottom"/>
          </w:tcPr>
          <w:p>
            <w:pPr>
              <w:ind w:left="400"/>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2"/>
                <w:szCs w:val="12"/>
                <w:color w:val="auto"/>
              </w:rPr>
            </w:pPr>
          </w:p>
        </w:tc>
        <w:tc>
          <w:tcPr>
            <w:tcW w:w="600" w:type="dxa"/>
            <w:vAlign w:val="bottom"/>
          </w:tcPr>
          <w:p>
            <w:pPr>
              <w:ind w:left="420"/>
              <w:spacing w:after="0" w:line="149" w:lineRule="exact"/>
              <w:rPr>
                <w:sz w:val="20"/>
                <w:szCs w:val="20"/>
                <w:color w:val="auto"/>
              </w:rPr>
            </w:pPr>
            <w:r>
              <w:rPr>
                <w:rFonts w:ascii="Arial" w:cs="Arial" w:eastAsia="Arial" w:hAnsi="Arial"/>
                <w:sz w:val="14"/>
                <w:szCs w:val="14"/>
                <w:color w:val="0000FF"/>
              </w:rPr>
              <w:t>D</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0000FF"/>
                <w:w w:val="83"/>
              </w:rPr>
              <w:t>$0.001</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Arial" w:cs="Arial" w:eastAsia="Arial" w:hAnsi="Arial"/>
                <w:sz w:val="14"/>
                <w:szCs w:val="14"/>
                <w:color w:val="0000FF"/>
                <w:w w:val="94"/>
              </w:rPr>
              <w:t>per share</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October 12, 2017 the reporting person exercised previously issued options to purchase an aggregate of 3,929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$59.77 to $60.34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41" w:lineRule="exact"/>
        <w:rPr>
          <w:rFonts w:ascii="Arial" w:cs="Arial" w:eastAsia="Arial" w:hAnsi="Arial"/>
          <w:sz w:val="14"/>
          <w:szCs w:val="14"/>
          <w:color w:val="008000"/>
        </w:rPr>
      </w:pPr>
    </w:p>
    <w:p>
      <w:pPr>
        <w:ind w:left="40" w:right="380" w:firstLine="9"/>
        <w:spacing w:after="0" w:line="298" w:lineRule="auto"/>
        <w:tabs>
          <w:tab w:leader="none" w:pos="2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3, 2011, the reporting person was granted 97,500 stock options. 25 percent of these options became vested and exercisable on February 3, 2012, an additional 25 percent became vested and exercisable on February 3, 2013, an additional 25 percent became vested and exercisable on February 3, 2014, and the balance of 25 percent became vested and exercisable on February 3, 2015.</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sectPr>
          <w:pgSz w:w="11900" w:h="16838" w:orient="portrait"/>
          <w:cols w:equalWidth="0" w:num="1">
            <w:col w:w="11520"/>
          </w:cols>
          <w:pgMar w:left="240" w:top="226" w:right="139" w:bottom="0" w:gutter="0" w:footer="0" w:header="0"/>
          <w:type w:val="continuous"/>
        </w:sectPr>
      </w:pPr>
    </w:p>
    <w:p>
      <w:pPr>
        <w:spacing w:after="0" w:line="7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Lazbart Oseni, Attorney-in-  10/16/2017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520"/>
          </w:cols>
          <w:pgMar w:left="240" w:top="226"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2019-12-04T01:06:12Z</dcterms:created>
  <dcterms:modified xsi:type="dcterms:W3CDTF">2019-12-04T01:06:12Z</dcterms:modified>
</cp:coreProperties>
</file>