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400"/>
        <w:spacing w:after="0"/>
        <w:tabs>
          <w:tab w:leader="none" w:pos="662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FROM 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22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rPr>
              <w:t>NEW YORK</w:t>
            </w:r>
          </w:p>
        </w:tc>
        <w:tc>
          <w:tcPr>
            <w:tcW w:w="1520" w:type="dxa"/>
            <w:vAlign w:val="bottom"/>
          </w:tcPr>
          <w:p>
            <w:pPr>
              <w:spacing w:after="0"/>
              <w:rPr>
                <w:sz w:val="19"/>
                <w:szCs w:val="19"/>
                <w:color w:val="auto"/>
              </w:rPr>
            </w:pPr>
          </w:p>
        </w:tc>
      </w:tr>
      <w:tr>
        <w:trPr>
          <w:trHeight w:val="177"/>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25"/>
        </w:trPr>
        <w:tc>
          <w:tcPr>
            <w:tcW w:w="6720" w:type="dxa"/>
            <w:vAlign w:val="bottom"/>
          </w:tcPr>
          <w:p>
            <w:pPr>
              <w:jc w:val="right"/>
              <w:ind w:right="1362"/>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20" w:type="dxa"/>
            <w:vAlign w:val="bottom"/>
          </w:tcPr>
          <w:p>
            <w:pPr>
              <w:jc w:val="center"/>
              <w:ind w:left="26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As of July 29, 2011, there were 29,992,804 shares of the registrant’s common stock outstanding (excluding 323,397 shares held in treasury and 85,967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ind w:left="10880"/>
        <w:spacing w:after="0"/>
        <w:rPr>
          <w:sz w:val="20"/>
          <w:szCs w:val="20"/>
          <w:color w:val="auto"/>
        </w:rPr>
      </w:pPr>
      <w:r>
        <w:rPr>
          <w:rFonts w:ascii="Arial" w:cs="Arial" w:eastAsia="Arial" w:hAnsi="Arial"/>
          <w:sz w:val="15"/>
          <w:szCs w:val="15"/>
          <w:u w:val="single" w:color="auto"/>
          <w:color w:val="auto"/>
        </w:rPr>
        <w:t>PAGE</w:t>
      </w:r>
    </w:p>
    <w:p>
      <w:pPr>
        <w:spacing w:after="0" w:line="152" w:lineRule="exact"/>
        <w:rPr>
          <w:sz w:val="20"/>
          <w:szCs w:val="20"/>
          <w:color w:val="auto"/>
        </w:rPr>
      </w:pPr>
    </w:p>
    <w:p>
      <w:pPr>
        <w:spacing w:after="0"/>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p>
    <w:p>
      <w:pPr>
        <w:spacing w:after="0" w:line="117" w:lineRule="exact"/>
        <w:rPr>
          <w:sz w:val="20"/>
          <w:szCs w:val="20"/>
          <w:color w:val="auto"/>
        </w:rPr>
      </w:pPr>
    </w:p>
    <w:p>
      <w:pPr>
        <w:ind w:left="760" w:hanging="664"/>
        <w:spacing w:after="0"/>
        <w:tabs>
          <w:tab w:leader="none" w:pos="76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380" w:type="dxa"/>
            <w:vAlign w:val="bottom"/>
            <w:gridSpan w:val="16"/>
          </w:tcPr>
          <w:p>
            <w:pPr>
              <w:spacing w:after="0" w:line="193"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(Unaudited) as of June 30, 2011 and December 31, 2010</w:t>
              </w:r>
            </w:hyperlink>
          </w:p>
        </w:tc>
        <w:tc>
          <w:tcPr>
            <w:tcW w:w="74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80" w:type="dxa"/>
            <w:vAlign w:val="bottom"/>
            <w:gridSpan w:val="16"/>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(Unaudited) for the Three Months Ended and Six Months Ended June 30, 2011 and 2010</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 for the Six Months Ended June 30, 2011 and 2010</w:t>
              </w:r>
            </w:hyperlink>
          </w:p>
        </w:tc>
        <w:tc>
          <w:tcPr>
            <w:tcW w:w="15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8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2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808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PART II. OTHER INFORMATION</w:t>
              </w:r>
            </w:hyperlink>
          </w:p>
        </w:tc>
        <w:tc>
          <w:tcPr>
            <w:tcW w:w="730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852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58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(Removed and Reserved)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04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54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60" w:type="dxa"/>
            <w:vAlign w:val="bottom"/>
            <w:gridSpan w:val="2"/>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7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3"/>
          </w:tcPr>
          <w:p>
            <w:pPr>
              <w:ind w:left="49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7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$118 at June 30, 2011 and $246 at December 31, 2010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55,382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income-tax,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157,762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Goodwill</w:t>
            </w: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99,299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8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385,404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16,560</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111,697</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57,137</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$0.001 par value; 100,000,000 shares authorized, 30,312,901 shares issued and 29,989,504 shares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640"/>
              <w:spacing w:after="0"/>
              <w:rPr>
                <w:sz w:val="20"/>
                <w:szCs w:val="20"/>
                <w:color w:val="auto"/>
              </w:rPr>
            </w:pPr>
            <w:r>
              <w:rPr>
                <w:rFonts w:ascii="Arial" w:cs="Arial" w:eastAsia="Arial" w:hAnsi="Arial"/>
                <w:sz w:val="18"/>
                <w:szCs w:val="18"/>
                <w:color w:val="auto"/>
                <w:w w:val="91"/>
              </w:rPr>
              <w:t>outstanding as of June 30, 2011 and 29,690,463 shares issued and 29,437,961 shares outstanding 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20" w:type="dxa"/>
            <w:vAlign w:val="bottom"/>
            <w:gridSpan w:val="2"/>
          </w:tcPr>
          <w:p>
            <w:pPr>
              <w:ind w:left="660"/>
              <w:spacing w:after="0"/>
              <w:rPr>
                <w:sz w:val="20"/>
                <w:szCs w:val="20"/>
                <w:color w:val="auto"/>
              </w:rPr>
            </w:pPr>
            <w:r>
              <w:rPr>
                <w:rFonts w:ascii="Arial" w:cs="Arial" w:eastAsia="Arial" w:hAnsi="Arial"/>
                <w:sz w:val="18"/>
                <w:szCs w:val="18"/>
                <w:color w:val="auto"/>
                <w:w w:val="84"/>
              </w:rPr>
              <w:t>2010</w:t>
            </w: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7"/>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136,173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129,102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112,266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276,399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323,397 shares as of June 30, 2011 and 252,502 shares as of December 31, 2010, held in treasury, at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w:t>
            </w: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ExlService Holdings, Inc. 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273,687</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273,707</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385,404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96,217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44,802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29,859,811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29,231,812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29,740,676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29,181,036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31,043,426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30,201,092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30,912,021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30,180,283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16,836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exchange loss/(gain)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Advance income-tax,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(80,090)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(90,169)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(50,618)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Principal payments of capital lease obligations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31,174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(31,827)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(43,377)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111,182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132,215</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79,355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2010.</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The non-controlling interest in the operations for the three and six months ended June 30, 2011 and 2010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 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issued Update No. 2009-13, “Multiple-Deliverable Revenue Arrangements—a consensus of the FASB Emerging Issues Task Force.” It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since the number of multiple deliverable revenue arrangements is insignificant.</w:t>
      </w:r>
    </w:p>
    <w:p>
      <w:pPr>
        <w:spacing w:after="0" w:line="12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 December 2010, the FASB issued update No. 2010-29 (“ASU 2010-29”), “Disclosure of Supplementary Pro Forma Information for Business Combinations.” ASU 2010-29 requires public companies to disclose revenues and earnings of the combined entity as though the current period business combination had occurred as of the beginning of the comparable prior annual reporting period while presenting comparative financial statements. The amendments expand the supplemental pro forma disclosures to include a description of the nature and amount of material, nonrecurring pro forma adjustments directly attributable to the business combination included in the reported pro forma revenue and earnings. The Company adopted the guidance effective January 1, 2011 for material (either on an individual or aggregate basis) business combinations entered into in fiscal years beginning on or after December 15, 2010. The adoption of the guidance had no effect on the Company’s financial position or results of operations. Refer to Note 5 to the unaudited consolidated financial statements for further details.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June 2011, the FASB issued update No. 2011-05 (“ASU 2011-05”), “Presentation of Comprehensive Income.” ASU 2011-05 amends existing guidance by allowing only two options for presenting the components of net income and other comprehensive income: (1) in a single continuous financial statement and statement of comprehensive income, or (2) in two separate but consecutive financial statements, consisting of an income statement followed by a separate statement of other comprehensive income. Also, items that are reclassified from other comprehensive income to net income must be presented on the face of the financial statements. ASU 2011-05 requires retrospective application, and is effective for fiscal years, and interim periods within those years, beginning on or after December 15, 2011, with early adoption permitted. The Company believes that the adoption of this update will change the order in which certain financial statements are presented and provide additional detail on those financial statements when applicable, but will not have any other impact on the Company’s unaudited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Cash or in-kind dividends declared with respect to unvested shares of restricted stock and restricted stock units are withheld by the Company and paid to the holder of such shares of restricted stock and restricted stock units, without interest, only if and when such shares of restricted stock and restricted stock units vest. Any unvested shares of restricted stock and restricted stock units are immediately forfeited without consideration upon the termination of such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4"/>
                <w:szCs w:val="14"/>
                <w:color w:val="auto"/>
              </w:rPr>
            </w:pPr>
          </w:p>
        </w:tc>
        <w:tc>
          <w:tcPr>
            <w:tcW w:w="23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4,869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29,859,811</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29,231,812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29,740,676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29,181,036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1,183,615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969,280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1,171,345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31,043,426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30,201,092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30,912,021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30,180,283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common shares considered anti-dilutive in computing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446,595</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810,843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528,832</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Company’s recent acquisition of Business Process Outsourcing, Inc. (“OPI”) is classified within the outsourcing services segment. See Note 5 for further details regarding the acquisition.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other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2011 and 2010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June 30, 2011</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80" w:type="dxa"/>
            <w:vAlign w:val="bottom"/>
          </w:tcPr>
          <w:p>
            <w:pPr>
              <w:spacing w:after="0"/>
              <w:rPr>
                <w:sz w:val="11"/>
                <w:szCs w:val="11"/>
                <w:color w:val="auto"/>
              </w:rPr>
            </w:pPr>
          </w:p>
        </w:tc>
        <w:tc>
          <w:tcPr>
            <w:tcW w:w="130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Services</w:t>
            </w:r>
          </w:p>
        </w:tc>
        <w:tc>
          <w:tcPr>
            <w:tcW w:w="10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85,028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46,560</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3"/>
              </w:rPr>
              <w:t>Cost of revenues (exclusive of 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41,338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51,998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33,030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23,622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8</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2011 and 2010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right"/>
              <w:ind w:right="455"/>
              <w:spacing w:after="0"/>
              <w:rPr>
                <w:sz w:val="20"/>
                <w:szCs w:val="20"/>
                <w:color w:val="auto"/>
              </w:rPr>
            </w:pPr>
            <w:r>
              <w:rPr>
                <w:rFonts w:ascii="Arial" w:cs="Arial" w:eastAsia="Arial" w:hAnsi="Arial"/>
                <w:sz w:val="14"/>
                <w:szCs w:val="14"/>
                <w:b w:val="1"/>
                <w:bCs w:val="1"/>
                <w:color w:val="auto"/>
              </w:rPr>
              <w:t>Six months ended June 30, 2011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9"/>
          </w:tcPr>
          <w:p>
            <w:pPr>
              <w:ind w:left="440"/>
              <w:spacing w:after="0"/>
              <w:rPr>
                <w:sz w:val="20"/>
                <w:szCs w:val="20"/>
                <w:color w:val="auto"/>
              </w:rPr>
            </w:pPr>
            <w:r>
              <w:rPr>
                <w:rFonts w:ascii="Arial" w:cs="Arial" w:eastAsia="Arial" w:hAnsi="Arial"/>
                <w:sz w:val="14"/>
                <w:szCs w:val="14"/>
                <w:b w:val="1"/>
                <w:bCs w:val="1"/>
                <w:color w:val="auto"/>
              </w:rPr>
              <w:t>Six months ended June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7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w w:val="83"/>
              </w:rPr>
              <w:t>Services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125,574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157,935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115,128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May 31, 2011, the Company completed its acquisition of OPI, a Delaware corporation formerly organized as a Cayman Islands exempted company, pursuant to a Merger Agreement, dated as of April 30, 2011 (the “Merger Agreement”), with F&amp;A BPO Merger Sub, Inc., a Delaware corporation and wholly owned subsidiary of the Company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acquired OPI to strengthen its position as a provider of finance and accounting outsourcing services. 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8"/>
              </w:rPr>
              <w:t>Add: Estimated working capital baseline and other adjustments as of the acquisition date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ind w:left="1380"/>
              <w:spacing w:after="0"/>
              <w:rPr>
                <w:sz w:val="20"/>
                <w:szCs w:val="20"/>
                <w:color w:val="auto"/>
              </w:rPr>
            </w:pPr>
            <w:r>
              <w:rPr>
                <w:rFonts w:ascii="Arial" w:cs="Arial" w:eastAsia="Arial" w:hAnsi="Arial"/>
                <w:sz w:val="18"/>
                <w:szCs w:val="18"/>
                <w:color w:val="auto"/>
              </w:rPr>
              <w:t>Total estimated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estimated purchase price includes approximately $1,071, payable to OPI shareholders after finalization of working capital adjustments.</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0" w:type="dxa"/>
            <w:vAlign w:val="bottom"/>
          </w:tcPr>
          <w:p>
            <w:pPr>
              <w:jc w:val="center"/>
              <w:ind w:left="652"/>
              <w:spacing w:after="0"/>
              <w:rPr>
                <w:sz w:val="20"/>
                <w:szCs w:val="20"/>
                <w:color w:val="auto"/>
              </w:rPr>
            </w:pPr>
            <w:r>
              <w:rPr>
                <w:rFonts w:ascii="Arial" w:cs="Arial" w:eastAsia="Arial" w:hAnsi="Arial"/>
                <w:sz w:val="18"/>
                <w:szCs w:val="18"/>
                <w:b w:val="1"/>
                <w:bCs w:val="1"/>
                <w:color w:val="auto"/>
                <w:w w:val="99"/>
              </w:rPr>
              <w:t>EXLSERVICE HOLDINGS, INC.</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0" w:type="dxa"/>
            <w:vAlign w:val="bottom"/>
          </w:tcPr>
          <w:p>
            <w:pPr>
              <w:jc w:val="center"/>
              <w:ind w:left="67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tcPr>
          <w:p>
            <w:pPr>
              <w:jc w:val="center"/>
              <w:ind w:left="652"/>
              <w:spacing w:after="0"/>
              <w:rPr>
                <w:sz w:val="20"/>
                <w:szCs w:val="20"/>
                <w:color w:val="auto"/>
              </w:rPr>
            </w:pPr>
            <w:r>
              <w:rPr>
                <w:rFonts w:ascii="Arial" w:cs="Arial" w:eastAsia="Arial" w:hAnsi="Arial"/>
                <w:sz w:val="18"/>
                <w:szCs w:val="18"/>
                <w:b w:val="1"/>
                <w:bCs w:val="1"/>
                <w:color w:val="auto"/>
                <w:w w:val="87"/>
              </w:rPr>
              <w:t>June 30, 2011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tcPr>
          <w:p>
            <w:pPr>
              <w:jc w:val="center"/>
              <w:ind w:left="652"/>
              <w:spacing w:after="0"/>
              <w:rPr>
                <w:sz w:val="20"/>
                <w:szCs w:val="20"/>
                <w:color w:val="auto"/>
              </w:rPr>
            </w:pPr>
            <w:r>
              <w:rPr>
                <w:rFonts w:ascii="Arial" w:cs="Arial" w:eastAsia="Arial" w:hAnsi="Arial"/>
                <w:sz w:val="18"/>
                <w:szCs w:val="18"/>
                <w:b w:val="1"/>
                <w:bCs w:val="1"/>
                <w:color w:val="auto"/>
                <w:w w:val="89"/>
              </w:rPr>
              <w:t>(Unaudited)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0" w:type="dxa"/>
            <w:vAlign w:val="bottom"/>
          </w:tcPr>
          <w:p>
            <w:pPr>
              <w:jc w:val="center"/>
              <w:ind w:left="6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840" w:type="dxa"/>
            <w:vAlign w:val="bottom"/>
            <w:gridSpan w:val="3"/>
          </w:tcPr>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68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Leasehold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names and trademarks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680" w:type="dxa"/>
            <w:vAlign w:val="bottom"/>
            <w:gridSpan w:val="2"/>
          </w:tcPr>
          <w:p>
            <w:pPr>
              <w:ind w:left="680"/>
              <w:spacing w:after="0"/>
              <w:rPr>
                <w:sz w:val="20"/>
                <w:szCs w:val="20"/>
                <w:color w:val="auto"/>
              </w:rPr>
            </w:pPr>
            <w:r>
              <w:rPr>
                <w:rFonts w:ascii="Arial" w:cs="Arial" w:eastAsia="Arial" w:hAnsi="Arial"/>
                <w:sz w:val="18"/>
                <w:szCs w:val="18"/>
                <w:color w:val="auto"/>
              </w:rPr>
              <w:t>Total purchase price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Includes $14,000 deposited in escrow accounts in connection with the acquisition.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ASC topic 805, “Business Combinations,” the preliminary allocation of the purchase price to the tangible and intangible assets and liabilities acquired may change up to a period of one year from the date of acquisition. Accordingly, the Company may adjust the amounts recorded as of June 30, 2011 to reflect any revised valuations of the assets acquired or liabilities assumed. The customer relationships and leasehold benefits from the OPI acquisition are being amortized over a weighted average life of 10.6 years and the remaining period of the lease (approximately 8 years), respectively. Similarly, trade names, trademarks and non-compete agreements are being amortized over a life of 3.0 years and 1.5 years, respectively.</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and six months ended June 30, 2011, the Company recognized $569 and $1,139 of acquisition-related costs, related to the OPI acquisition, which amounts are included under general and administrative expenses in the unaudited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ASC paragraph 805-10-50-2(h) requires a public entity to disclose pro forma information for the business combinations that occurred in the current reporting period. Under ASU 2010-29, the disclosures include pro forma revenues and earnings of the combined entity for the current reporting period as though the acquisition date for the business combination that occurred during the year had been as of the beginning of the annual reporting period. If comparative financial statements are presented, the pro forma revenues and earnings of the combined entity for the comparable prior reporting period should be reported as though the acquisition date for all business combinations that occurred during the current year had been as of the beginning of the comparable prior annual reporting period.</w:t>
      </w:r>
    </w:p>
    <w:p>
      <w:pPr>
        <w:spacing w:after="0" w:line="1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of ExlService Holdings and OPI, on a pro forma basis, as though the companies had been combined as of the first date of the twelve months ended December 31, 2010. The pro forma financial information is presented for informational purposes only and is not indicative of the results of operations that would have been achieved if the acquisition had taken place on that date or of results that may occur in the future. The unaudited pro forma financial information for the three and six months ended June 30, 2011 and 2010 combines the historical results for the Company for the three and six months ended June 30, 2011 and 2010 and the historical results for OPI for the three and six months ended June 30, 2011 and 2010.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9,545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w w:val="97"/>
              </w:rPr>
              <w:t>Weighted-average number of shares used in computing earnings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29,859,811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29,231,812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29,740,676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29,181,036</w:t>
            </w: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31,043,426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30,201,092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30,912,021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30,180,283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income for the three and six months ended June 30, 2011 and 2010 include adjustments for amortization of identifiable intangible assets recognized from the acquisition of OPI, merger-related transaction costs including advisory and legal fees incurred which are directly attributable to the merger, but which are not expected to have a continuing impact on the combined entity’s results and adjustment for changes to income tax expense as a result of the consummation of this transaction.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results of operations for the period ended June 30, 2011 include $7,353 and $480 of revenues and net income, respectively, attributable to the revenues and net income of OPI since June 1, 2011, the date on which the acquisition was consummated.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Transformation</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Services</w:t>
            </w:r>
          </w:p>
        </w:tc>
        <w:tc>
          <w:tcPr>
            <w:tcW w:w="4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$19,619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28,557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(5,303)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r>
      <w:tr>
        <w:trPr>
          <w:trHeight w:val="223"/>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43,370</w:t>
            </w:r>
          </w:p>
        </w:tc>
      </w:tr>
      <w:tr>
        <w:trPr>
          <w:trHeight w:val="216"/>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Goodwill arising from OPI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55,925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55,925</w:t>
            </w: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Balance at June 30, 2011</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82,514</w:t>
            </w:r>
          </w:p>
        </w:tc>
        <w:tc>
          <w:tcPr>
            <w:tcW w:w="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16,785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99,299</w:t>
            </w:r>
          </w:p>
        </w:tc>
      </w:tr>
      <w:tr>
        <w:trPr>
          <w:trHeight w:val="20"/>
        </w:trPr>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80" w:right="8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 adjustments related to the American Express Global Travel Service Center (“GTSC”) and Professional Data Management Again, Inc. (“PDMA”) acquisitions.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June 30, 2011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$33,195</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4,102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43,397</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(3,755)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39,642</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December 31, 2010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$16,595</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benefits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20,797</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(2,206)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Amortization expense for the three months ended June 30, 2011 and 2010 was $913 and $520, respectively. Amortization expense for the six months ended June 30, 2011 and 2010 was $1,548 and $701, respectively. The weighted average life of intangible assets was 10.1 years for customer relationships, 6.8 years for leasehold benefits, 10.0 years for developed technology, 1.5 years for non-compete agreements and 3.0 years for trade names and trademarks excluding indefinite life trade names and trademarks. The Company had $900 of indefinite life trade names and trademarks as of June 30, 2011 and December 31, 2010.</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Estimated amortization of intangible assets during the year ending June 30,</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2012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5,602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4,958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2014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4,320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3,770</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2016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3,770</w:t>
            </w:r>
          </w:p>
        </w:tc>
      </w:tr>
      <w:tr>
        <w:trPr>
          <w:trHeight w:val="937"/>
        </w:trPr>
        <w:tc>
          <w:tcPr>
            <w:tcW w:w="6260" w:type="dxa"/>
            <w:vAlign w:val="bottom"/>
          </w:tcPr>
          <w:p>
            <w:pPr>
              <w:ind w:left="378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June 30, 2011 and December 31, 2010. The table excludes short-term investments, accounts receivable, short-term borrowings, accounts payable and accrued expenses for which fair values approximate their carrying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As of June 30, 2011</w:t>
            </w:r>
          </w:p>
        </w:tc>
        <w:tc>
          <w:tcPr>
            <w:tcW w:w="2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w w:val="86"/>
              </w:rPr>
              <w:t>$35,213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4,733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3020" w:type="dxa"/>
            <w:vAlign w:val="bottom"/>
            <w:gridSpan w:val="2"/>
          </w:tcPr>
          <w:p>
            <w:pPr>
              <w:ind w:left="2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35,213</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4,733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2010</w:t>
            </w:r>
          </w:p>
        </w:tc>
        <w:tc>
          <w:tcPr>
            <w:tcW w:w="2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w w:val="86"/>
              </w:rPr>
              <w:t>$83,335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4,214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3020" w:type="dxa"/>
            <w:vAlign w:val="bottom"/>
            <w:gridSpan w:val="2"/>
          </w:tcPr>
          <w:p>
            <w:pPr>
              <w:ind w:left="2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83,335</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“Derivatives and Hedging” (“ASC 815”). The Company also uses derivatives consisting of foreign currency exchange contracts not designated as hedging instruments under ASC 815 to hedge intercompany balances and other monetary assets or liabilities denominated in currencies other than the functional currency.</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$195,707, GBP 9,566 and EUR 321 as of June 30, 2011 and totaling $166,030, GBP 8,434 and EUR 785 as of December 31, 2010. The Company estimates that approximately $3,152 of net derivative gains included in accumulated other comprehensive income (“AOCI”) could be reclassified into earnings within the next twelve months based on exchange rates prevailing as of June 30, 2011. At June 30, 2011, the maximum outstanding term of derivative instruments that hedge forecasted transactions was thirty three months.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six months ended June 30, 2011.</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85"/>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20" w:type="dxa"/>
            <w:vAlign w:val="bottom"/>
            <w:gridSpan w:val="5"/>
          </w:tcPr>
          <w:p>
            <w:pPr>
              <w:jc w:val="right"/>
              <w:ind w:right="20"/>
              <w:spacing w:after="0"/>
              <w:rPr>
                <w:sz w:val="20"/>
                <w:szCs w:val="20"/>
                <w:color w:val="auto"/>
              </w:rPr>
            </w:pPr>
            <w:r>
              <w:rPr>
                <w:rFonts w:ascii="Arial" w:cs="Arial" w:eastAsia="Arial" w:hAnsi="Arial"/>
                <w:sz w:val="18"/>
                <w:szCs w:val="18"/>
                <w:color w:val="auto"/>
              </w:rPr>
              <w:t>$3,152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20" w:type="dxa"/>
            <w:vAlign w:val="bottom"/>
            <w:gridSpan w:val="5"/>
          </w:tcPr>
          <w:p>
            <w:pPr>
              <w:jc w:val="right"/>
              <w:ind w:right="2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220" w:type="dxa"/>
            <w:vAlign w:val="bottom"/>
            <w:gridSpan w:val="3"/>
          </w:tcPr>
          <w:p>
            <w:pPr>
              <w:ind w:left="21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1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Location of Gain/(Loss)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7"/>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on Derivative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8"/>
        </w:trPr>
        <w:tc>
          <w:tcPr>
            <w:tcW w:w="3040" w:type="dxa"/>
            <w:vAlign w:val="bottom"/>
            <w:gridSpan w:val="4"/>
            <w:vMerge w:val="continue"/>
          </w:tcPr>
          <w:p>
            <w:pPr>
              <w:spacing w:after="0"/>
              <w:rPr>
                <w:sz w:val="12"/>
                <w:szCs w:val="12"/>
                <w:color w:val="auto"/>
              </w:rPr>
            </w:pPr>
          </w:p>
        </w:tc>
        <w:tc>
          <w:tcPr>
            <w:tcW w:w="1480" w:type="dxa"/>
            <w:vAlign w:val="bottom"/>
            <w:gridSpan w:val="4"/>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Amount of Gain/</w:t>
            </w:r>
          </w:p>
        </w:tc>
        <w:tc>
          <w:tcPr>
            <w:tcW w:w="100" w:type="dxa"/>
            <w:vAlign w:val="bottom"/>
          </w:tcPr>
          <w:p>
            <w:pPr>
              <w:spacing w:after="0"/>
              <w:rPr>
                <w:sz w:val="12"/>
                <w:szCs w:val="12"/>
                <w:color w:val="auto"/>
              </w:rPr>
            </w:pPr>
          </w:p>
        </w:tc>
        <w:tc>
          <w:tcPr>
            <w:tcW w:w="1580" w:type="dxa"/>
            <w:vAlign w:val="bottom"/>
            <w:gridSpan w:val="2"/>
          </w:tcPr>
          <w:p>
            <w:pPr>
              <w:jc w:val="center"/>
              <w:ind w:left="32"/>
              <w:spacing w:after="0" w:line="148" w:lineRule="exact"/>
              <w:rPr>
                <w:sz w:val="20"/>
                <w:szCs w:val="20"/>
                <w:color w:val="auto"/>
              </w:rPr>
            </w:pPr>
            <w:r>
              <w:rPr>
                <w:rFonts w:ascii="Arial" w:cs="Arial" w:eastAsia="Arial" w:hAnsi="Arial"/>
                <w:sz w:val="14"/>
                <w:szCs w:val="14"/>
                <w:b w:val="1"/>
                <w:bCs w:val="1"/>
                <w:color w:val="auto"/>
                <w:w w:val="87"/>
              </w:rPr>
              <w:t>Location of Gain/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93"/>
              </w:rPr>
              <w:t>Amount of Gain/</w:t>
            </w:r>
          </w:p>
        </w:tc>
        <w:tc>
          <w:tcPr>
            <w:tcW w:w="15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8"/>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Income on Derivative</w:t>
            </w:r>
          </w:p>
        </w:tc>
        <w:tc>
          <w:tcPr>
            <w:tcW w:w="0" w:type="dxa"/>
            <w:vAlign w:val="bottom"/>
          </w:tcPr>
          <w:p>
            <w:pPr>
              <w:spacing w:after="0"/>
              <w:rPr>
                <w:sz w:val="1"/>
                <w:szCs w:val="1"/>
                <w:color w:val="auto"/>
              </w:rPr>
            </w:pPr>
          </w:p>
        </w:tc>
      </w:tr>
      <w:tr>
        <w:trPr>
          <w:trHeight w:val="149"/>
        </w:trPr>
        <w:tc>
          <w:tcPr>
            <w:tcW w:w="3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14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00" w:type="dxa"/>
            <w:vAlign w:val="bottom"/>
          </w:tcPr>
          <w:p>
            <w:pPr>
              <w:spacing w:after="0"/>
              <w:rPr>
                <w:sz w:val="12"/>
                <w:szCs w:val="12"/>
                <w:color w:val="auto"/>
              </w:rPr>
            </w:pPr>
          </w:p>
        </w:tc>
        <w:tc>
          <w:tcPr>
            <w:tcW w:w="15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5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3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4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AOCI on Derivative</w:t>
            </w:r>
          </w:p>
        </w:tc>
        <w:tc>
          <w:tcPr>
            <w:tcW w:w="100" w:type="dxa"/>
            <w:vAlign w:val="bottom"/>
          </w:tcPr>
          <w:p>
            <w:pPr>
              <w:spacing w:after="0"/>
              <w:rPr>
                <w:sz w:val="12"/>
                <w:szCs w:val="12"/>
                <w:color w:val="auto"/>
              </w:rPr>
            </w:pPr>
          </w:p>
        </w:tc>
        <w:tc>
          <w:tcPr>
            <w:tcW w:w="15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0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from Effectiveness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49"/>
        </w:trPr>
        <w:tc>
          <w:tcPr>
            <w:tcW w:w="30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48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00" w:type="dxa"/>
            <w:vAlign w:val="bottom"/>
          </w:tcPr>
          <w:p>
            <w:pPr>
              <w:spacing w:after="0"/>
              <w:rPr>
                <w:sz w:val="12"/>
                <w:szCs w:val="12"/>
                <w:color w:val="auto"/>
              </w:rPr>
            </w:pPr>
          </w:p>
        </w:tc>
        <w:tc>
          <w:tcPr>
            <w:tcW w:w="1580" w:type="dxa"/>
            <w:vAlign w:val="bottom"/>
            <w:gridSpan w:val="2"/>
          </w:tcPr>
          <w:p>
            <w:pPr>
              <w:jc w:val="center"/>
              <w:ind w:left="32"/>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200" w:type="dxa"/>
            <w:vAlign w:val="bottom"/>
          </w:tcPr>
          <w:p>
            <w:pPr>
              <w:spacing w:after="0"/>
              <w:rPr>
                <w:sz w:val="12"/>
                <w:szCs w:val="12"/>
                <w:color w:val="auto"/>
              </w:rPr>
            </w:pPr>
          </w:p>
        </w:tc>
        <w:tc>
          <w:tcPr>
            <w:tcW w:w="13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Testing)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7"/>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4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8"/>
                <w:szCs w:val="18"/>
                <w:color w:val="auto"/>
              </w:rPr>
              <w:t>Foreign exchange contracts</w:t>
            </w: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Foreign exchange</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gridSpan w:val="4"/>
            <w:shd w:val="clear" w:color="auto" w:fill="CCEEFF"/>
          </w:tcPr>
          <w:p>
            <w:pPr>
              <w:spacing w:after="0" w:line="188" w:lineRule="exact"/>
              <w:rPr>
                <w:sz w:val="20"/>
                <w:szCs w:val="20"/>
                <w:color w:val="auto"/>
              </w:rPr>
            </w:pPr>
            <w:r>
              <w:rPr>
                <w:rFonts w:ascii="Arial" w:cs="Arial" w:eastAsia="Arial" w:hAnsi="Arial"/>
                <w:sz w:val="18"/>
                <w:szCs w:val="18"/>
                <w:color w:val="auto"/>
              </w:rPr>
              <w:t>Foreign exchange</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gain</w:t>
            </w: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1,527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  635</w:t>
            </w:r>
          </w:p>
        </w:tc>
        <w:tc>
          <w:tcPr>
            <w:tcW w:w="1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5"/>
            <w:vMerge w:val="restart"/>
          </w:tcPr>
          <w:p>
            <w:pPr>
              <w:jc w:val="center"/>
              <w:ind w:left="906"/>
              <w:spacing w:after="0"/>
              <w:rPr>
                <w:sz w:val="20"/>
                <w:szCs w:val="20"/>
                <w:color w:val="auto"/>
              </w:rPr>
            </w:pPr>
            <w:r>
              <w:rPr>
                <w:rFonts w:ascii="Arial" w:cs="Arial" w:eastAsia="Arial" w:hAnsi="Arial"/>
                <w:sz w:val="14"/>
                <w:szCs w:val="14"/>
                <w:b w:val="1"/>
                <w:bCs w:val="1"/>
                <w:color w:val="auto"/>
                <w:w w:val="86"/>
              </w:rPr>
              <w:t>Location of Gain/(Loss)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0"/>
              </w:rPr>
              <w:t>Amount of Gain/(Loss)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40" w:type="dxa"/>
            <w:vAlign w:val="bottom"/>
            <w:gridSpan w:val="9"/>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Recognized in Income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5"/>
          </w:tcPr>
          <w:p>
            <w:pPr>
              <w:jc w:val="center"/>
              <w:ind w:left="906"/>
              <w:spacing w:after="0"/>
              <w:rPr>
                <w:sz w:val="20"/>
                <w:szCs w:val="20"/>
                <w:color w:val="auto"/>
              </w:rPr>
            </w:pPr>
            <w:r>
              <w:rPr>
                <w:rFonts w:ascii="Arial" w:cs="Arial" w:eastAsia="Arial" w:hAnsi="Arial"/>
                <w:sz w:val="14"/>
                <w:szCs w:val="14"/>
                <w:b w:val="1"/>
                <w:bCs w:val="1"/>
                <w:color w:val="auto"/>
                <w:w w:val="86"/>
              </w:rPr>
              <w:t>Recognized in Income</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7"/>
              </w:rPr>
              <w:t>on Derivatives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as Hedging Instruments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on Derivatives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52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Foreign exchange contracts</w:t>
            </w: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Foreign exchange gain/(loss)</w:t>
            </w: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405</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77"/>
              </w:rPr>
              <w:t>(44)</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right"/>
              <w:ind w:right="326"/>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Location of Gain/(Loss)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0" w:type="dxa"/>
            <w:vAlign w:val="bottom"/>
          </w:tcPr>
          <w:p>
            <w:pPr>
              <w:spacing w:after="0"/>
              <w:rPr>
                <w:sz w:val="1"/>
                <w:szCs w:val="1"/>
                <w:color w:val="auto"/>
              </w:rPr>
            </w:pPr>
          </w:p>
        </w:tc>
      </w:tr>
      <w:tr>
        <w:trPr>
          <w:trHeight w:val="148"/>
        </w:trPr>
        <w:tc>
          <w:tcPr>
            <w:tcW w:w="2160" w:type="dxa"/>
            <w:vAlign w:val="bottom"/>
            <w:gridSpan w:val="3"/>
            <w:vMerge w:val="continue"/>
          </w:tcPr>
          <w:p>
            <w:pPr>
              <w:spacing w:after="0"/>
              <w:rPr>
                <w:sz w:val="12"/>
                <w:szCs w:val="12"/>
                <w:color w:val="auto"/>
              </w:rPr>
            </w:pPr>
          </w:p>
        </w:tc>
        <w:tc>
          <w:tcPr>
            <w:tcW w:w="1260" w:type="dxa"/>
            <w:vAlign w:val="bottom"/>
            <w:gridSpan w:val="5"/>
          </w:tcPr>
          <w:p>
            <w:pPr>
              <w:jc w:val="center"/>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260" w:type="dxa"/>
            <w:vAlign w:val="bottom"/>
          </w:tcPr>
          <w:p>
            <w:pPr>
              <w:spacing w:after="0"/>
              <w:rPr>
                <w:sz w:val="12"/>
                <w:szCs w:val="12"/>
                <w:color w:val="auto"/>
              </w:rPr>
            </w:pPr>
          </w:p>
        </w:tc>
        <w:tc>
          <w:tcPr>
            <w:tcW w:w="2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Location of Gain/</w:t>
            </w:r>
          </w:p>
        </w:tc>
        <w:tc>
          <w:tcPr>
            <w:tcW w:w="160" w:type="dxa"/>
            <w:vAlign w:val="bottom"/>
          </w:tcPr>
          <w:p>
            <w:pPr>
              <w:spacing w:after="0"/>
              <w:rPr>
                <w:sz w:val="12"/>
                <w:szCs w:val="12"/>
                <w:color w:val="auto"/>
              </w:rPr>
            </w:pPr>
          </w:p>
        </w:tc>
        <w:tc>
          <w:tcPr>
            <w:tcW w:w="1760" w:type="dxa"/>
            <w:vAlign w:val="bottom"/>
            <w:gridSpan w:val="5"/>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Amount of Gain/</w:t>
            </w:r>
          </w:p>
        </w:tc>
        <w:tc>
          <w:tcPr>
            <w:tcW w:w="204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88"/>
              </w:rPr>
              <w:t>(Ineffective Portion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49"/>
        </w:trPr>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Flow</w:t>
            </w: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(Loss) Recognized in</w:t>
            </w:r>
          </w:p>
        </w:tc>
        <w:tc>
          <w:tcPr>
            <w:tcW w:w="26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60" w:type="dxa"/>
            <w:vAlign w:val="bottom"/>
          </w:tcPr>
          <w:p>
            <w:pPr>
              <w:spacing w:after="0"/>
              <w:rPr>
                <w:sz w:val="12"/>
                <w:szCs w:val="12"/>
                <w:color w:val="auto"/>
              </w:rPr>
            </w:pPr>
          </w:p>
        </w:tc>
        <w:tc>
          <w:tcPr>
            <w:tcW w:w="17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c>
          <w:tcPr>
            <w:tcW w:w="0" w:type="dxa"/>
            <w:vAlign w:val="bottom"/>
          </w:tcPr>
          <w:p>
            <w:pPr>
              <w:spacing w:after="0"/>
              <w:rPr>
                <w:sz w:val="1"/>
                <w:szCs w:val="1"/>
                <w:color w:val="auto"/>
              </w:rPr>
            </w:pPr>
          </w:p>
        </w:tc>
      </w:tr>
      <w:tr>
        <w:trPr>
          <w:trHeight w:val="149"/>
        </w:trPr>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AOCI on Derivative</w:t>
            </w:r>
          </w:p>
        </w:tc>
        <w:tc>
          <w:tcPr>
            <w:tcW w:w="26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60" w:type="dxa"/>
            <w:vAlign w:val="bottom"/>
          </w:tcPr>
          <w:p>
            <w:pPr>
              <w:spacing w:after="0"/>
              <w:rPr>
                <w:sz w:val="12"/>
                <w:szCs w:val="12"/>
                <w:color w:val="auto"/>
              </w:rPr>
            </w:pPr>
          </w:p>
        </w:tc>
        <w:tc>
          <w:tcPr>
            <w:tcW w:w="17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2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Excluded from</w:t>
            </w:r>
          </w:p>
        </w:tc>
        <w:tc>
          <w:tcPr>
            <w:tcW w:w="0" w:type="dxa"/>
            <w:vAlign w:val="bottom"/>
          </w:tcPr>
          <w:p>
            <w:pPr>
              <w:spacing w:after="0"/>
              <w:rPr>
                <w:sz w:val="1"/>
                <w:szCs w:val="1"/>
                <w:color w:val="auto"/>
              </w:rPr>
            </w:pPr>
          </w:p>
        </w:tc>
      </w:tr>
      <w:tr>
        <w:trPr>
          <w:trHeight w:val="149"/>
        </w:trPr>
        <w:tc>
          <w:tcPr>
            <w:tcW w:w="2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2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260" w:type="dxa"/>
            <w:vAlign w:val="bottom"/>
          </w:tcPr>
          <w:p>
            <w:pPr>
              <w:spacing w:after="0"/>
              <w:rPr>
                <w:sz w:val="12"/>
                <w:szCs w:val="12"/>
                <w:color w:val="auto"/>
              </w:rPr>
            </w:pPr>
          </w:p>
        </w:tc>
        <w:tc>
          <w:tcPr>
            <w:tcW w:w="2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160" w:type="dxa"/>
            <w:vAlign w:val="bottom"/>
          </w:tcPr>
          <w:p>
            <w:pPr>
              <w:spacing w:after="0"/>
              <w:rPr>
                <w:sz w:val="12"/>
                <w:szCs w:val="12"/>
                <w:color w:val="auto"/>
              </w:rPr>
            </w:pPr>
          </w:p>
        </w:tc>
        <w:tc>
          <w:tcPr>
            <w:tcW w:w="1760" w:type="dxa"/>
            <w:vAlign w:val="bottom"/>
            <w:gridSpan w:val="5"/>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204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Testing)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Effectiveness Testing)</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ind w:right="9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Foreign exchange contracts</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$ 2,970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$ 738</w:t>
            </w:r>
          </w:p>
        </w:tc>
        <w:tc>
          <w:tcPr>
            <w:tcW w:w="2320" w:type="dxa"/>
            <w:vAlign w:val="bottom"/>
            <w:tcBorders>
              <w:top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Foreign exchange gain</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$ 2,730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1,224</w:t>
            </w:r>
          </w:p>
        </w:tc>
        <w:tc>
          <w:tcPr>
            <w:tcW w:w="2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0"/>
              </w:rPr>
              <w:t>Amount of Gain/(Loss)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 Designated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Location of Gain/(Loss)</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9"/>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Recognized in Income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60" w:type="dxa"/>
            <w:vAlign w:val="bottom"/>
            <w:gridSpan w:val="9"/>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on Derivatives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gridSpan w:val="4"/>
            <w:vMerge w:val="restart"/>
          </w:tcPr>
          <w:p>
            <w:pPr>
              <w:spacing w:after="0" w:line="141" w:lineRule="exact"/>
              <w:rPr>
                <w:sz w:val="20"/>
                <w:szCs w:val="20"/>
                <w:color w:val="auto"/>
              </w:rPr>
            </w:pPr>
            <w:r>
              <w:rPr>
                <w:rFonts w:ascii="Arial" w:cs="Arial" w:eastAsia="Arial" w:hAnsi="Arial"/>
                <w:sz w:val="14"/>
                <w:szCs w:val="14"/>
                <w:b w:val="1"/>
                <w:bCs w:val="1"/>
                <w:color w:val="auto"/>
              </w:rPr>
              <w:t>as Hedging Instruments</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5"/>
            <w:vMerge w:val="restart"/>
          </w:tcPr>
          <w:p>
            <w:pPr>
              <w:jc w:val="center"/>
              <w:ind w:right="100"/>
              <w:spacing w:after="0" w:line="141" w:lineRule="exact"/>
              <w:rPr>
                <w:sz w:val="20"/>
                <w:szCs w:val="20"/>
                <w:color w:val="auto"/>
              </w:rPr>
            </w:pPr>
            <w:r>
              <w:rPr>
                <w:rFonts w:ascii="Arial" w:cs="Arial" w:eastAsia="Arial" w:hAnsi="Arial"/>
                <w:sz w:val="14"/>
                <w:szCs w:val="14"/>
                <w:b w:val="1"/>
                <w:bCs w:val="1"/>
                <w:color w:val="auto"/>
                <w:w w:val="85"/>
              </w:rPr>
              <w:t>on Derivatives</w:t>
            </w:r>
          </w:p>
        </w:tc>
        <w:tc>
          <w:tcPr>
            <w:tcW w:w="7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ind w:right="71"/>
              <w:spacing w:after="0" w:line="102" w:lineRule="exact"/>
              <w:rPr>
                <w:sz w:val="20"/>
                <w:szCs w:val="20"/>
                <w:color w:val="auto"/>
              </w:rPr>
            </w:pPr>
            <w:r>
              <w:rPr>
                <w:rFonts w:ascii="Arial" w:cs="Arial" w:eastAsia="Arial" w:hAnsi="Arial"/>
                <w:sz w:val="11"/>
                <w:szCs w:val="11"/>
                <w:b w:val="1"/>
                <w:bCs w:val="1"/>
                <w:color w:val="auto"/>
              </w:rPr>
              <w:t>2011</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89"/>
              <w:spacing w:after="0" w:line="102"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89"/>
              </w:rPr>
              <w:t>Foreign exchange contracts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w w:val="90"/>
              </w:rPr>
              <w:t>Foreign exchange gain</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776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931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June 30,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0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Network equipment, cabling and computers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57,550</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Land</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94,624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(55,889)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(48,455)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38,735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cabling and computers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2"/>
              </w:rPr>
              <w:t>Less: Accumulated depreciation and amortization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80" w:type="dxa"/>
            <w:vAlign w:val="bottom"/>
          </w:tcPr>
          <w:p>
            <w:pPr>
              <w:ind w:left="440"/>
              <w:spacing w:after="0"/>
              <w:rPr>
                <w:sz w:val="20"/>
                <w:szCs w:val="20"/>
                <w:color w:val="auto"/>
              </w:rPr>
            </w:pPr>
            <w:r>
              <w:rPr>
                <w:rFonts w:ascii="Arial" w:cs="Arial" w:eastAsia="Arial" w:hAnsi="Arial"/>
                <w:sz w:val="18"/>
                <w:szCs w:val="18"/>
                <w:color w:val="auto"/>
              </w:rPr>
              <w:t>Fixed assets, net</w:t>
            </w:r>
          </w:p>
        </w:tc>
        <w:tc>
          <w:tcPr>
            <w:tcW w:w="2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45,529</w:t>
            </w:r>
          </w:p>
        </w:tc>
        <w:tc>
          <w:tcPr>
            <w:tcW w:w="34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34,733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0" w:type="dxa"/>
            <w:vAlign w:val="bottom"/>
            <w:vMerge w:val="restart"/>
          </w:tcPr>
          <w:p>
            <w:pPr>
              <w:jc w:val="right"/>
              <w:ind w:right="197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Depreciation expense was $4,197 and $3,337 during the three months ended June 30, 2011 and 2010, respectively, and $8,414 and $6,229 during the six months ended June 30,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change in the components of comprehensive income for the three and six months ended June 30, 2011 and 2010:</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6"/>
              </w:rPr>
              <w:t>Three months ended June 30,</w:t>
            </w:r>
          </w:p>
        </w:tc>
        <w:tc>
          <w:tcPr>
            <w:tcW w:w="120" w:type="dxa"/>
            <w:vAlign w:val="bottom"/>
          </w:tcPr>
          <w:p>
            <w:pPr>
              <w:spacing w:after="0"/>
              <w:rPr>
                <w:sz w:val="14"/>
                <w:szCs w:val="14"/>
                <w:color w:val="auto"/>
              </w:rPr>
            </w:pPr>
          </w:p>
        </w:tc>
        <w:tc>
          <w:tcPr>
            <w:tcW w:w="18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16,836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Unrealized gain/(loss) on effective cash flow hedges, net of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 net of taxes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three and six months ended June 30, 2011, the Company acquired 61,299 shares of common stock for a total consideration of $1,439 in pursuance of an option agreement between the Company and Prudential Financial, Inc. (“Prudential”) dated July 1, 2004. The purchase price of $23.47 per share was the average closing price for the 30-day period on the Nasdaq Global Select Market preceding the date of exercise of options by Prudential.</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three months ended June 30, 2011, the Company also acquired 7,882 shares of common stock from employees in connection with withholding tax payments related to the vesting of restricted stock for a total consideration of $170. The purchase price of $19.16 per share was the average of the high and low price of the Company’s shares of common stock on the Nasdaq Global Select Market on the trading day prior to the vesting date of the shares of restricted stock. During the six months ended June 30, 2011, the Company acquired 9,596 shares of common stock from employees in connection with withholding tax payments related to the vesting of restricted stock for a total consideration of $204.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as mentioned above are held as treasury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 Term Borrowings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26, 2011, the Company entered into a credit agreement (the “Credit Agreement”) with certain lenders and JPMorgan Chase Bank, N.A., as Administrative Agent. The Credit Agreement provides for a $50,000 revolving credit facility for a period of three years. The Company has an option to increase the commitments under the Credit Agreement by up to an additional $25,000, subject to certain approvals and conditions as set forth in the Credit Agreement. The loan facility also has a letter of credit sub-facility.</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Borrowings under the Credit Agreement may be used for working capital and general corporate purposes. As of June 30, 2011, the Company had an outstanding amount of $30,000 under the Credit Agreement. The Company expects to repay the outstanding amounts within one year and accordingly has classified the same as short-term borrowings in the unaudited consolidated balance sheet as of June 30, 2011. In connection with the financing, the Company incurred $446 as debt issuance costs, which are deferred and amortized as an adjustment to interest expense over the term of the credit facility using the effective interest method.</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Depending on the type of borrowing, loans under the Credit Agreement bear interest at a rate equal to the specified prime rate (alternate base rate) or adjusted LIBOR, plus, in each case, an applicable margin. The applicable margin is tied to the Company’s leverage ratio and ranges from 0.00% to 0.50% per annum with respect to loans (“ABR Loans”) pegged to the specified prime rate, and 2.00% to 2.50% per annum on loans (“Eurodollar Loans”) pegged to adjusted LIBOR (such applicable margin, the “Applicable Rate”). The revolving credit commitments under the Credit Agreement are subject to a commitment fee. As of June 30, 2011, the interest rate on the revolver credit facility was 2.2% per annum. The commitment fee is also tied to the Company’s leverage ratio, and ranges from 0.350% to 0.450% per annum on the average daily amount by which the aggregate revolving commitments exceed the sum of outstanding revolving loans and letter of credit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Credit Agreement is guaranteed by the Company’s domestic subsidiaries. The obligations under the Credit Agreement are secured by all or substantially all of the assets of the borrower and its material domestic subsidiaries. The agreement contains certain covenants including a restriction on indebtedness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Philippines provide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7"/>
              </w:rPr>
              <w:t>Three months ended June 30,</w:t>
            </w:r>
          </w:p>
        </w:tc>
        <w:tc>
          <w:tcPr>
            <w:tcW w:w="120" w:type="dxa"/>
            <w:vAlign w:val="bottom"/>
          </w:tcPr>
          <w:p>
            <w:pPr>
              <w:spacing w:after="0"/>
              <w:rPr>
                <w:sz w:val="14"/>
                <w:szCs w:val="14"/>
                <w:color w:val="auto"/>
              </w:rPr>
            </w:pPr>
          </w:p>
        </w:tc>
        <w:tc>
          <w:tcPr>
            <w:tcW w:w="190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2011</w:t>
            </w:r>
          </w:p>
        </w:tc>
        <w:tc>
          <w:tcPr>
            <w:tcW w:w="6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gratuity cost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maintains the Exl Service Inc. 401(k) Plan, the Inductis 401(k) Profit Sharing Plan, OPI 401(k) Retirement Plan and the PDMA 401(k) Profit Sharing Plan,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$175 and $81 during the three month periods ended June 30, 2011 and June 30, 2010, respectively and $321 and $158 during the six month periods ended June 30, 2011 and June 30, 2010, respectively.</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and six month periods ended June 30, 2011 and 2010, the Company contributed the following amounts to various defined contribution plans on behalf of its employees in India, the Philippines, Romania,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2011</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1,228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Three months ended June 30, 2010</w:t>
            </w:r>
          </w:p>
        </w:tc>
        <w:tc>
          <w:tcPr>
            <w:tcW w:w="41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899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2011</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2,250</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Six months ended June 30, 2010</w:t>
            </w:r>
          </w:p>
        </w:tc>
        <w:tc>
          <w:tcPr>
            <w:tcW w:w="41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1,732</w:t>
            </w:r>
          </w:p>
        </w:tc>
      </w:tr>
      <w:tr>
        <w:trPr>
          <w:trHeight w:val="356"/>
        </w:trPr>
        <w:tc>
          <w:tcPr>
            <w:tcW w:w="3120" w:type="dxa"/>
            <w:vAlign w:val="bottom"/>
          </w:tcPr>
          <w:p>
            <w:pPr>
              <w:spacing w:after="0"/>
              <w:rPr>
                <w:sz w:val="24"/>
                <w:szCs w:val="24"/>
                <w:color w:val="auto"/>
              </w:rPr>
            </w:pPr>
          </w:p>
        </w:tc>
        <w:tc>
          <w:tcPr>
            <w:tcW w:w="4140" w:type="dxa"/>
            <w:vAlign w:val="bottom"/>
          </w:tcPr>
          <w:p>
            <w:pPr>
              <w:jc w:val="right"/>
              <w:ind w:right="3212"/>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96"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The Company finances its use of certain facilities, computer hardware, leasehold improvements, furniture, fixtures, office equipments and motor vehicles under various lease arrangements provided by financial institutions. Future minimum lease payments under these capital leases at June 30, 2011 are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2012</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2016</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2014</w:t>
            </w:r>
          </w:p>
        </w:tc>
        <w:tc>
          <w:tcPr>
            <w:tcW w:w="580" w:type="dxa"/>
            <w:vAlign w:val="bottom"/>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2016</w:t>
            </w:r>
          </w:p>
        </w:tc>
        <w:tc>
          <w:tcPr>
            <w:tcW w:w="5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37,606</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a straight line basis over the lease period. Rent expense under both cancellable and non-cancellable operating leases was $3,345 and $2,510 for the three months ended June 30, 2011 and 2010, respectively, and $6,153 and $4,358 for the six months ended June 30, 2011 and 2010, respectively. Deferred rent as of June 30, 2011 and December 31, 2010 was $3,904 and $3,324,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 recorded income tax expense of $3,381 and $1,620 for the three months ended June 30, 2011 and 2010, respectively and $4,501 and $3,497 for the six months ended June 30, 2011 and 2010, respectively. The effective rate of taxes increased from 25.0% during the three months ended June 30, 2010 to 28.5% during the three months ended June 30, 2011, primarily due to the expiry of a tax holiday for certain of the Company’s operating units in India. The effective rate of taxes decreased from 25.0% during the six months ended June 30, 2010 to 21.1% during the six months ended June 30, 2011, primarily due to the release of a valuation allowance on deferred tax assets of $1,961 related to the Company’s assessment that the deferred tax assets generated by certain of the Company’s operating units in India that were under a tax holiday period were more likely than not to be realized upon the expiration of the tax holiday period.</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the operations center began to manufacture or produce eligible goods and services and expired on April 1, 2011. As a result of the expiry of the tax holiday period, the tax holiday period for those of the Company’s operations centers in India that had not expired on April 1, 2010 expired on April 1,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Company’s tax expense will significantly increase in and after 2011. Therefore, profits generated from the services provided from such operations centers have become fully taxable.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currently benefit from a four-year income tax holiday in the Philippines that is extendable for an additional two years. Our current income tax holiday in the Philippines is expected to expire in the middle of 2012, unless extended. While we intend to apply for an extension of this holiday, it is possible that an extension could be denied, or this holiday could be removed entirely due to changes in the government of the Philippines. Should either of these events occur, our Philippine tax liability could increase.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2010, the Company established operations centers in Noida and Jaipur, India in special economic zones that are eligible for tax incentives for services provided from such locations until 2025 under the Special Economic Zones Act, 2005.</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June 30, 2011,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The valuation allowance as of June 30, 2011 and December 31, 2010 was approximately $665 and $2,621, respectively.</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June 30, 2011 and December 31, 2010, deferred income taxes related to the MAT were approximately $3,112 and $4,157, respectively.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“Income Taxes,”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2011 through June 30, 2011:</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ind w:left="440"/>
              <w:spacing w:after="0"/>
              <w:rPr>
                <w:sz w:val="20"/>
                <w:szCs w:val="20"/>
                <w:color w:val="auto"/>
              </w:rPr>
            </w:pPr>
            <w:r>
              <w:rPr>
                <w:rFonts w:ascii="Arial" w:cs="Arial" w:eastAsia="Arial" w:hAnsi="Arial"/>
                <w:sz w:val="18"/>
                <w:szCs w:val="18"/>
                <w:color w:val="auto"/>
              </w:rPr>
              <w:t>Increases related to prior year tax positions</w:t>
            </w:r>
          </w:p>
        </w:tc>
        <w:tc>
          <w:tcPr>
            <w:tcW w:w="36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tcPr>
          <w:p>
            <w:pPr>
              <w:ind w:left="440"/>
              <w:spacing w:after="0"/>
              <w:rPr>
                <w:sz w:val="20"/>
                <w:szCs w:val="20"/>
                <w:color w:val="auto"/>
              </w:rPr>
            </w:pPr>
            <w:r>
              <w:rPr>
                <w:rFonts w:ascii="Arial" w:cs="Arial" w:eastAsia="Arial" w:hAnsi="Arial"/>
                <w:sz w:val="18"/>
                <w:szCs w:val="18"/>
                <w:color w:val="auto"/>
              </w:rPr>
              <w:t>Increases related to current year tax positions</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related to current year tax positions</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00" w:type="dxa"/>
            <w:vAlign w:val="bottom"/>
          </w:tcPr>
          <w:p>
            <w:pPr>
              <w:ind w:left="440"/>
              <w:spacing w:after="0"/>
              <w:rPr>
                <w:sz w:val="20"/>
                <w:szCs w:val="20"/>
                <w:color w:val="auto"/>
              </w:rPr>
            </w:pPr>
            <w:r>
              <w:rPr>
                <w:rFonts w:ascii="Arial" w:cs="Arial" w:eastAsia="Arial" w:hAnsi="Arial"/>
                <w:sz w:val="18"/>
                <w:szCs w:val="18"/>
                <w:color w:val="auto"/>
              </w:rPr>
              <w:t>Effect of exchange rate changes</w:t>
            </w:r>
          </w:p>
        </w:tc>
        <w:tc>
          <w:tcPr>
            <w:tcW w:w="36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w w:val="92"/>
              </w:rPr>
              <w:t>The unrecognized tax benefits as of June 30, 2011 of $4,679, if recognized, would impact the effective tax rate.</w:t>
            </w: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has not recognized any interest and penalties during the three and six months ended June 30, 2011. The unrecognized tax benefits may increase or decrease in the next 12 months depending on the Company’s tax positions.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6"/>
              </w:rPr>
              <w:t>Three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2,879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5,127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7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5.76</w:t>
            </w: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Volatility</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3,075,617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$ 28,810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308,367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(50,540)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10.41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3,152,243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$ 31,811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1,518,411</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12.56</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$ 15,958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2,215,991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22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230,200 options exercised by Prudential Financial, Inc. (“Prudential”), in pursuance of an option agreement between the Company and Prudential dated July 1, 2004, during the three months ended June 30, 2011.</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unrecognized compensation cost for unvested options as of June 30, 2011 is $6,955, which is expected to be expensed over a weighted average period of 2.43 years. There were no options granted during the three months ended June 30, 2011 and 2010. The weighted-average fair value of options granted during the six months ended June 30, 2011 and 2010 was $8.21 and $7.44, respectively. The total fair value of shares vested during the three months period ending June 30, 2011 and the six months period ending June 30, 2011 is $628 and $2,136,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68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Restricted Stock</w:t>
            </w:r>
          </w:p>
        </w:tc>
        <w:tc>
          <w:tcPr>
            <w:tcW w:w="400" w:type="dxa"/>
            <w:vAlign w:val="bottom"/>
          </w:tcPr>
          <w:p>
            <w:pPr>
              <w:spacing w:after="0"/>
              <w:rPr>
                <w:sz w:val="14"/>
                <w:szCs w:val="14"/>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624,815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424,872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(132,537)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19.70</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(13,565)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953,622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2011, unrecognized compensation cost of $17,139 is expected to be expensed over a weighted average period of 2.97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an affiliate of the Oak Hill Capital Partners, L.P., one of the Company’s significant stockholders. The Company recognized revenues of approximately $20 and $23 during the three months ended June 30, 2011 and 2010, respectively, and $35 and $38 during the six months ended June 30, 2011 and 2010, respectively. At June 30, 2011 and December 31, 2010, the Company had an account receivable of $13 and $9, respectively, related to these services.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4"/>
              </w:rPr>
              <w:t>Three months ended June 30,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8"/>
          </w:tcPr>
          <w:p>
            <w:pPr>
              <w:ind w:left="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92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61,060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44,298</w:t>
            </w:r>
          </w:p>
        </w:tc>
        <w:tc>
          <w:tcPr>
            <w:tcW w:w="1220" w:type="dxa"/>
            <w:vAlign w:val="bottom"/>
            <w:gridSpan w:val="5"/>
          </w:tcPr>
          <w:p>
            <w:pPr>
              <w:jc w:val="right"/>
              <w:ind w:right="160"/>
              <w:spacing w:after="0"/>
              <w:rPr>
                <w:sz w:val="20"/>
                <w:szCs w:val="20"/>
                <w:color w:val="auto"/>
              </w:rPr>
            </w:pPr>
            <w:r>
              <w:rPr>
                <w:rFonts w:ascii="Arial" w:cs="Arial" w:eastAsia="Arial" w:hAnsi="Arial"/>
                <w:sz w:val="18"/>
                <w:szCs w:val="18"/>
                <w:color w:val="auto"/>
              </w:rPr>
              <w:t>$ 113,478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82,880</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38,114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2,240</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r>
      <w:tr>
        <w:trPr>
          <w:trHeight w:val="216"/>
        </w:trPr>
        <w:tc>
          <w:tcPr>
            <w:tcW w:w="9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85,028</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$ 157,935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115,128</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$40,605</w:t>
            </w:r>
          </w:p>
        </w:tc>
        <w:tc>
          <w:tcPr>
            <w:tcW w:w="160" w:type="dxa"/>
            <w:vAlign w:val="bottom"/>
          </w:tcPr>
          <w:p>
            <w:pPr>
              <w:spacing w:after="0"/>
              <w:rPr>
                <w:sz w:val="18"/>
                <w:szCs w:val="18"/>
                <w:color w:val="auto"/>
              </w:rPr>
            </w:pP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45,529</w:t>
            </w:r>
          </w:p>
        </w:tc>
        <w:tc>
          <w:tcPr>
            <w:tcW w:w="160" w:type="dxa"/>
            <w:vAlign w:val="bottom"/>
          </w:tcPr>
          <w:p>
            <w:pPr>
              <w:spacing w:after="0"/>
              <w:rPr>
                <w:sz w:val="19"/>
                <w:szCs w:val="19"/>
                <w:color w:val="auto"/>
              </w:rPr>
            </w:pP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June 30, 2011, the Company had committed to spend approximately $2,658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of Company’s delivery centers in India had been established as 100% Export-Oriented units under the “Export Import Policy” (the “Policy”) or Software Technology Parks of India units (“STPI”) under the STPI guidelines issued by the Government of India that provided the Company with certain incentives on imported and indigenous capital goods. Under the Policy, these units were required to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provides the Company with certain incentives on the import of capital goods and requires that Exl Philippines meet certain export obligations. Our current income tax holiday in the Philippines is expected to expire in the middle of 2012, unless extended.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the following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assessment orders from the Indian tax authorities with respect to their audit of certain of the Company’s subsidiaries. The Indian tax authorities are examining income tax returns for other tax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as of June 30, 2011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520" w:type="dxa"/>
            <w:vAlign w:val="bottom"/>
            <w:vMerge w:val="restart"/>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Tax</w:t>
            </w:r>
          </w:p>
        </w:tc>
        <w:tc>
          <w:tcPr>
            <w:tcW w:w="67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Year</w:t>
            </w:r>
          </w:p>
        </w:tc>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95"/>
        </w:trPr>
        <w:tc>
          <w:tcPr>
            <w:tcW w:w="9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Exl India</w:t>
            </w:r>
          </w:p>
        </w:tc>
        <w:tc>
          <w:tcPr>
            <w:tcW w:w="6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2003-04</w:t>
            </w:r>
          </w:p>
        </w:tc>
        <w:tc>
          <w:tcPr>
            <w:tcW w:w="300" w:type="dxa"/>
            <w:vAlign w:val="bottom"/>
            <w:tcBorders>
              <w:top w:val="single" w:sz="8" w:color="CCEEFF"/>
            </w:tcBorders>
            <w:shd w:val="clear" w:color="auto" w:fill="CCEEFF"/>
          </w:tcPr>
          <w:p>
            <w:pPr>
              <w:spacing w:after="0"/>
              <w:rPr>
                <w:sz w:val="16"/>
                <w:szCs w:val="16"/>
                <w:color w:val="auto"/>
              </w:rPr>
            </w:pPr>
          </w:p>
        </w:tc>
        <w:tc>
          <w:tcPr>
            <w:tcW w:w="6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5"/>
              </w:rPr>
              <w:t>India and EXL Inc. in the 2003-04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4"/>
              </w:rPr>
              <w:t>India and EXL Inc. for the 2004-05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4"/>
              </w:rPr>
              <w:t>India and EXL Inc. for the 2005-06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4"/>
              </w:rPr>
              <w:t>India and EXL Inc. for the 2006-07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4,047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2003-04</w:t>
            </w: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2004-05</w:t>
            </w: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0"/>
              </w:rPr>
              <w:t>The assessment order alleges the transfer price we applied to transactions between OPI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89"/>
              </w:rPr>
              <w:t>and OPI Inc., for the 2004-05 tax year was not appropriate and proposes certain adjustments to</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the methodology for computing the amount of the tax exemption.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2005-06</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The assessment order proposes certain adjustments to the methodology for computing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amount of the tax exemption.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 India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2006-07</w:t>
            </w: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3"/>
              </w:rPr>
              <w:t>The assessment order proposes certain adjustments to the methodology for computing the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amount of the tax exemption.</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8"/>
                <w:szCs w:val="18"/>
                <w:color w:val="auto"/>
              </w:rPr>
              <w:t>OPI India</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2007-08</w:t>
            </w:r>
          </w:p>
        </w:tc>
        <w:tc>
          <w:tcPr>
            <w:tcW w:w="3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3"/>
              </w:rPr>
              <w:t>The assessment order proposes certain adjustments to the methodology for computing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amount of the tax exemption.</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18,181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ExlService.com, Inc. (“Exl Inc.”) and by Outsourcepartners International (India) Private Limited (“OPI India”) with the exception of those assessment orders disclosed above. There is a likelihood that the Company might receive similar orders for subsequent years until the above disputes are resolved.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$12,237 and $11,898 as of June 30, 2011 and December 31, 2010, respectively, are included in “Other assets” and amounts deposited for bank guarantees aggregating to $2,963 each as of June 30, 2011 and December 31, 2010, respectively, are included in “Restricted cash” in the Company’s unaudited consolidated balance sheet as of June 30, 2011 and the audited consolidated balance sheet as of December 31, 2010.</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2010.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w:t>
      </w:r>
    </w:p>
    <w:p>
      <w:pPr>
        <w:spacing w:after="0" w:line="12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acquired OPI to strengthen our position as a provider of finance and accounting outsourcing services. At the time of the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merger also furthers our strategic objective of leveraging technology and proprietary intellectual property in our services to our client offerings.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market our services directly through our sales and marketing and client management teams, which operate out of the United States and the United Kingdom. We operate twelve operations centers in India and one operations center in each of Romania, the Philippines, the Czech Republic and the United States. In addition to these operations centers, we also acquired three operations centers in India, two operations centers in Bulgaria, one operations center in Malaysia and two operations center in the U.S as part of the OPI Acquisition. We are also in the process of expanding our operations center in the Philippines and some of our operations centers in India, including a significant expansion of our center located in a special economic zone in Noida, India, which is eligible for tax incentives.</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six months ended June 30, 2011, we had total revenues of $85.0 million and $157.9 million, respectively, compared to total revenues of $60.6 million and $115.1 million, respectively, in the three and six months ended June 30, 2010, an increase of $24.4 million and $42.8 million, respectively, or 40.2% and 37.2%, respectively.</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Revenues from outsourcing services were higher by $22.2 million and $37.4 million in the three and six months ended June 30, 2011, respectively, as compared to the three and six months ended June 30, 2010, primarily due to revenues from our acquisitions of Professional Data Management Again, Inc. (“PDMA”) and the American Express Global Travel Service Center (“GTSC”) and the OPI Acquisition of $8.3 million and $15.5 million, revenues from a one-time payment of $2.2 million from a client with no associated costs during the three months ended June 30, 2011, net volume increases from existing and new clients of approximately $10.6 million and $18.3 million and an increase of approximately $1.1 million and $1.4 million due to the appreciation of the Indian rupee, U.K. pound sterling and Czech koruna against the U.S. dollar, in each case in the three and six months ended June 30, 2011 compared to the three and six months ended June 30, 2010, respectively.</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Revenues from transformation services were higher by $2.2 million and $5.4 million during the three and six months ended June 30, 2011, respectively, compared to the three and six months ended June 30, 2010, primarily due to a combination of increased revenues in recurring or annuity analytics services and an increase in project-based engagements both in our decision analytics and operations and process excellence practices. We believe this reflects increased spending by our clients for decision analytics services, particularly in the areas of customer management and process improvement, as compared to the previous</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year. Revenues from new clients for transformation services were $0.2 million and $0.3 million, respectively, during the three and six months ended June 30, 2011.</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transaction processing, customer service, debt management, finance and accounting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 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71.8% and 23.1%, respectively, of our total revenues for the three months ended June 30, 2011 and approximately 73.1% and 23.3%, respectively, of our total revenues for the three months ended June 30, 2010. For the six months ended June 30, 2011, these two regions generated approximately 71.9% and 24.1%, respectively, of our total revenues and approximately 72.0% and 24.7%, respectively, of our total revenues for the six months ended June 30, 2010.</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June 30, 2011 and 2010, our total revenues from our three largest clients were $29.6 million and $26.4 million, respectively, accounting for 34.8% and 43.5% of our total revenues, respectively, during these periods. In the six months ended June 30, 2011 and 2010, our total revenues from our three largest clients were $57.5 million and $48.2 million, respectively, accounting for 36.4% and 41.9% of our total revenues, respectively, during these periods.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services to Centrica plc (“Centrica”), which represented $10.4 million, or 12.3%, and $19.7 million or 12.5%, of our total revenues for the three and six months ended June 30, 2011 and $9.5 million, respectively, or 15.6%, and $19.0 million or 16.5%, of our total revenues for the three and six months ended June 30, 2010, respectively, under an agreement that is scheduled to expire in April 2012. Centrica may terminate the agreement without cause upon three months prior notice and payment of a breakup fee.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services to The Travelers Companies (“Travelers”), which represented $10.3 million, or 12.1%, and $20.4 million, or 12.9% of our total revenues for the three and six months ended June 30, 2011, respectively, and $8.6 million, or 14.2%, and $17.1 million, or 14.8% of our total revenues for the three and six months ended June 30, 2010, respectively, under a services agreement. Travelers may terminate the services agreement, or any work assignment or work order thereunder, each of which expires in December 2013, without cause upon 60 days prior notice.</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provide services to subsidiaries of American Express Company (“American Express”) under (i) a master services agreement for our outsourcing services, which agreement cannot be terminated by American Express without cause and which provides us with a minimum volume commitment over a period of eight years and (ii) a master agreement for our transformation services, which agreement may be terminated by American Express without cause upon five days prior written notice. Our aggregate revenues from outsourcing services and transformation services provided to American Express represented $8.9 million, or 10.5%, and $17.4 million or 11.0% of our total revenues for the three and six months ended June 30, 2011, respectively, and $8.3 million, or 13.7%, and $12.2 million or 10.6% of our total revenues for the three and six months ended June 30, 2010, respectively.</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derived revenues from five and six new clients for our services in the three months ended June 30, 2011 and 2010, respectively, eight and ten new clients for our services in the six months ended June 30, 2011 and 2010, respectively.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2011 and 2010, 4.1% and 4.4%, respectively, of our revenues represent reimbursement of such expenses. For the six months ended June 30, 2011 and 2010, 4.2% and 4.5%, respectively, of our revenues represent reimbursement of such expenses.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Philippines peso/U.S. dollar and U.K. pound sterling/U.S. dollar foreign currency exposure.</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recent periods, our management has observed a shift in industry pricing models toward transaction-based pricing and other pricing models. We believe this trend will continue and we have begun to use transaction-based pricing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 with such clients.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2010.</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expenses(4)</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3"/>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include reimbursable expenses of $3.5 million and $2.7 million for the three months ended June 30, 2011 and 2010, respectively, and $6.7 million and $5.2 million for the six months ended June 30, 2011 and 2010, respectively.</w:t>
      </w:r>
    </w:p>
    <w:p>
      <w:pPr>
        <w:ind w:left="460" w:right="28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of revenues includes $0.6 million each for the three months ended June 30, 2011 and 2010 and $1.0 million each for the six months ended June 30, 2011 and 2010, of non-cash amortization of stock compensation expense relating to the issuance of equity awards to employees directly involved in providing services to our clients as described in Note 15 to our unaudited consolidated financial statements contained herein.</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$2.3 million and $1.8 million for the three months ended June 30, 2011 and 2010, respectively, and $4.2 million and $3.2 million for the six months ended June 30, 2011 and 2010, respectively, of non-cash amortization of stock compensation expense relating to the issuance of equity awards to our non-operations staff as described in Note 15 to our unaudited consolidated financial statements contained herein.</w:t>
      </w:r>
    </w:p>
    <w:p>
      <w:pPr>
        <w:spacing w:after="0" w:line="1"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$0.9 million and $0.5 million for the three months ended June 30, 2011 and 2010, respectively, and $1.5 million and $0.7 million for the six months ended June 30, 2011 and 2010, respectively, of amortization of intangibles as described in Note 5 to our unaudited consolidated financial statements contained 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June 30, 2011 Compared to Three Months Ended June 30, 2010</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40.2% from $60.6 million for the three months ended June 30, 2010 to $85.0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Revenues from outsourcing services increased from $46.6 million during the three months ended June 30, 2010 to $68.7 million during the three months ended June 30, 2011. The increase in revenues from outsourcing services of $22.2 million was primarily driven by revenues of $8.3 million from acquisitions of PDMA and OPI, revenues from a one-time payment of $2.2 million from a client with no associated costs, net volume increases from existing and new clients aggregating to $10.6 million and revenues of $1.1 million due to the appreciation of the Indian rupee, U.K. pound sterling and Czech koruna against the U.S. dollar during the three months ended June 30, 2011 compared to the three months ended June 30, 2010.</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Revenues from transformation services increased from $14.1 million for the three months ended June 30, 2010 to $16.3 million for the three months ended June 30, 2011. The increase was primarily due to a combination of increased revenues in recurring or annuity analytics services and an increase in project-based engagements both in our decision analytics and operations and process excellence practices. Revenues from new clients for transformation services were $0.2 million and $0.8 million during the three months ended June 30, 2011 and 2010, respectively.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38.9% from $37.4 million for the three months ended June 30, 2010 to $52.0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2011. The increase in cost of revenues was primarily due to an increase in employee-related costs of $9.8 million as a result of an increase in our headcount of personnel directly involved in providing services to our clients, including $4.0 million of employee-related costs related to our acquisitions, an increase in reimbursable expenses of $0.8 million (resulting in an increase in revenues), an increase in facilities, technology and other operating expenses by $2.7 million, primarily due to our new operating centers including our acquisitions and to support our revenue growth, and an aggregate increase of $1.3 million due to the appreciation of the Indian rupee, Philippine peso and Czech koruna against the U.S. dollar during the three months ended June 30, 2011 compared to the three months ended June 30, 2010. As a percentage of revenues, cost of revenues decreased from 61.8% for the three months ended June 30, 2010 to 61.2% for the three months ended June 30, 2011.</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42.4% from $23.2 million for the three months ended June 30, 2010 to $33.0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2011. The increase in gross profit was primarily due to an increase in revenues of $24.4 million, offset by an increase in cost of revenues of $14.6 million. Gross profit as a percentage of revenues increased from 38.2% for the three months ended June 30, 2010 to 38.8% for the three months ended June 30, 2011, primarily due to an increase in revenues.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increased 31.6% from $14.1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2010 to $18.5 million for the three months ended June 30, 2011. The increase in SG&amp;A expenses was primarily due to an increase in employee-related costs of $3.5 million, including our continued investment in front-end sales and client management personnel, an increase in legal and professional fees of $0.5 million, primarily related to our acquisitions, and an increase in other SG&amp;A costs of $0.4 million during the three months ended June 30, 2011 compared to the three months ended June 30, 2010. As a percentage of revenues, SG&amp;A expenses decreased from 23.2% for the three months ended June 30, 2010 to 21.8% for the three months ended June 30, 2011.</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32.5% from $3.9 million for the three months ended June 30, 2010 to $5.1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2011. The increase was primarily due to an increase in amortization of acquisition-related intangibles of $0.4 million, an increase in depreciation of $0.7 million, primarily related to our new operations centers, and our acquisitions, and an increase of $0.1 million due to the appreciation of the Indian rupee against the U.S. dollar. As we add more operations centers, we expect that our depreciation expense will increase to reflect the additional investment in equipment and operations centers necessary to meet our service requirements. As a percentage of revenues, depreciation and amortization decreased from 6.4% for the three months ended June 30, 2010 to 6.0% for the three months ended June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78.5% from $5.3 million for the three months ended June 30, 2010 to $9.4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2011. The increase in income from operations was primarily due to an increase in gross profit by $9.8 million, offset by an increase in operating expenses of $5.7 million. As a percentage of revenues, income from operations increased from 8.7% for the three months ended June 30, 2010 to 11.1% for the three months ended June 30, 2011.</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is comprised of foreign exchange gains and losses, interest income, interest expense and other items. Other income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$1.2 million for the three months ended June 30, 2010 to $2.4 million for the three months ended June 30, 2011, primarily as a result of net foreign exchange gain of $1.8 million during the three months ended June 30, 2011 compared to $0.9 million during the three months ended June 30, 2010, primarily attributable to the movement of the U.S. dollar against the Indian rupee and the U.K. pound sterling. Net interest income and other income also increased by $0.3 million during the three months ended June 30, 2011 compared to the three months ended June 30, 2010. The average exchange rate of the Indian rupee against the U.S. dollar was 44.66 during the three months ended June 30, 2011 compared to 45.73 during the three months ended June 30, 2010.</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$1.6 million for the three months ended June 30, 2010 to $3.4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2011. The effective rate of taxes increased from 25.0% during the three months ended June 30, 2010 to 28.5% during the three months ended June 30, 2011. Refer to Note 14 to the unaudited consolidated financial statements for further details.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$4.9 million for the three months ended June 30, 2010 to $8.5 million for the three months ended June 30,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$4.1 million, and an increase in other income of $1.2 million, partially offset by an increase in provision for income taxes of $1.8 million. As a percentage of revenues, net income increased from 8% for the three months ended June 30, 2010 to 10.0% for the three months ended June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2011 Compared to Six Months Ended June 30, 2010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37.2% from $115.1 million for the six months ended June 30, 2010 to $157.9 million for the six months ended June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2011. Revenues from outsourcing services increased from $88.1 million for the six months ended June 30, 2010 to $125.6 million for the six months ended</w:t>
      </w:r>
    </w:p>
    <w:p>
      <w:pPr>
        <w:spacing w:after="0" w:line="3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June 30, 2011. The increase in revenues from outsourcing services of $37.5 million was primarily driven by revenues from our acquisitions of GTSC, PDMA and OPI of $15.5 million, revenues from a one-time payment of $2.2 million from a client with no associated costs, net volume increases from existing and new clients aggregating to $18.4 million and revenues of $1.4 million due to the appreciation of the Indian rupee, U.K. pound sterling and Czech koruna against the U.S. dollar during the six months ended June 30, 2011 compared to the six months ended June 30, 2010.</w:t>
      </w:r>
    </w:p>
    <w:p>
      <w:pPr>
        <w:spacing w:after="0" w:line="11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Revenues from transformation services increased from $27.0 million for the six months ended June 30, 2010 to $32.4 million for the six months ended June 30, 2011. The increase is primarily due to a combination of increased revenues in recurring or annuity decision analytics services and an increase in project-based engagements both in our decision analytics and operations and process excellence practices. Revenues from new clients for transformation services were $0.3 million and $1.5 million during the six months ended June 30, 2011 and 2010, respectively.</w:t>
      </w:r>
    </w:p>
    <w:p>
      <w:pPr>
        <w:spacing w:after="0" w:line="11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b w:val="1"/>
          <w:bCs w:val="1"/>
          <w:i w:val="1"/>
          <w:iCs w:val="1"/>
          <w:color w:val="auto"/>
        </w:rPr>
        <w:t xml:space="preserve">Cost of Revenues. </w:t>
      </w:r>
      <w:r>
        <w:rPr>
          <w:rFonts w:ascii="Arial" w:cs="Arial" w:eastAsia="Arial" w:hAnsi="Arial"/>
          <w:sz w:val="15"/>
          <w:szCs w:val="15"/>
          <w:color w:val="auto"/>
        </w:rPr>
        <w:t>Cost of revenues increased 39.6% from $68.9 million for the six months ended June 30, 2010 to $96.2 million for the six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2011. The increase in cost of revenues is primarily due to increases in employee-related costs of $18.4 million as a result of an increase in our headcount of personnel directly involved in providing services to our clients, including $8.2 million of employee-related costs related to our acquisitions, an increase in reimbursable expenses of $1.5 million (resulting in an increase in revenues), an increase in facilities, technology and other operating expenses by $5.6 million, primarily due to our new operations centers including our acquisitions and to support our revenue growth and an increase of $1.8 million due to the appreciation of the Indian rupee and the Philippine peso against the U.S. dollar during the six months ended June 30, 2011 compared to the six months ended June 30, 2010. As a percentage of revenues, cost of revenues increased from 59.9% for the six months ended June 30, 2010 to 60.9% for the six months ended June 30, 2011.</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33.6% from $46.2 million for the six months ended June 30, 2010 to $61.7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increase in gross profit was primarily due to an increase in revenues of $42.8 million, offset by an increase in cost of revenues of $27.3 million. Gross profit as a percentage of revenues decreased from 40.1% for the six months ended June 30, 2010 to 39.1% for the six months ended June 30, 2011, primarily due to an increase in cost of revenues.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increased 26.6% from $27.5 million for the six months ended June 30, 2010 to $34.8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six months ended June 30, 2011. The increase in SG&amp;A expenses is primarily due to an increase in salaries and personnel expenses of $5.6 million, an increase in legal and professional fees of $1.0 million, primarily related to our OPI Acquisition, and an increase in other SG&amp;A costs of $0.7 million during the three months ended June 30, 2011 compared to the three months ended June 30, 2010. As a percentage of revenues, SG&amp;A decreased from 23.9% for the six months ended June 30, 2010 to 22.1% for the six months ended June 30, 2011.</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43.7% from $6.9 million for the six months ended June 30, 2010 to $10.0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2011. The increase is primarily due to an increase in amortization of acquisition-related intangibles of $0.8 million, an increase in depreciation of $2.0 million, primarily related to our new operations centers as a result of acquisitions, and an increase of $0.2 million due to the appreciation of the Indian rupee against the U.S. dollar during the six months ended June 30, 2011 compared to the six months ended June 30, 2010. As we add more operations centers, we expect that depreciation expense will increase to reflect the additional investment in equipment and facility build outs necessary to meet our service requirements. As a percentage of revenues, depreciation and amortization increased from 6.0% for the six months ended June 30, 2010 to 6.3% for the six months ended June 30, 2011.</w:t>
      </w:r>
    </w:p>
    <w:p>
      <w:pPr>
        <w:spacing w:after="0" w:line="14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44.0% from $11.7 million for the six months ended June 30, 2010 to $16.9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As a percentage of revenues, income from operations increased from 10.2% for the six months ended June 30, 2010 to 10.7% for the six months ended June 30, 2011. The increase in income from operations was primarily due to an increase in gross profit by $15.5 million, offset by an increase in operating expenses of $10.4 million.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Other income is comprised of foreign exchange gains and losses, interest income, interest expense and other items. Other income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an income of $2.2 million for the six months ended June 30, 2010 to of $4.4 million for the six months ended June 30, 2011, primarily as a result of net foreign exchange gain of $3.5 million during the six months ended June 30, 2011 compared to the net foreign exchange gain of $1.5 million during the six months ended June 30, 2010 attributable to movement of the U.S. dollar against the Indian rupee and the U.K. pound sterling relative to our foreign exchange hedged positions. Net interest income and other income also increased by $0.2 million during the six months ended June 30, 2011 compared to the six months ended June 30, 2010. The average exchange rate of the Indian rupee against the U.S. dollar was 44.96 during the six months ended June 30, 2011 compared to 45.72 during the six months ended June 30, 2010.</w:t>
      </w:r>
    </w:p>
    <w:p>
      <w:pPr>
        <w:spacing w:after="0" w:line="118"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Provision for Income Taxes. </w:t>
      </w:r>
      <w:r>
        <w:rPr>
          <w:rFonts w:ascii="Arial" w:cs="Arial" w:eastAsia="Arial" w:hAnsi="Arial"/>
          <w:sz w:val="15"/>
          <w:szCs w:val="15"/>
          <w:color w:val="auto"/>
        </w:rPr>
        <w:t>Provision for income taxes increased from $3.5 million for the six months ended June 30, 2010 to $4.5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2011. The effective rate of taxes decreased from 25.0% for the six months ended June 30, 2010 to 21.1% for the six months ended</w:t>
      </w:r>
    </w:p>
    <w:p>
      <w:pPr>
        <w:ind w:right="20"/>
        <w:spacing w:after="0" w:line="261" w:lineRule="auto"/>
        <w:rPr>
          <w:sz w:val="20"/>
          <w:szCs w:val="20"/>
          <w:color w:val="auto"/>
        </w:rPr>
      </w:pPr>
      <w:r>
        <w:rPr>
          <w:rFonts w:ascii="Arial" w:cs="Arial" w:eastAsia="Arial" w:hAnsi="Arial"/>
          <w:sz w:val="18"/>
          <w:szCs w:val="18"/>
          <w:color w:val="auto"/>
        </w:rPr>
        <w:t>June 30, 2011, primarily due to the release of a valuation allowance on deferred tax assets of $2.0 million during the three months ended March 31, 2011. Refer to Note 14 to the unaudited consolidated financial statements for further details.</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$10.5 million for the six months ended June 30, 2010 to $16.8 million for the six months ended June 30,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$5.2 million and other income of $2.2 million, partially offset by an increase in the provision for income taxes of $1.0 million. As a percentage of revenues, net income increased from 9.1% for the six months ended June 30, 2010 to 10.7% for the six months ended June 30,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2011, we had $83.9 million in cash and cash equivalents and short-term investments.</w:t>
      </w:r>
    </w:p>
    <w:p>
      <w:pPr>
        <w:spacing w:after="0" w:line="171"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Cash flows provided by operating activities increased from $7.0 million in the six months ended June 30, 2010 to $26.8 million in the six months ended June 30, 2011. Cash flows from net income adjusted for non-cash items increased by $12.2 million during the six months ended June 30, 2011 compared to the six months ended June 30, 2010, primarily due to an increase in net income of $6.3 million, depreciation, amortization and stock compensation expense of $3.9 million and a decrease in deferred income tax benefit of $1.2 million.</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Cash flows from changes in working capital increased by $7.7 million during the six months ended June 30, 2011 compared to the six months ended June 30, 2010, primarily due to the deposit of collateral against a bank guarantee with respect to our income tax proceedings during the quarter ended June 30, 2010, the increase in accrued expenses and other liabilities of $2.4 million and net changes in advance income tax of $2.9 million.</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flows used for investing activities increased from $50.6 million in the six months ended June 30, 2010 to $90.2 million in the six months ended June 30, 2011. The increase is primarily due to the payment of the purchase consideration of approximately $80.1 million (net of cash acquired of $19.7 million) for the OPI Acquisition during the six months ended June 30, 2011 compared to $42.1 million paid for the acquisitions of GTSC and PDMA during the six months ended June 30, 2010.</w:t>
      </w:r>
    </w:p>
    <w:p>
      <w:pPr>
        <w:spacing w:after="0" w:line="14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Cash flows provided by financing activities increased from $0.6 million in the six months ended June 30, 2010 to $31.2 million in the six months ended June 30, 2011. The increase is primarily due to short-term borrowings of $30.0 million under the Credit Agreement and higher proceeds from exercise of stock options of $2.8 million, partially offset by acquisition of treasury stock of $1.6 million during the six months ended June 30, 2011 compared to the six months ended June 30, 2010.</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$8.6 million of capital expenditures in the three months ended June 30, 2011. We expect to incur capital expenditures of approximately $15.0 million to $20.0 million in the remainder of 2011 primarily to meet the growth requirements of our clients, including additions to our existing facilities and expanding our operations centers in Philippines and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18 to our unaudited consolidated financial statements for further details.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May 26, 2011, a credit agreement (the “Credit Agreement”) was entered into among ExlService Holdings, as borrower, the other loan parties thereto, the lenders identified therein, and JPMorgan Chase Bank, N.A., as Administrative Agent. The Credit Agreement provides for a $50.0 million revolving credit facility for a period of three years. As of June 30, 2011, we had an outstanding amount of $30.0 million under this revolving credit facility. The loan facility also has a letter of credit sub facility. Borrowings under the Credit Agreement may be used for our working capital and general corporate purposes.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Depending on the type of borrowing, loans under the Credit Agreement bear interest at a rate equal to the specified prime rate (alternate base rate) or adjusted LIBOR, plus, in each case, an applicable margin. The applicable margin is tied to our leverage ratio and ranges from 0.00% to 0.50% per annum with respect to loans pegged to the specified prime rate, and 2.00% to 2.50% per annum on loans pegged to adjusted LIBOR. The revolving credit commitments under the Credit Agreement are subject to a commitment fee. The commitment fee is also tied to our leverage ratio, and ranges from 0.350% to 0.450% per annum on the average daily amount by which the aggregate revolving commitments exceed the sum of outstanding revolving loans and letter of credit obligations.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Credit Agreement is guaranteed by our U.S. subsidiaries. The obligations under the Credit Agreement are secured by all or substantially all of the assets of ExlService Holdings and its material domestic subsidiaries.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anticipate that we will continue to rely upon cash from operating activities and the Credit Agreement to finance our acquisitions, capital expenditures and working capital needs. If we have significant growth through acquisitions, we may need to obtain additional financing.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2011 and December 31, 2010,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5"/>
              </w:rPr>
              <w:t>Payment Due by Period</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79"/>
              </w:rPr>
              <w:t>Less than</w:t>
            </w:r>
          </w:p>
        </w:tc>
        <w:tc>
          <w:tcPr>
            <w:tcW w:w="70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1"/>
                <w:szCs w:val="11"/>
                <w:color w:val="auto"/>
              </w:rPr>
            </w:pPr>
          </w:p>
        </w:tc>
        <w:tc>
          <w:tcPr>
            <w:tcW w:w="66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1 year</w:t>
            </w:r>
          </w:p>
        </w:tc>
        <w:tc>
          <w:tcPr>
            <w:tcW w:w="30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2"/>
              </w:rPr>
              <w:t>5 years</w:t>
            </w:r>
          </w:p>
        </w:tc>
        <w:tc>
          <w:tcPr>
            <w:tcW w:w="14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 obligations(a)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 —</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obligations(b)</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cash obligations(c)</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21.6</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payments under the Credit Agreement.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$4.7 million related to uncertain tax positions, since the extent of the amount and timing of payment is currently not reliably estimable or determinable.</w:t>
      </w:r>
    </w:p>
    <w:p>
      <w:pPr>
        <w:spacing w:after="0" w:line="5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units of our Indian subsidiaries had been established as 100% Export-Oriented units under the Export Import Policy or Software Technology Parks of India units (“STPI”) under the STPI guidelines issued by the Government of India that provided us with certain incentives on imported and indigenous capital goods on fulfillment of certain conditions. In the event that these units are unable to meet those conditions over the specified period, we may be required to refund those incentives along with penalties and fines. However, we believe that these units have in the past and will continue to satisfy those conditions.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The registration provides us with certain incentives on the import of capital goods and requires that Exl Philippines meet certain export obligations. Our current income tax holiday in the Philippines is expected to expire in the middle of 2012, unless extended.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September 2009, the Financial Accounting Standards Board (“FASB”) issued Update No. 2009-13, “Multiple-Deliverable Revenue Arrangements—a consensus of the FASB Emerging Issues Task Force.” It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as the number of multiple deliverable revenue arrangements is insignificant.</w:t>
      </w:r>
    </w:p>
    <w:p>
      <w:pPr>
        <w:spacing w:after="0" w:line="120"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In December 2010, the FASB issued update No. 2010-29 (“ASU 2010-29”), “Disclosure of Supplementary Pro Forma Information for Business Combinations.” ASU 2010-29 requires public companies to disclose revenues and earnings of the combined entity as though the current period business combination had occurred as of the beginning of the comparable prior annual reporting period while presenting comparative financial statements. The amendments expand the supplemental pro forma disclosures to include a description of the nature and amount of material, nonrecurring pro forma adjustments directly attributable to the business combination included in the reported pro forma revenue and earnings. The Company adopted the guidance effective January 1, 2011 for material (either on an individual or aggregate basis) business combinations entered into in fiscal years beginning on or after December 15, 2010. The adoption of the guidance had no effect on the Company’s financial position or results of operations. Refer to Note 5 to our unaudited consolidated financial statements for further details.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2011, the FASB issued update No. 2011-05 (“ASU 2011-05”), “Presentation of Comprehensive Income.” ASU 2011-05 amends existing guidance by allowing only two options for presenting the components of net income and other comprehensive income: (1) in a single continuous financial statement and statement of comprehensive income, or (2) in two separate but consecutive financial statements, consisting of an income statement followed by a separate statement of other comprehensive income. Also, items that are reclassified from other comprehensive income to net income must be presented on the face of the financial statements. ASU 2011-05 requires retrospective application, and is effective for fiscal years, and interim periods within those years, beginning on or after December 15, 2011, with early adoption permitted. The Company believes that the adoption of this update will change the order in which certain financial statements are presented and provide additional detail on those financial statements when applicable, but will not have any other impact on our unaudited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OPI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2011,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2011. Based upon that evaluation, the CEO and CFO have concluded that, as of June 30, 2011,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six months ended June 30, 2011,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May 31, 2011, the Company completed the OPI Acquisition. The scope of our assessment of the effectiveness of internal control over financial reporting does not include this newly acquired business as permitted by SEC rules for recently acquired businesses. The Company is in the process of reviewing the internal control structure of OPI, and, if necessary, will make appropriate changes as the Company incorporates its controls and procedures into the acquired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18 to our unaudited consolidated financial statements contained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2010 the risk factors which materially affect our business, financial condition or results of operations. You should carefully consider the “Risk Factors” set forth in our Annual Report on Form 10-K for the year ended December 31, 2010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15, 2011, Prudential Financial, Inc. (“Prudential”) exercised its option to purchase 230,200 shares of common stock of the Company pursuant to an Option Agreement (the “Option Agreement”), dated as of July 1, 2004, by and between the Company and Prudential. The aggregate exercise price of $1,438,750 was paid by authorizing the Company to reduce the number of shares otherwise deliverable to Prudential, pursuant to the terms of the Option Agreement. As a result, 168,901 shares of common stock were issued to Prudential on a net basis. The issuance was exempt from registration under Section 4(2) of the Securities Act of 1933, as amended, because it involved an option exercise by a single person that was sophisticated, knowledgeable and capable of bearing the risks of an investment in common stock.</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June 15, 2011, the Company acquired 61,299 shares of common stock for a total consideration of $1,438,750 pursuant to the Option Agreement between the Company and Prudential. The purchase price of $23.47 per share was the average closing price for the 30-day period on the Nasdaq Global Select Market preceding the date of exercise of options by Prudential. The shares acquired are held as treasury stock.</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three months ended June 30, 2011, the Company also acquired 7,882 shares of common stock from employees in connection with withholding tax payments related to the vesting of restricted stock for a total consideration of $170,482. The purchase price of $19.16 per share was the average of the high and low price of the Company’s shares of common stock on the Nasdaq Global Select Market on the trading day prior to the vesting date of the shares of restricted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2.1</w:t>
            </w:r>
          </w:p>
        </w:tc>
        <w:tc>
          <w:tcPr>
            <w:tcW w:w="10540" w:type="dxa"/>
            <w:vAlign w:val="bottom"/>
          </w:tcPr>
          <w:p>
            <w:pPr>
              <w:ind w:left="300"/>
              <w:spacing w:after="0"/>
              <w:rPr>
                <w:sz w:val="20"/>
                <w:szCs w:val="20"/>
                <w:color w:val="auto"/>
              </w:rPr>
            </w:pPr>
            <w:r>
              <w:rPr>
                <w:rFonts w:ascii="Arial" w:cs="Arial" w:eastAsia="Arial" w:hAnsi="Arial"/>
                <w:sz w:val="18"/>
                <w:szCs w:val="18"/>
                <w:color w:val="auto"/>
                <w:w w:val="95"/>
              </w:rPr>
              <w:t>Merger Agreement, dated as of April 30, 2011, by and among ExlService Holdings, Inc., F&amp;A BPO Merger Sub, Inc., Business Process</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Outsourcing, Inc. and Shareholder Representative Services LLC (incorporated by reference from Exhibit 2.1 to the Company’s Current Report 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Form 8-K, dated May 31, 2011 (File No. 001-33089)).*</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Credit Agreement, dated as of May 26, 2011, by and among ExlService Holdings, Inc., as borrower, the other borrowers named therein, each</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lender from time to time party thereto and JPMorgan Chase Bank, N.A., as Administrative Agent.</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Certification of the President and Chief Executive Officer of ExlService Holdings, pursuant to Rule 13a-14 of the Exchange Act, as adopted</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President and Chief Executive Officer of ExlService Holdings, pursuant to Rule 13a-14(b) of the Exchange Act and 18 U.S.C.</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of ExlService Holdings, pursuant to Rule 13a-14(b) of the Exchange Act and 18 U.S.C. Section 1350,</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 adopted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right="3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Confidential treatment has been granted by the Securities and Exchange Commission (the “SEC”) with respect to a portion of the agreement, and such confidential portion has been deleted and filed separately with the SEC pursuant to Rule 24b-2 of the Securities Exchange Act of 1934.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00"/>
          </w:cols>
          <w:pgMar w:left="240" w:top="459" w:right="8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320040</wp:posOffset>
            </wp:positionV>
            <wp:extent cx="145796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7960" cy="274320"/>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320040</wp:posOffset>
            </wp:positionV>
            <wp:extent cx="120078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7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May 26, 2011</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The other Loan Parties Party Hereto,</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349885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93"/>
              </w:rPr>
              <w:t>TABLE OF CONTENTS</w:t>
            </w:r>
          </w:p>
        </w:tc>
        <w:tc>
          <w:tcPr>
            <w:tcW w:w="340" w:type="dxa"/>
            <w:vAlign w:val="bottom"/>
          </w:tcPr>
          <w:p>
            <w:pPr>
              <w:spacing w:after="0"/>
              <w:rPr>
                <w:sz w:val="19"/>
                <w:szCs w:val="19"/>
                <w:color w:val="auto"/>
              </w:rPr>
            </w:pPr>
          </w:p>
        </w:tc>
      </w:tr>
      <w:tr>
        <w:trPr>
          <w:trHeight w:val="366"/>
        </w:trPr>
        <w:tc>
          <w:tcPr>
            <w:tcW w:w="15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303"/>
        </w:trPr>
        <w:tc>
          <w:tcPr>
            <w:tcW w:w="1500" w:type="dxa"/>
            <w:vAlign w:val="bottom"/>
          </w:tcPr>
          <w:p>
            <w:pPr>
              <w:spacing w:after="0"/>
              <w:rPr>
                <w:sz w:val="24"/>
                <w:szCs w:val="24"/>
                <w:color w:val="auto"/>
              </w:rPr>
            </w:pPr>
          </w:p>
        </w:tc>
        <w:tc>
          <w:tcPr>
            <w:tcW w:w="9580" w:type="dxa"/>
            <w:vAlign w:val="bottom"/>
          </w:tcPr>
          <w:p>
            <w:pPr>
              <w:jc w:val="center"/>
              <w:ind w:right="1052"/>
              <w:spacing w:after="0"/>
              <w:rPr>
                <w:sz w:val="20"/>
                <w:szCs w:val="20"/>
                <w:color w:val="auto"/>
              </w:rPr>
            </w:pPr>
            <w:r>
              <w:rPr>
                <w:rFonts w:ascii="Arial" w:cs="Arial" w:eastAsia="Arial" w:hAnsi="Arial"/>
                <w:sz w:val="18"/>
                <w:szCs w:val="18"/>
                <w:color w:val="auto"/>
                <w:w w:val="97"/>
              </w:rPr>
              <w:t>ARTICLE I</w:t>
            </w:r>
          </w:p>
        </w:tc>
        <w:tc>
          <w:tcPr>
            <w:tcW w:w="3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92"/>
              </w:rPr>
              <w:t>Definitions</w:t>
            </w:r>
          </w:p>
        </w:tc>
        <w:tc>
          <w:tcPr>
            <w:tcW w:w="34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1.01.</w:t>
            </w:r>
          </w:p>
        </w:tc>
        <w:tc>
          <w:tcPr>
            <w:tcW w:w="9580" w:type="dxa"/>
            <w:vAlign w:val="bottom"/>
          </w:tcPr>
          <w:p>
            <w:pPr>
              <w:ind w:left="340"/>
              <w:spacing w:after="0"/>
              <w:rPr>
                <w:sz w:val="20"/>
                <w:szCs w:val="20"/>
                <w:color w:val="auto"/>
              </w:rPr>
            </w:pPr>
            <w:r>
              <w:rPr>
                <w:rFonts w:ascii="Arial" w:cs="Arial" w:eastAsia="Arial" w:hAnsi="Arial"/>
                <w:sz w:val="18"/>
                <w:szCs w:val="18"/>
                <w:color w:val="auto"/>
              </w:rPr>
              <w:t>Defined Terms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1.02.</w:t>
            </w:r>
          </w:p>
        </w:tc>
        <w:tc>
          <w:tcPr>
            <w:tcW w:w="9580" w:type="dxa"/>
            <w:vAlign w:val="bottom"/>
          </w:tcPr>
          <w:p>
            <w:pPr>
              <w:ind w:left="340"/>
              <w:spacing w:after="0"/>
              <w:rPr>
                <w:sz w:val="20"/>
                <w:szCs w:val="20"/>
                <w:color w:val="auto"/>
              </w:rPr>
            </w:pPr>
            <w:r>
              <w:rPr>
                <w:rFonts w:ascii="Arial" w:cs="Arial" w:eastAsia="Arial" w:hAnsi="Arial"/>
                <w:sz w:val="18"/>
                <w:szCs w:val="18"/>
                <w:color w:val="auto"/>
              </w:rPr>
              <w:t>Classification of Loans and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1.03.</w:t>
            </w:r>
          </w:p>
        </w:tc>
        <w:tc>
          <w:tcPr>
            <w:tcW w:w="9580" w:type="dxa"/>
            <w:vAlign w:val="bottom"/>
          </w:tcPr>
          <w:p>
            <w:pPr>
              <w:ind w:left="340"/>
              <w:spacing w:after="0"/>
              <w:rPr>
                <w:sz w:val="20"/>
                <w:szCs w:val="20"/>
                <w:color w:val="auto"/>
              </w:rPr>
            </w:pPr>
            <w:r>
              <w:rPr>
                <w:rFonts w:ascii="Arial" w:cs="Arial" w:eastAsia="Arial" w:hAnsi="Arial"/>
                <w:sz w:val="18"/>
                <w:szCs w:val="18"/>
                <w:color w:val="auto"/>
              </w:rPr>
              <w:t>Terms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1.04.</w:t>
            </w:r>
          </w:p>
        </w:tc>
        <w:tc>
          <w:tcPr>
            <w:tcW w:w="9580" w:type="dxa"/>
            <w:vAlign w:val="bottom"/>
          </w:tcPr>
          <w:p>
            <w:pPr>
              <w:ind w:left="340"/>
              <w:spacing w:after="0"/>
              <w:rPr>
                <w:sz w:val="20"/>
                <w:szCs w:val="20"/>
                <w:color w:val="auto"/>
              </w:rPr>
            </w:pPr>
            <w:r>
              <w:rPr>
                <w:rFonts w:ascii="Arial" w:cs="Arial" w:eastAsia="Arial" w:hAnsi="Arial"/>
                <w:sz w:val="18"/>
                <w:szCs w:val="18"/>
                <w:color w:val="auto"/>
              </w:rPr>
              <w:t>Accounting Terms; GAAP</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500" w:type="dxa"/>
            <w:vAlign w:val="bottom"/>
          </w:tcPr>
          <w:p>
            <w:pPr>
              <w:spacing w:after="0"/>
              <w:rPr>
                <w:sz w:val="24"/>
                <w:szCs w:val="24"/>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98"/>
              </w:rPr>
              <w:t>ARTICLE II</w:t>
            </w:r>
          </w:p>
        </w:tc>
        <w:tc>
          <w:tcPr>
            <w:tcW w:w="3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88"/>
              </w:rPr>
              <w:t>The Credits</w:t>
            </w:r>
          </w:p>
        </w:tc>
        <w:tc>
          <w:tcPr>
            <w:tcW w:w="34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2.01.</w:t>
            </w:r>
          </w:p>
        </w:tc>
        <w:tc>
          <w:tcPr>
            <w:tcW w:w="9580" w:type="dxa"/>
            <w:vAlign w:val="bottom"/>
          </w:tcPr>
          <w:p>
            <w:pPr>
              <w:ind w:left="340"/>
              <w:spacing w:after="0"/>
              <w:rPr>
                <w:sz w:val="20"/>
                <w:szCs w:val="20"/>
                <w:color w:val="auto"/>
              </w:rPr>
            </w:pPr>
            <w:r>
              <w:rPr>
                <w:rFonts w:ascii="Arial" w:cs="Arial" w:eastAsia="Arial" w:hAnsi="Arial"/>
                <w:sz w:val="18"/>
                <w:szCs w:val="18"/>
                <w:color w:val="auto"/>
              </w:rPr>
              <w:t>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2.02.</w:t>
            </w:r>
          </w:p>
        </w:tc>
        <w:tc>
          <w:tcPr>
            <w:tcW w:w="9580" w:type="dxa"/>
            <w:vAlign w:val="bottom"/>
          </w:tcPr>
          <w:p>
            <w:pPr>
              <w:ind w:left="340"/>
              <w:spacing w:after="0"/>
              <w:rPr>
                <w:sz w:val="20"/>
                <w:szCs w:val="20"/>
                <w:color w:val="auto"/>
              </w:rPr>
            </w:pPr>
            <w:r>
              <w:rPr>
                <w:rFonts w:ascii="Arial" w:cs="Arial" w:eastAsia="Arial" w:hAnsi="Arial"/>
                <w:sz w:val="18"/>
                <w:szCs w:val="18"/>
                <w:color w:val="auto"/>
              </w:rPr>
              <w:t>Loans and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2.03.</w:t>
            </w:r>
          </w:p>
        </w:tc>
        <w:tc>
          <w:tcPr>
            <w:tcW w:w="9580" w:type="dxa"/>
            <w:vAlign w:val="bottom"/>
          </w:tcPr>
          <w:p>
            <w:pPr>
              <w:ind w:left="340"/>
              <w:spacing w:after="0"/>
              <w:rPr>
                <w:sz w:val="20"/>
                <w:szCs w:val="20"/>
                <w:color w:val="auto"/>
              </w:rPr>
            </w:pPr>
            <w:r>
              <w:rPr>
                <w:rFonts w:ascii="Arial" w:cs="Arial" w:eastAsia="Arial" w:hAnsi="Arial"/>
                <w:sz w:val="18"/>
                <w:szCs w:val="18"/>
                <w:color w:val="auto"/>
              </w:rPr>
              <w:t>Requests for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2.04.</w:t>
            </w:r>
          </w:p>
        </w:tc>
        <w:tc>
          <w:tcPr>
            <w:tcW w:w="9580" w:type="dxa"/>
            <w:vAlign w:val="bottom"/>
          </w:tcPr>
          <w:p>
            <w:pPr>
              <w:ind w:left="340"/>
              <w:spacing w:after="0"/>
              <w:rPr>
                <w:sz w:val="20"/>
                <w:szCs w:val="20"/>
                <w:color w:val="auto"/>
              </w:rPr>
            </w:pPr>
            <w:r>
              <w:rPr>
                <w:rFonts w:ascii="Arial" w:cs="Arial" w:eastAsia="Arial" w:hAnsi="Arial"/>
                <w:sz w:val="18"/>
                <w:szCs w:val="18"/>
                <w:color w:val="auto"/>
              </w:rPr>
              <w:t>[Section intentionally omitted]</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2.05.</w:t>
            </w:r>
          </w:p>
        </w:tc>
        <w:tc>
          <w:tcPr>
            <w:tcW w:w="9580" w:type="dxa"/>
            <w:vAlign w:val="bottom"/>
          </w:tcPr>
          <w:p>
            <w:pPr>
              <w:ind w:left="340"/>
              <w:spacing w:after="0"/>
              <w:rPr>
                <w:sz w:val="20"/>
                <w:szCs w:val="20"/>
                <w:color w:val="auto"/>
              </w:rPr>
            </w:pPr>
            <w:r>
              <w:rPr>
                <w:rFonts w:ascii="Arial" w:cs="Arial" w:eastAsia="Arial" w:hAnsi="Arial"/>
                <w:sz w:val="18"/>
                <w:szCs w:val="18"/>
                <w:color w:val="auto"/>
              </w:rPr>
              <w:t>[Section intentionally omitted]</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2.06.</w:t>
            </w:r>
          </w:p>
        </w:tc>
        <w:tc>
          <w:tcPr>
            <w:tcW w:w="9580" w:type="dxa"/>
            <w:vAlign w:val="bottom"/>
          </w:tcPr>
          <w:p>
            <w:pPr>
              <w:ind w:left="340"/>
              <w:spacing w:after="0"/>
              <w:rPr>
                <w:sz w:val="20"/>
                <w:szCs w:val="20"/>
                <w:color w:val="auto"/>
              </w:rPr>
            </w:pPr>
            <w:r>
              <w:rPr>
                <w:rFonts w:ascii="Arial" w:cs="Arial" w:eastAsia="Arial" w:hAnsi="Arial"/>
                <w:sz w:val="18"/>
                <w:szCs w:val="18"/>
                <w:color w:val="auto"/>
              </w:rPr>
              <w:t>Letters of Credit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2.07.</w:t>
            </w:r>
          </w:p>
        </w:tc>
        <w:tc>
          <w:tcPr>
            <w:tcW w:w="9580" w:type="dxa"/>
            <w:vAlign w:val="bottom"/>
          </w:tcPr>
          <w:p>
            <w:pPr>
              <w:ind w:left="340"/>
              <w:spacing w:after="0"/>
              <w:rPr>
                <w:sz w:val="20"/>
                <w:szCs w:val="20"/>
                <w:color w:val="auto"/>
              </w:rPr>
            </w:pPr>
            <w:r>
              <w:rPr>
                <w:rFonts w:ascii="Arial" w:cs="Arial" w:eastAsia="Arial" w:hAnsi="Arial"/>
                <w:sz w:val="18"/>
                <w:szCs w:val="18"/>
                <w:color w:val="auto"/>
              </w:rPr>
              <w:t>Funding of Borrowings</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2.08.</w:t>
            </w:r>
          </w:p>
        </w:tc>
        <w:tc>
          <w:tcPr>
            <w:tcW w:w="9580" w:type="dxa"/>
            <w:vAlign w:val="bottom"/>
          </w:tcPr>
          <w:p>
            <w:pPr>
              <w:ind w:left="340"/>
              <w:spacing w:after="0"/>
              <w:rPr>
                <w:sz w:val="20"/>
                <w:szCs w:val="20"/>
                <w:color w:val="auto"/>
              </w:rPr>
            </w:pPr>
            <w:r>
              <w:rPr>
                <w:rFonts w:ascii="Arial" w:cs="Arial" w:eastAsia="Arial" w:hAnsi="Arial"/>
                <w:sz w:val="18"/>
                <w:szCs w:val="18"/>
                <w:color w:val="auto"/>
              </w:rPr>
              <w:t>Interest Elections</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2.09.</w:t>
            </w:r>
          </w:p>
        </w:tc>
        <w:tc>
          <w:tcPr>
            <w:tcW w:w="9580" w:type="dxa"/>
            <w:vAlign w:val="bottom"/>
          </w:tcPr>
          <w:p>
            <w:pPr>
              <w:ind w:left="340"/>
              <w:spacing w:after="0"/>
              <w:rPr>
                <w:sz w:val="20"/>
                <w:szCs w:val="20"/>
                <w:color w:val="auto"/>
              </w:rPr>
            </w:pPr>
            <w:r>
              <w:rPr>
                <w:rFonts w:ascii="Arial" w:cs="Arial" w:eastAsia="Arial" w:hAnsi="Arial"/>
                <w:sz w:val="18"/>
                <w:szCs w:val="18"/>
                <w:color w:val="auto"/>
              </w:rPr>
              <w:t>Termination and Reduction of Commitments; Increase in Commitments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2.10.</w:t>
            </w:r>
          </w:p>
        </w:tc>
        <w:tc>
          <w:tcPr>
            <w:tcW w:w="9580" w:type="dxa"/>
            <w:vAlign w:val="bottom"/>
          </w:tcPr>
          <w:p>
            <w:pPr>
              <w:ind w:left="340"/>
              <w:spacing w:after="0"/>
              <w:rPr>
                <w:sz w:val="20"/>
                <w:szCs w:val="20"/>
                <w:color w:val="auto"/>
              </w:rPr>
            </w:pPr>
            <w:r>
              <w:rPr>
                <w:rFonts w:ascii="Arial" w:cs="Arial" w:eastAsia="Arial" w:hAnsi="Arial"/>
                <w:sz w:val="18"/>
                <w:szCs w:val="18"/>
                <w:color w:val="auto"/>
              </w:rPr>
              <w:t>Repayment of Loans; Evidence of Debt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2.11.</w:t>
            </w:r>
          </w:p>
        </w:tc>
        <w:tc>
          <w:tcPr>
            <w:tcW w:w="9580" w:type="dxa"/>
            <w:vAlign w:val="bottom"/>
          </w:tcPr>
          <w:p>
            <w:pPr>
              <w:ind w:left="340"/>
              <w:spacing w:after="0"/>
              <w:rPr>
                <w:sz w:val="20"/>
                <w:szCs w:val="20"/>
                <w:color w:val="auto"/>
              </w:rPr>
            </w:pPr>
            <w:r>
              <w:rPr>
                <w:rFonts w:ascii="Arial" w:cs="Arial" w:eastAsia="Arial" w:hAnsi="Arial"/>
                <w:sz w:val="18"/>
                <w:szCs w:val="18"/>
                <w:color w:val="auto"/>
              </w:rPr>
              <w:t>Prepayment of Loans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2.12.</w:t>
            </w:r>
          </w:p>
        </w:tc>
        <w:tc>
          <w:tcPr>
            <w:tcW w:w="9580" w:type="dxa"/>
            <w:vAlign w:val="bottom"/>
          </w:tcPr>
          <w:p>
            <w:pPr>
              <w:ind w:left="340"/>
              <w:spacing w:after="0"/>
              <w:rPr>
                <w:sz w:val="20"/>
                <w:szCs w:val="20"/>
                <w:color w:val="auto"/>
              </w:rPr>
            </w:pPr>
            <w:r>
              <w:rPr>
                <w:rFonts w:ascii="Arial" w:cs="Arial" w:eastAsia="Arial" w:hAnsi="Arial"/>
                <w:sz w:val="18"/>
                <w:szCs w:val="18"/>
                <w:color w:val="auto"/>
              </w:rPr>
              <w:t>Fees</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2.13.</w:t>
            </w:r>
          </w:p>
        </w:tc>
        <w:tc>
          <w:tcPr>
            <w:tcW w:w="95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2.14.</w:t>
            </w:r>
          </w:p>
        </w:tc>
        <w:tc>
          <w:tcPr>
            <w:tcW w:w="9580" w:type="dxa"/>
            <w:vAlign w:val="bottom"/>
          </w:tcPr>
          <w:p>
            <w:pPr>
              <w:ind w:left="340"/>
              <w:spacing w:after="0"/>
              <w:rPr>
                <w:sz w:val="20"/>
                <w:szCs w:val="20"/>
                <w:color w:val="auto"/>
              </w:rPr>
            </w:pPr>
            <w:r>
              <w:rPr>
                <w:rFonts w:ascii="Arial" w:cs="Arial" w:eastAsia="Arial" w:hAnsi="Arial"/>
                <w:sz w:val="18"/>
                <w:szCs w:val="18"/>
                <w:color w:val="auto"/>
              </w:rPr>
              <w:t>Alternate Rate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2.15.</w:t>
            </w:r>
          </w:p>
        </w:tc>
        <w:tc>
          <w:tcPr>
            <w:tcW w:w="9580" w:type="dxa"/>
            <w:vAlign w:val="bottom"/>
          </w:tcPr>
          <w:p>
            <w:pPr>
              <w:ind w:left="340"/>
              <w:spacing w:after="0"/>
              <w:rPr>
                <w:sz w:val="20"/>
                <w:szCs w:val="20"/>
                <w:color w:val="auto"/>
              </w:rPr>
            </w:pPr>
            <w:r>
              <w:rPr>
                <w:rFonts w:ascii="Arial" w:cs="Arial" w:eastAsia="Arial" w:hAnsi="Arial"/>
                <w:sz w:val="18"/>
                <w:szCs w:val="18"/>
                <w:color w:val="auto"/>
              </w:rPr>
              <w:t>Increased Costs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2.16.</w:t>
            </w:r>
          </w:p>
        </w:tc>
        <w:tc>
          <w:tcPr>
            <w:tcW w:w="9580" w:type="dxa"/>
            <w:vAlign w:val="bottom"/>
          </w:tcPr>
          <w:p>
            <w:pPr>
              <w:ind w:left="340"/>
              <w:spacing w:after="0"/>
              <w:rPr>
                <w:sz w:val="20"/>
                <w:szCs w:val="20"/>
                <w:color w:val="auto"/>
              </w:rPr>
            </w:pPr>
            <w:r>
              <w:rPr>
                <w:rFonts w:ascii="Arial" w:cs="Arial" w:eastAsia="Arial" w:hAnsi="Arial"/>
                <w:sz w:val="18"/>
                <w:szCs w:val="18"/>
                <w:color w:val="auto"/>
              </w:rPr>
              <w:t>Break Funding Payments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2.17.</w:t>
            </w:r>
          </w:p>
        </w:tc>
        <w:tc>
          <w:tcPr>
            <w:tcW w:w="9580" w:type="dxa"/>
            <w:vAlign w:val="bottom"/>
          </w:tcPr>
          <w:p>
            <w:pPr>
              <w:ind w:left="340"/>
              <w:spacing w:after="0"/>
              <w:rPr>
                <w:sz w:val="20"/>
                <w:szCs w:val="20"/>
                <w:color w:val="auto"/>
              </w:rPr>
            </w:pPr>
            <w:r>
              <w:rPr>
                <w:rFonts w:ascii="Arial" w:cs="Arial" w:eastAsia="Arial" w:hAnsi="Arial"/>
                <w:sz w:val="18"/>
                <w:szCs w:val="18"/>
                <w:color w:val="auto"/>
              </w:rPr>
              <w:t>Taxes</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2.18.</w:t>
            </w:r>
          </w:p>
        </w:tc>
        <w:tc>
          <w:tcPr>
            <w:tcW w:w="9580" w:type="dxa"/>
            <w:vAlign w:val="bottom"/>
          </w:tcPr>
          <w:p>
            <w:pPr>
              <w:ind w:left="340"/>
              <w:spacing w:after="0"/>
              <w:rPr>
                <w:sz w:val="20"/>
                <w:szCs w:val="20"/>
                <w:color w:val="auto"/>
              </w:rPr>
            </w:pPr>
            <w:r>
              <w:rPr>
                <w:rFonts w:ascii="Arial" w:cs="Arial" w:eastAsia="Arial" w:hAnsi="Arial"/>
                <w:sz w:val="18"/>
                <w:szCs w:val="18"/>
                <w:color w:val="auto"/>
              </w:rPr>
              <w:t>Payments Generally; Allocation of Proceeds; Sharing of Set-offs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2.19.</w:t>
            </w:r>
          </w:p>
        </w:tc>
        <w:tc>
          <w:tcPr>
            <w:tcW w:w="9580" w:type="dxa"/>
            <w:vAlign w:val="bottom"/>
          </w:tcPr>
          <w:p>
            <w:pPr>
              <w:ind w:left="340"/>
              <w:spacing w:after="0"/>
              <w:rPr>
                <w:sz w:val="20"/>
                <w:szCs w:val="20"/>
                <w:color w:val="auto"/>
              </w:rPr>
            </w:pPr>
            <w:r>
              <w:rPr>
                <w:rFonts w:ascii="Arial" w:cs="Arial" w:eastAsia="Arial" w:hAnsi="Arial"/>
                <w:sz w:val="18"/>
                <w:szCs w:val="18"/>
                <w:color w:val="auto"/>
              </w:rPr>
              <w:t>Mitigation Obligations; Replacement of Lenders</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2.20.</w:t>
            </w:r>
          </w:p>
        </w:tc>
        <w:tc>
          <w:tcPr>
            <w:tcW w:w="9580" w:type="dxa"/>
            <w:vAlign w:val="bottom"/>
          </w:tcPr>
          <w:p>
            <w:pPr>
              <w:ind w:left="340"/>
              <w:spacing w:after="0"/>
              <w:rPr>
                <w:sz w:val="20"/>
                <w:szCs w:val="20"/>
                <w:color w:val="auto"/>
              </w:rPr>
            </w:pPr>
            <w:r>
              <w:rPr>
                <w:rFonts w:ascii="Arial" w:cs="Arial" w:eastAsia="Arial" w:hAnsi="Arial"/>
                <w:sz w:val="18"/>
                <w:szCs w:val="18"/>
                <w:color w:val="auto"/>
              </w:rPr>
              <w:t>Defaulting Lenders</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2.21.</w:t>
            </w:r>
          </w:p>
        </w:tc>
        <w:tc>
          <w:tcPr>
            <w:tcW w:w="9580" w:type="dxa"/>
            <w:vAlign w:val="bottom"/>
          </w:tcPr>
          <w:p>
            <w:pPr>
              <w:ind w:left="340"/>
              <w:spacing w:after="0"/>
              <w:rPr>
                <w:sz w:val="20"/>
                <w:szCs w:val="20"/>
                <w:color w:val="auto"/>
              </w:rPr>
            </w:pPr>
            <w:r>
              <w:rPr>
                <w:rFonts w:ascii="Arial" w:cs="Arial" w:eastAsia="Arial" w:hAnsi="Arial"/>
                <w:sz w:val="18"/>
                <w:szCs w:val="18"/>
                <w:color w:val="auto"/>
              </w:rPr>
              <w:t>Returned Payments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500" w:type="dxa"/>
            <w:vAlign w:val="bottom"/>
          </w:tcPr>
          <w:p>
            <w:pPr>
              <w:spacing w:after="0"/>
              <w:rPr>
                <w:sz w:val="24"/>
                <w:szCs w:val="24"/>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97"/>
              </w:rPr>
              <w:t>ARTICLE III</w:t>
            </w:r>
          </w:p>
        </w:tc>
        <w:tc>
          <w:tcPr>
            <w:tcW w:w="3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9580" w:type="dxa"/>
            <w:vAlign w:val="bottom"/>
          </w:tcPr>
          <w:p>
            <w:pPr>
              <w:jc w:val="center"/>
              <w:ind w:right="1072"/>
              <w:spacing w:after="0"/>
              <w:rPr>
                <w:sz w:val="20"/>
                <w:szCs w:val="20"/>
                <w:color w:val="auto"/>
              </w:rPr>
            </w:pPr>
            <w:r>
              <w:rPr>
                <w:rFonts w:ascii="Arial" w:cs="Arial" w:eastAsia="Arial" w:hAnsi="Arial"/>
                <w:sz w:val="18"/>
                <w:szCs w:val="18"/>
                <w:color w:val="auto"/>
                <w:w w:val="85"/>
              </w:rPr>
              <w:t>Representations and Warranties</w:t>
            </w:r>
          </w:p>
        </w:tc>
        <w:tc>
          <w:tcPr>
            <w:tcW w:w="34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3.01.</w:t>
            </w:r>
          </w:p>
        </w:tc>
        <w:tc>
          <w:tcPr>
            <w:tcW w:w="9580" w:type="dxa"/>
            <w:vAlign w:val="bottom"/>
          </w:tcPr>
          <w:p>
            <w:pPr>
              <w:ind w:left="340"/>
              <w:spacing w:after="0"/>
              <w:rPr>
                <w:sz w:val="20"/>
                <w:szCs w:val="20"/>
                <w:color w:val="auto"/>
              </w:rPr>
            </w:pPr>
            <w:r>
              <w:rPr>
                <w:rFonts w:ascii="Arial" w:cs="Arial" w:eastAsia="Arial" w:hAnsi="Arial"/>
                <w:sz w:val="18"/>
                <w:szCs w:val="18"/>
                <w:color w:val="auto"/>
              </w:rPr>
              <w:t>Organization; Powers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3.02.</w:t>
            </w:r>
          </w:p>
        </w:tc>
        <w:tc>
          <w:tcPr>
            <w:tcW w:w="9580" w:type="dxa"/>
            <w:vAlign w:val="bottom"/>
          </w:tcPr>
          <w:p>
            <w:pPr>
              <w:ind w:left="340"/>
              <w:spacing w:after="0"/>
              <w:rPr>
                <w:sz w:val="20"/>
                <w:szCs w:val="20"/>
                <w:color w:val="auto"/>
              </w:rPr>
            </w:pPr>
            <w:r>
              <w:rPr>
                <w:rFonts w:ascii="Arial" w:cs="Arial" w:eastAsia="Arial" w:hAnsi="Arial"/>
                <w:sz w:val="18"/>
                <w:szCs w:val="18"/>
                <w:color w:val="auto"/>
              </w:rPr>
              <w:t>Authorization; Enforceability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3.03.</w:t>
            </w:r>
          </w:p>
        </w:tc>
        <w:tc>
          <w:tcPr>
            <w:tcW w:w="9580" w:type="dxa"/>
            <w:vAlign w:val="bottom"/>
          </w:tcPr>
          <w:p>
            <w:pPr>
              <w:ind w:left="340"/>
              <w:spacing w:after="0"/>
              <w:rPr>
                <w:sz w:val="20"/>
                <w:szCs w:val="20"/>
                <w:color w:val="auto"/>
              </w:rPr>
            </w:pPr>
            <w:r>
              <w:rPr>
                <w:rFonts w:ascii="Arial" w:cs="Arial" w:eastAsia="Arial" w:hAnsi="Arial"/>
                <w:sz w:val="18"/>
                <w:szCs w:val="18"/>
                <w:color w:val="auto"/>
              </w:rPr>
              <w:t>Governmental Approvals; No Conflicts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3.04.</w:t>
            </w:r>
          </w:p>
        </w:tc>
        <w:tc>
          <w:tcPr>
            <w:tcW w:w="9580" w:type="dxa"/>
            <w:vAlign w:val="bottom"/>
          </w:tcPr>
          <w:p>
            <w:pPr>
              <w:ind w:left="340"/>
              <w:spacing w:after="0"/>
              <w:rPr>
                <w:sz w:val="20"/>
                <w:szCs w:val="20"/>
                <w:color w:val="auto"/>
              </w:rPr>
            </w:pPr>
            <w:r>
              <w:rPr>
                <w:rFonts w:ascii="Arial" w:cs="Arial" w:eastAsia="Arial" w:hAnsi="Arial"/>
                <w:sz w:val="18"/>
                <w:szCs w:val="18"/>
                <w:color w:val="auto"/>
              </w:rPr>
              <w:t>Financial Condition; No Material Adverse Change</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3.05.</w:t>
            </w:r>
          </w:p>
        </w:tc>
        <w:tc>
          <w:tcPr>
            <w:tcW w:w="958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3.06.</w:t>
            </w:r>
          </w:p>
        </w:tc>
        <w:tc>
          <w:tcPr>
            <w:tcW w:w="9580" w:type="dxa"/>
            <w:vAlign w:val="bottom"/>
          </w:tcPr>
          <w:p>
            <w:pPr>
              <w:ind w:left="340"/>
              <w:spacing w:after="0"/>
              <w:rPr>
                <w:sz w:val="20"/>
                <w:szCs w:val="20"/>
                <w:color w:val="auto"/>
              </w:rPr>
            </w:pPr>
            <w:r>
              <w:rPr>
                <w:rFonts w:ascii="Arial" w:cs="Arial" w:eastAsia="Arial" w:hAnsi="Arial"/>
                <w:sz w:val="18"/>
                <w:szCs w:val="18"/>
                <w:color w:val="auto"/>
              </w:rPr>
              <w:t>Litigation and Environmental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3.07.</w:t>
            </w:r>
          </w:p>
        </w:tc>
        <w:tc>
          <w:tcPr>
            <w:tcW w:w="7400" w:type="dxa"/>
            <w:vAlign w:val="bottom"/>
          </w:tcPr>
          <w:p>
            <w:pPr>
              <w:ind w:left="340"/>
              <w:spacing w:after="0"/>
              <w:rPr>
                <w:sz w:val="20"/>
                <w:szCs w:val="20"/>
                <w:color w:val="auto"/>
              </w:rPr>
            </w:pPr>
            <w:r>
              <w:rPr>
                <w:rFonts w:ascii="Arial" w:cs="Arial" w:eastAsia="Arial" w:hAnsi="Arial"/>
                <w:sz w:val="18"/>
                <w:szCs w:val="18"/>
                <w:color w:val="auto"/>
              </w:rPr>
              <w:t>Compliance with Laws and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3.08.</w:t>
            </w:r>
          </w:p>
        </w:tc>
        <w:tc>
          <w:tcPr>
            <w:tcW w:w="7400" w:type="dxa"/>
            <w:vAlign w:val="bottom"/>
          </w:tcPr>
          <w:p>
            <w:pPr>
              <w:ind w:left="340"/>
              <w:spacing w:after="0"/>
              <w:rPr>
                <w:sz w:val="20"/>
                <w:szCs w:val="20"/>
                <w:color w:val="auto"/>
              </w:rPr>
            </w:pPr>
            <w:r>
              <w:rPr>
                <w:rFonts w:ascii="Arial" w:cs="Arial" w:eastAsia="Arial" w:hAnsi="Arial"/>
                <w:sz w:val="18"/>
                <w:szCs w:val="18"/>
                <w:color w:val="auto"/>
              </w:rPr>
              <w:t>Investment Company Status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3.09.</w:t>
            </w:r>
          </w:p>
        </w:tc>
        <w:tc>
          <w:tcPr>
            <w:tcW w:w="7400" w:type="dxa"/>
            <w:vAlign w:val="bottom"/>
          </w:tcPr>
          <w:p>
            <w:pPr>
              <w:ind w:left="34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3.10.</w:t>
            </w:r>
          </w:p>
        </w:tc>
        <w:tc>
          <w:tcPr>
            <w:tcW w:w="7400" w:type="dxa"/>
            <w:vAlign w:val="bottom"/>
          </w:tcPr>
          <w:p>
            <w:pPr>
              <w:ind w:left="340"/>
              <w:spacing w:after="0"/>
              <w:rPr>
                <w:sz w:val="20"/>
                <w:szCs w:val="20"/>
                <w:color w:val="auto"/>
              </w:rPr>
            </w:pPr>
            <w:r>
              <w:rPr>
                <w:rFonts w:ascii="Arial" w:cs="Arial" w:eastAsia="Arial" w:hAnsi="Arial"/>
                <w:sz w:val="18"/>
                <w:szCs w:val="18"/>
                <w:color w:val="auto"/>
              </w:rPr>
              <w:t>ERISA</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3.11.</w:t>
            </w:r>
          </w:p>
        </w:tc>
        <w:tc>
          <w:tcPr>
            <w:tcW w:w="7400" w:type="dxa"/>
            <w:vAlign w:val="bottom"/>
          </w:tcPr>
          <w:p>
            <w:pPr>
              <w:ind w:left="340"/>
              <w:spacing w:after="0"/>
              <w:rPr>
                <w:sz w:val="20"/>
                <w:szCs w:val="20"/>
                <w:color w:val="auto"/>
              </w:rPr>
            </w:pPr>
            <w:r>
              <w:rPr>
                <w:rFonts w:ascii="Arial" w:cs="Arial" w:eastAsia="Arial" w:hAnsi="Arial"/>
                <w:sz w:val="18"/>
                <w:szCs w:val="18"/>
                <w:color w:val="auto"/>
              </w:rPr>
              <w:t>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3.12.</w:t>
            </w:r>
          </w:p>
        </w:tc>
        <w:tc>
          <w:tcPr>
            <w:tcW w:w="7400" w:type="dxa"/>
            <w:vAlign w:val="bottom"/>
          </w:tcPr>
          <w:p>
            <w:pPr>
              <w:ind w:left="340"/>
              <w:spacing w:after="0"/>
              <w:rPr>
                <w:sz w:val="20"/>
                <w:szCs w:val="20"/>
                <w:color w:val="auto"/>
              </w:rPr>
            </w:pPr>
            <w:r>
              <w:rPr>
                <w:rFonts w:ascii="Arial" w:cs="Arial" w:eastAsia="Arial" w:hAnsi="Arial"/>
                <w:sz w:val="18"/>
                <w:szCs w:val="18"/>
                <w:color w:val="auto"/>
              </w:rPr>
              <w:t>Capitalization and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3.13.</w:t>
            </w:r>
          </w:p>
        </w:tc>
        <w:tc>
          <w:tcPr>
            <w:tcW w:w="7400" w:type="dxa"/>
            <w:vAlign w:val="bottom"/>
          </w:tcPr>
          <w:p>
            <w:pPr>
              <w:ind w:left="340"/>
              <w:spacing w:after="0"/>
              <w:rPr>
                <w:sz w:val="20"/>
                <w:szCs w:val="20"/>
                <w:color w:val="auto"/>
              </w:rPr>
            </w:pPr>
            <w:r>
              <w:rPr>
                <w:rFonts w:ascii="Arial" w:cs="Arial" w:eastAsia="Arial" w:hAnsi="Arial"/>
                <w:sz w:val="18"/>
                <w:szCs w:val="18"/>
                <w:color w:val="auto"/>
              </w:rPr>
              <w:t>Security Interest in Collateral</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3.14.</w:t>
            </w:r>
          </w:p>
        </w:tc>
        <w:tc>
          <w:tcPr>
            <w:tcW w:w="7400" w:type="dxa"/>
            <w:vAlign w:val="bottom"/>
          </w:tcPr>
          <w:p>
            <w:pPr>
              <w:ind w:left="340"/>
              <w:spacing w:after="0"/>
              <w:rPr>
                <w:sz w:val="20"/>
                <w:szCs w:val="20"/>
                <w:color w:val="auto"/>
              </w:rPr>
            </w:pPr>
            <w:r>
              <w:rPr>
                <w:rFonts w:ascii="Arial" w:cs="Arial" w:eastAsia="Arial" w:hAnsi="Arial"/>
                <w:sz w:val="18"/>
                <w:szCs w:val="18"/>
                <w:color w:val="auto"/>
              </w:rPr>
              <w:t>Common Enterprise</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52"/>
              <w:spacing w:after="0"/>
              <w:rPr>
                <w:sz w:val="20"/>
                <w:szCs w:val="20"/>
                <w:color w:val="auto"/>
              </w:rPr>
            </w:pPr>
            <w:r>
              <w:rPr>
                <w:rFonts w:ascii="Arial" w:cs="Arial" w:eastAsia="Arial" w:hAnsi="Arial"/>
                <w:sz w:val="18"/>
                <w:szCs w:val="18"/>
                <w:color w:val="auto"/>
                <w:w w:val="97"/>
              </w:rPr>
              <w:t>ARTICLE IV</w:t>
            </w:r>
          </w:p>
        </w:tc>
        <w:tc>
          <w:tcPr>
            <w:tcW w:w="252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32"/>
              <w:spacing w:after="0"/>
              <w:rPr>
                <w:sz w:val="20"/>
                <w:szCs w:val="20"/>
                <w:color w:val="auto"/>
              </w:rPr>
            </w:pPr>
            <w:r>
              <w:rPr>
                <w:rFonts w:ascii="Arial" w:cs="Arial" w:eastAsia="Arial" w:hAnsi="Arial"/>
                <w:sz w:val="18"/>
                <w:szCs w:val="18"/>
                <w:color w:val="auto"/>
                <w:w w:val="91"/>
              </w:rPr>
              <w:t>Conditions</w:t>
            </w:r>
          </w:p>
        </w:tc>
        <w:tc>
          <w:tcPr>
            <w:tcW w:w="252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4.01.</w:t>
            </w:r>
          </w:p>
        </w:tc>
        <w:tc>
          <w:tcPr>
            <w:tcW w:w="7400" w:type="dxa"/>
            <w:vAlign w:val="bottom"/>
          </w:tcPr>
          <w:p>
            <w:pPr>
              <w:ind w:left="340"/>
              <w:spacing w:after="0"/>
              <w:rPr>
                <w:sz w:val="20"/>
                <w:szCs w:val="20"/>
                <w:color w:val="auto"/>
              </w:rPr>
            </w:pPr>
            <w:r>
              <w:rPr>
                <w:rFonts w:ascii="Arial" w:cs="Arial" w:eastAsia="Arial" w:hAnsi="Arial"/>
                <w:sz w:val="18"/>
                <w:szCs w:val="18"/>
                <w:color w:val="auto"/>
              </w:rPr>
              <w:t>Effective Date</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4.02.</w:t>
            </w:r>
          </w:p>
        </w:tc>
        <w:tc>
          <w:tcPr>
            <w:tcW w:w="7400" w:type="dxa"/>
            <w:vAlign w:val="bottom"/>
          </w:tcPr>
          <w:p>
            <w:pPr>
              <w:ind w:left="340"/>
              <w:spacing w:after="0"/>
              <w:rPr>
                <w:sz w:val="20"/>
                <w:szCs w:val="20"/>
                <w:color w:val="auto"/>
              </w:rPr>
            </w:pPr>
            <w:r>
              <w:rPr>
                <w:rFonts w:ascii="Arial" w:cs="Arial" w:eastAsia="Arial" w:hAnsi="Arial"/>
                <w:sz w:val="18"/>
                <w:szCs w:val="18"/>
                <w:color w:val="auto"/>
              </w:rPr>
              <w:t>Each Credit Event</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32"/>
              <w:spacing w:after="0"/>
              <w:rPr>
                <w:sz w:val="20"/>
                <w:szCs w:val="20"/>
                <w:color w:val="auto"/>
              </w:rPr>
            </w:pPr>
            <w:r>
              <w:rPr>
                <w:rFonts w:ascii="Arial" w:cs="Arial" w:eastAsia="Arial" w:hAnsi="Arial"/>
                <w:sz w:val="18"/>
                <w:szCs w:val="18"/>
                <w:color w:val="auto"/>
                <w:w w:val="96"/>
              </w:rPr>
              <w:t>ARTICLE V</w:t>
            </w:r>
          </w:p>
        </w:tc>
        <w:tc>
          <w:tcPr>
            <w:tcW w:w="252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32"/>
              <w:spacing w:after="0"/>
              <w:rPr>
                <w:sz w:val="20"/>
                <w:szCs w:val="20"/>
                <w:color w:val="auto"/>
              </w:rPr>
            </w:pPr>
            <w:r>
              <w:rPr>
                <w:rFonts w:ascii="Arial" w:cs="Arial" w:eastAsia="Arial" w:hAnsi="Arial"/>
                <w:sz w:val="18"/>
                <w:szCs w:val="18"/>
                <w:color w:val="auto"/>
                <w:w w:val="91"/>
              </w:rPr>
              <w:t>Affirmative Covenants</w:t>
            </w:r>
          </w:p>
        </w:tc>
        <w:tc>
          <w:tcPr>
            <w:tcW w:w="252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5.01.</w:t>
            </w:r>
          </w:p>
        </w:tc>
        <w:tc>
          <w:tcPr>
            <w:tcW w:w="7400" w:type="dxa"/>
            <w:vAlign w:val="bottom"/>
          </w:tcPr>
          <w:p>
            <w:pPr>
              <w:ind w:left="340"/>
              <w:spacing w:after="0"/>
              <w:rPr>
                <w:sz w:val="20"/>
                <w:szCs w:val="20"/>
                <w:color w:val="auto"/>
              </w:rPr>
            </w:pPr>
            <w:r>
              <w:rPr>
                <w:rFonts w:ascii="Arial" w:cs="Arial" w:eastAsia="Arial" w:hAnsi="Arial"/>
                <w:sz w:val="18"/>
                <w:szCs w:val="18"/>
                <w:color w:val="auto"/>
              </w:rPr>
              <w:t>Financial Statements and Other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5.02.</w:t>
            </w:r>
          </w:p>
        </w:tc>
        <w:tc>
          <w:tcPr>
            <w:tcW w:w="7400" w:type="dxa"/>
            <w:vAlign w:val="bottom"/>
          </w:tcPr>
          <w:p>
            <w:pPr>
              <w:ind w:left="340"/>
              <w:spacing w:after="0"/>
              <w:rPr>
                <w:sz w:val="20"/>
                <w:szCs w:val="20"/>
                <w:color w:val="auto"/>
              </w:rPr>
            </w:pPr>
            <w:r>
              <w:rPr>
                <w:rFonts w:ascii="Arial" w:cs="Arial" w:eastAsia="Arial" w:hAnsi="Arial"/>
                <w:sz w:val="18"/>
                <w:szCs w:val="18"/>
                <w:color w:val="auto"/>
              </w:rPr>
              <w:t>Notices of Material Events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5.03.</w:t>
            </w:r>
          </w:p>
        </w:tc>
        <w:tc>
          <w:tcPr>
            <w:tcW w:w="7400" w:type="dxa"/>
            <w:vAlign w:val="bottom"/>
          </w:tcPr>
          <w:p>
            <w:pPr>
              <w:ind w:left="340"/>
              <w:spacing w:after="0"/>
              <w:rPr>
                <w:sz w:val="20"/>
                <w:szCs w:val="20"/>
                <w:color w:val="auto"/>
              </w:rPr>
            </w:pPr>
            <w:r>
              <w:rPr>
                <w:rFonts w:ascii="Arial" w:cs="Arial" w:eastAsia="Arial" w:hAnsi="Arial"/>
                <w:sz w:val="18"/>
                <w:szCs w:val="18"/>
                <w:color w:val="auto"/>
              </w:rPr>
              <w:t>Existence; Conduct of 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5.04.</w:t>
            </w:r>
          </w:p>
        </w:tc>
        <w:tc>
          <w:tcPr>
            <w:tcW w:w="7400" w:type="dxa"/>
            <w:vAlign w:val="bottom"/>
          </w:tcPr>
          <w:p>
            <w:pPr>
              <w:ind w:left="340"/>
              <w:spacing w:after="0"/>
              <w:rPr>
                <w:sz w:val="20"/>
                <w:szCs w:val="20"/>
                <w:color w:val="auto"/>
              </w:rPr>
            </w:pPr>
            <w:r>
              <w:rPr>
                <w:rFonts w:ascii="Arial" w:cs="Arial" w:eastAsia="Arial" w:hAnsi="Arial"/>
                <w:sz w:val="18"/>
                <w:szCs w:val="18"/>
                <w:color w:val="auto"/>
              </w:rPr>
              <w:t>Payment of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5.05.</w:t>
            </w:r>
          </w:p>
        </w:tc>
        <w:tc>
          <w:tcPr>
            <w:tcW w:w="7400" w:type="dxa"/>
            <w:vAlign w:val="bottom"/>
          </w:tcPr>
          <w:p>
            <w:pPr>
              <w:ind w:left="340"/>
              <w:spacing w:after="0"/>
              <w:rPr>
                <w:sz w:val="20"/>
                <w:szCs w:val="20"/>
                <w:color w:val="auto"/>
              </w:rPr>
            </w:pPr>
            <w:r>
              <w:rPr>
                <w:rFonts w:ascii="Arial" w:cs="Arial" w:eastAsia="Arial" w:hAnsi="Arial"/>
                <w:sz w:val="18"/>
                <w:szCs w:val="18"/>
                <w:color w:val="auto"/>
              </w:rPr>
              <w:t>Maintenance of Properties; Insurance; Casualty and Condemnation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5.06.</w:t>
            </w:r>
          </w:p>
        </w:tc>
        <w:tc>
          <w:tcPr>
            <w:tcW w:w="7400" w:type="dxa"/>
            <w:vAlign w:val="bottom"/>
          </w:tcPr>
          <w:p>
            <w:pPr>
              <w:ind w:left="340"/>
              <w:spacing w:after="0"/>
              <w:rPr>
                <w:sz w:val="20"/>
                <w:szCs w:val="20"/>
                <w:color w:val="auto"/>
              </w:rPr>
            </w:pPr>
            <w:r>
              <w:rPr>
                <w:rFonts w:ascii="Arial" w:cs="Arial" w:eastAsia="Arial" w:hAnsi="Arial"/>
                <w:sz w:val="18"/>
                <w:szCs w:val="18"/>
                <w:color w:val="auto"/>
              </w:rPr>
              <w:t>Books and Records; Inspection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5.07.</w:t>
            </w:r>
          </w:p>
        </w:tc>
        <w:tc>
          <w:tcPr>
            <w:tcW w:w="7400" w:type="dxa"/>
            <w:vAlign w:val="bottom"/>
          </w:tcPr>
          <w:p>
            <w:pPr>
              <w:ind w:left="340"/>
              <w:spacing w:after="0"/>
              <w:rPr>
                <w:sz w:val="20"/>
                <w:szCs w:val="20"/>
                <w:color w:val="auto"/>
              </w:rPr>
            </w:pPr>
            <w:r>
              <w:rPr>
                <w:rFonts w:ascii="Arial" w:cs="Arial" w:eastAsia="Arial" w:hAnsi="Arial"/>
                <w:sz w:val="18"/>
                <w:szCs w:val="18"/>
                <w:color w:val="auto"/>
              </w:rPr>
              <w:t>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5.08.</w:t>
            </w:r>
          </w:p>
        </w:tc>
        <w:tc>
          <w:tcPr>
            <w:tcW w:w="7400" w:type="dxa"/>
            <w:vAlign w:val="bottom"/>
          </w:tcPr>
          <w:p>
            <w:pPr>
              <w:ind w:left="340"/>
              <w:spacing w:after="0"/>
              <w:rPr>
                <w:sz w:val="20"/>
                <w:szCs w:val="20"/>
                <w:color w:val="auto"/>
              </w:rPr>
            </w:pPr>
            <w:r>
              <w:rPr>
                <w:rFonts w:ascii="Arial" w:cs="Arial" w:eastAsia="Arial" w:hAnsi="Arial"/>
                <w:sz w:val="18"/>
                <w:szCs w:val="18"/>
                <w:color w:val="auto"/>
              </w:rPr>
              <w:t>Use of Proceeds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5.09.</w:t>
            </w:r>
          </w:p>
        </w:tc>
        <w:tc>
          <w:tcPr>
            <w:tcW w:w="7400" w:type="dxa"/>
            <w:vAlign w:val="bottom"/>
          </w:tcPr>
          <w:p>
            <w:pPr>
              <w:ind w:left="340"/>
              <w:spacing w:after="0"/>
              <w:rPr>
                <w:sz w:val="20"/>
                <w:szCs w:val="20"/>
                <w:color w:val="auto"/>
              </w:rPr>
            </w:pPr>
            <w:r>
              <w:rPr>
                <w:rFonts w:ascii="Arial" w:cs="Arial" w:eastAsia="Arial" w:hAnsi="Arial"/>
                <w:sz w:val="18"/>
                <w:szCs w:val="18"/>
                <w:color w:val="auto"/>
              </w:rPr>
              <w:t>Additional Collateral; Further Assurances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52"/>
              <w:spacing w:after="0"/>
              <w:rPr>
                <w:sz w:val="20"/>
                <w:szCs w:val="20"/>
                <w:color w:val="auto"/>
              </w:rPr>
            </w:pPr>
            <w:r>
              <w:rPr>
                <w:rFonts w:ascii="Arial" w:cs="Arial" w:eastAsia="Arial" w:hAnsi="Arial"/>
                <w:sz w:val="18"/>
                <w:szCs w:val="18"/>
                <w:color w:val="auto"/>
                <w:w w:val="97"/>
              </w:rPr>
              <w:t>ARTICLE VI</w:t>
            </w:r>
          </w:p>
        </w:tc>
        <w:tc>
          <w:tcPr>
            <w:tcW w:w="252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400" w:type="dxa"/>
            <w:vAlign w:val="bottom"/>
          </w:tcPr>
          <w:p>
            <w:pPr>
              <w:jc w:val="center"/>
              <w:ind w:left="932"/>
              <w:spacing w:after="0"/>
              <w:rPr>
                <w:sz w:val="20"/>
                <w:szCs w:val="20"/>
                <w:color w:val="auto"/>
              </w:rPr>
            </w:pPr>
            <w:r>
              <w:rPr>
                <w:rFonts w:ascii="Arial" w:cs="Arial" w:eastAsia="Arial" w:hAnsi="Arial"/>
                <w:sz w:val="18"/>
                <w:szCs w:val="18"/>
                <w:color w:val="auto"/>
                <w:w w:val="87"/>
              </w:rPr>
              <w:t>Negative Covenants</w:t>
            </w:r>
          </w:p>
        </w:tc>
        <w:tc>
          <w:tcPr>
            <w:tcW w:w="252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color w:val="auto"/>
              </w:rPr>
              <w:t>SECTION 6.01.</w:t>
            </w:r>
          </w:p>
        </w:tc>
        <w:tc>
          <w:tcPr>
            <w:tcW w:w="7400" w:type="dxa"/>
            <w:vAlign w:val="bottom"/>
          </w:tcPr>
          <w:p>
            <w:pPr>
              <w:ind w:left="340"/>
              <w:spacing w:after="0"/>
              <w:rPr>
                <w:sz w:val="20"/>
                <w:szCs w:val="20"/>
                <w:color w:val="auto"/>
              </w:rPr>
            </w:pPr>
            <w:r>
              <w:rPr>
                <w:rFonts w:ascii="Arial" w:cs="Arial" w:eastAsia="Arial" w:hAnsi="Arial"/>
                <w:sz w:val="18"/>
                <w:szCs w:val="18"/>
                <w:color w:val="auto"/>
              </w:rPr>
              <w:t>Indebtedness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6.02.</w:t>
            </w:r>
          </w:p>
        </w:tc>
        <w:tc>
          <w:tcPr>
            <w:tcW w:w="7400" w:type="dxa"/>
            <w:vAlign w:val="bottom"/>
          </w:tcPr>
          <w:p>
            <w:pPr>
              <w:ind w:left="340"/>
              <w:spacing w:after="0"/>
              <w:rPr>
                <w:sz w:val="20"/>
                <w:szCs w:val="20"/>
                <w:color w:val="auto"/>
              </w:rPr>
            </w:pPr>
            <w:r>
              <w:rPr>
                <w:rFonts w:ascii="Arial" w:cs="Arial" w:eastAsia="Arial" w:hAnsi="Arial"/>
                <w:sz w:val="18"/>
                <w:szCs w:val="18"/>
                <w:color w:val="auto"/>
              </w:rPr>
              <w:t>Liens</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6.03.</w:t>
            </w:r>
          </w:p>
        </w:tc>
        <w:tc>
          <w:tcPr>
            <w:tcW w:w="7400" w:type="dxa"/>
            <w:vAlign w:val="bottom"/>
          </w:tcPr>
          <w:p>
            <w:pPr>
              <w:ind w:left="340"/>
              <w:spacing w:after="0"/>
              <w:rPr>
                <w:sz w:val="20"/>
                <w:szCs w:val="20"/>
                <w:color w:val="auto"/>
              </w:rPr>
            </w:pPr>
            <w:r>
              <w:rPr>
                <w:rFonts w:ascii="Arial" w:cs="Arial" w:eastAsia="Arial" w:hAnsi="Arial"/>
                <w:sz w:val="18"/>
                <w:szCs w:val="18"/>
                <w:color w:val="auto"/>
              </w:rPr>
              <w:t>Fundamental Changes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6.04.</w:t>
            </w:r>
          </w:p>
        </w:tc>
        <w:tc>
          <w:tcPr>
            <w:tcW w:w="7400" w:type="dxa"/>
            <w:vAlign w:val="bottom"/>
          </w:tcPr>
          <w:p>
            <w:pPr>
              <w:ind w:left="340"/>
              <w:spacing w:after="0"/>
              <w:rPr>
                <w:sz w:val="20"/>
                <w:szCs w:val="20"/>
                <w:color w:val="auto"/>
              </w:rPr>
            </w:pPr>
            <w:r>
              <w:rPr>
                <w:rFonts w:ascii="Arial" w:cs="Arial" w:eastAsia="Arial" w:hAnsi="Arial"/>
                <w:sz w:val="18"/>
                <w:szCs w:val="18"/>
                <w:color w:val="auto"/>
              </w:rPr>
              <w:t>Investments, Loans, Advances, Guarantees and Acquisitions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6.05.</w:t>
            </w:r>
          </w:p>
        </w:tc>
        <w:tc>
          <w:tcPr>
            <w:tcW w:w="7400" w:type="dxa"/>
            <w:vAlign w:val="bottom"/>
          </w:tcPr>
          <w:p>
            <w:pPr>
              <w:ind w:left="340"/>
              <w:spacing w:after="0"/>
              <w:rPr>
                <w:sz w:val="20"/>
                <w:szCs w:val="20"/>
                <w:color w:val="auto"/>
              </w:rPr>
            </w:pPr>
            <w:r>
              <w:rPr>
                <w:rFonts w:ascii="Arial" w:cs="Arial" w:eastAsia="Arial" w:hAnsi="Arial"/>
                <w:sz w:val="18"/>
                <w:szCs w:val="18"/>
                <w:color w:val="auto"/>
              </w:rPr>
              <w:t>Asset Dispositions; Sale and Leaseback Transactions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6.06.</w:t>
            </w:r>
          </w:p>
        </w:tc>
        <w:tc>
          <w:tcPr>
            <w:tcW w:w="7400" w:type="dxa"/>
            <w:vAlign w:val="bottom"/>
          </w:tcPr>
          <w:p>
            <w:pPr>
              <w:ind w:left="340"/>
              <w:spacing w:after="0"/>
              <w:rPr>
                <w:sz w:val="20"/>
                <w:szCs w:val="20"/>
                <w:color w:val="auto"/>
              </w:rPr>
            </w:pPr>
            <w:r>
              <w:rPr>
                <w:rFonts w:ascii="Arial" w:cs="Arial" w:eastAsia="Arial" w:hAnsi="Arial"/>
                <w:sz w:val="18"/>
                <w:szCs w:val="18"/>
                <w:color w:val="auto"/>
              </w:rPr>
              <w:t>Swap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6.07.</w:t>
            </w:r>
          </w:p>
        </w:tc>
        <w:tc>
          <w:tcPr>
            <w:tcW w:w="7400" w:type="dxa"/>
            <w:vAlign w:val="bottom"/>
          </w:tcPr>
          <w:p>
            <w:pPr>
              <w:ind w:left="340"/>
              <w:spacing w:after="0"/>
              <w:rPr>
                <w:sz w:val="20"/>
                <w:szCs w:val="20"/>
                <w:color w:val="auto"/>
              </w:rPr>
            </w:pPr>
            <w:r>
              <w:rPr>
                <w:rFonts w:ascii="Arial" w:cs="Arial" w:eastAsia="Arial" w:hAnsi="Arial"/>
                <w:sz w:val="18"/>
                <w:szCs w:val="18"/>
                <w:color w:val="auto"/>
              </w:rPr>
              <w:t>Restricted Payments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6.08.</w:t>
            </w:r>
          </w:p>
        </w:tc>
        <w:tc>
          <w:tcPr>
            <w:tcW w:w="7400" w:type="dxa"/>
            <w:vAlign w:val="bottom"/>
          </w:tcPr>
          <w:p>
            <w:pPr>
              <w:ind w:left="340"/>
              <w:spacing w:after="0"/>
              <w:rPr>
                <w:sz w:val="20"/>
                <w:szCs w:val="20"/>
                <w:color w:val="auto"/>
              </w:rPr>
            </w:pPr>
            <w:r>
              <w:rPr>
                <w:rFonts w:ascii="Arial" w:cs="Arial" w:eastAsia="Arial" w:hAnsi="Arial"/>
                <w:sz w:val="18"/>
                <w:szCs w:val="18"/>
                <w:color w:val="auto"/>
              </w:rPr>
              <w:t>Transactions with Affiliates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6.09.</w:t>
            </w:r>
          </w:p>
        </w:tc>
        <w:tc>
          <w:tcPr>
            <w:tcW w:w="7400" w:type="dxa"/>
            <w:vAlign w:val="bottom"/>
          </w:tcPr>
          <w:p>
            <w:pPr>
              <w:ind w:left="340"/>
              <w:spacing w:after="0"/>
              <w:rPr>
                <w:sz w:val="20"/>
                <w:szCs w:val="20"/>
                <w:color w:val="auto"/>
              </w:rPr>
            </w:pPr>
            <w:r>
              <w:rPr>
                <w:rFonts w:ascii="Arial" w:cs="Arial" w:eastAsia="Arial" w:hAnsi="Arial"/>
                <w:sz w:val="18"/>
                <w:szCs w:val="18"/>
                <w:color w:val="auto"/>
              </w:rPr>
              <w:t>Restrictive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6.10.</w:t>
            </w:r>
          </w:p>
        </w:tc>
        <w:tc>
          <w:tcPr>
            <w:tcW w:w="7400" w:type="dxa"/>
            <w:vAlign w:val="bottom"/>
          </w:tcPr>
          <w:p>
            <w:pPr>
              <w:ind w:left="340"/>
              <w:spacing w:after="0"/>
              <w:rPr>
                <w:sz w:val="20"/>
                <w:szCs w:val="20"/>
                <w:color w:val="auto"/>
              </w:rPr>
            </w:pPr>
            <w:r>
              <w:rPr>
                <w:rFonts w:ascii="Arial" w:cs="Arial" w:eastAsia="Arial" w:hAnsi="Arial"/>
                <w:sz w:val="18"/>
                <w:szCs w:val="18"/>
                <w:color w:val="auto"/>
              </w:rPr>
              <w:t>Amendment of Material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6.11.</w:t>
            </w:r>
          </w:p>
        </w:tc>
        <w:tc>
          <w:tcPr>
            <w:tcW w:w="7400" w:type="dxa"/>
            <w:vAlign w:val="bottom"/>
          </w:tcPr>
          <w:p>
            <w:pPr>
              <w:ind w:left="340"/>
              <w:spacing w:after="0"/>
              <w:rPr>
                <w:sz w:val="20"/>
                <w:szCs w:val="20"/>
                <w:color w:val="auto"/>
              </w:rPr>
            </w:pPr>
            <w:r>
              <w:rPr>
                <w:rFonts w:ascii="Arial" w:cs="Arial" w:eastAsia="Arial" w:hAnsi="Arial"/>
                <w:sz w:val="18"/>
                <w:szCs w:val="18"/>
                <w:color w:val="auto"/>
              </w:rPr>
              <w:t>Financial Covenants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19"/>
                <w:szCs w:val="19"/>
                <w:color w:val="auto"/>
              </w:rPr>
            </w:pPr>
          </w:p>
        </w:tc>
        <w:tc>
          <w:tcPr>
            <w:tcW w:w="7400" w:type="dxa"/>
            <w:vAlign w:val="bottom"/>
          </w:tcPr>
          <w:p>
            <w:pPr>
              <w:jc w:val="center"/>
              <w:ind w:left="872"/>
              <w:spacing w:after="0"/>
              <w:rPr>
                <w:sz w:val="20"/>
                <w:szCs w:val="20"/>
                <w:color w:val="auto"/>
              </w:rPr>
            </w:pPr>
            <w:r>
              <w:rPr>
                <w:rFonts w:ascii="Arial" w:cs="Arial" w:eastAsia="Arial" w:hAnsi="Arial"/>
                <w:sz w:val="18"/>
                <w:szCs w:val="18"/>
                <w:color w:val="auto"/>
                <w:w w:val="99"/>
              </w:rPr>
              <w:t>ARTICLE VIII</w:t>
            </w:r>
          </w:p>
        </w:tc>
        <w:tc>
          <w:tcPr>
            <w:tcW w:w="2480" w:type="dxa"/>
            <w:vAlign w:val="bottom"/>
          </w:tcPr>
          <w:p>
            <w:pPr>
              <w:spacing w:after="0"/>
              <w:rPr>
                <w:sz w:val="19"/>
                <w:szCs w:val="19"/>
                <w:color w:val="auto"/>
              </w:rPr>
            </w:pPr>
          </w:p>
        </w:tc>
      </w:tr>
      <w:tr>
        <w:trPr>
          <w:trHeight w:val="324"/>
        </w:trPr>
        <w:tc>
          <w:tcPr>
            <w:tcW w:w="1540" w:type="dxa"/>
            <w:vAlign w:val="bottom"/>
          </w:tcPr>
          <w:p>
            <w:pPr>
              <w:spacing w:after="0"/>
              <w:rPr>
                <w:sz w:val="24"/>
                <w:szCs w:val="24"/>
                <w:color w:val="auto"/>
              </w:rPr>
            </w:pPr>
          </w:p>
        </w:tc>
        <w:tc>
          <w:tcPr>
            <w:tcW w:w="7400" w:type="dxa"/>
            <w:vAlign w:val="bottom"/>
          </w:tcPr>
          <w:p>
            <w:pPr>
              <w:jc w:val="center"/>
              <w:ind w:left="872"/>
              <w:spacing w:after="0"/>
              <w:rPr>
                <w:sz w:val="20"/>
                <w:szCs w:val="20"/>
                <w:color w:val="auto"/>
              </w:rPr>
            </w:pPr>
            <w:r>
              <w:rPr>
                <w:rFonts w:ascii="Arial" w:cs="Arial" w:eastAsia="Arial" w:hAnsi="Arial"/>
                <w:sz w:val="18"/>
                <w:szCs w:val="18"/>
                <w:color w:val="auto"/>
                <w:w w:val="91"/>
              </w:rPr>
              <w:t>The Administrative Agent</w:t>
            </w:r>
          </w:p>
        </w:tc>
        <w:tc>
          <w:tcPr>
            <w:tcW w:w="2480" w:type="dxa"/>
            <w:vAlign w:val="bottom"/>
          </w:tcPr>
          <w:p>
            <w:pPr>
              <w:spacing w:after="0"/>
              <w:rPr>
                <w:sz w:val="24"/>
                <w:szCs w:val="24"/>
                <w:color w:val="auto"/>
              </w:rPr>
            </w:pPr>
          </w:p>
        </w:tc>
      </w:tr>
      <w:tr>
        <w:trPr>
          <w:trHeight w:val="324"/>
        </w:trPr>
        <w:tc>
          <w:tcPr>
            <w:tcW w:w="1540" w:type="dxa"/>
            <w:vAlign w:val="bottom"/>
          </w:tcPr>
          <w:p>
            <w:pPr>
              <w:spacing w:after="0"/>
              <w:rPr>
                <w:sz w:val="24"/>
                <w:szCs w:val="24"/>
                <w:color w:val="auto"/>
              </w:rPr>
            </w:pPr>
          </w:p>
        </w:tc>
        <w:tc>
          <w:tcPr>
            <w:tcW w:w="7400" w:type="dxa"/>
            <w:vAlign w:val="bottom"/>
          </w:tcPr>
          <w:p>
            <w:pPr>
              <w:jc w:val="center"/>
              <w:ind w:left="872"/>
              <w:spacing w:after="0"/>
              <w:rPr>
                <w:sz w:val="20"/>
                <w:szCs w:val="20"/>
                <w:color w:val="auto"/>
              </w:rPr>
            </w:pPr>
            <w:r>
              <w:rPr>
                <w:rFonts w:ascii="Arial" w:cs="Arial" w:eastAsia="Arial" w:hAnsi="Arial"/>
                <w:sz w:val="18"/>
                <w:szCs w:val="18"/>
                <w:color w:val="auto"/>
                <w:w w:val="97"/>
              </w:rPr>
              <w:t>ARTICLE IX</w:t>
            </w:r>
          </w:p>
        </w:tc>
        <w:tc>
          <w:tcPr>
            <w:tcW w:w="2480" w:type="dxa"/>
            <w:vAlign w:val="bottom"/>
          </w:tcPr>
          <w:p>
            <w:pPr>
              <w:spacing w:after="0"/>
              <w:rPr>
                <w:sz w:val="24"/>
                <w:szCs w:val="24"/>
                <w:color w:val="auto"/>
              </w:rPr>
            </w:pPr>
          </w:p>
        </w:tc>
      </w:tr>
      <w:tr>
        <w:trPr>
          <w:trHeight w:val="324"/>
        </w:trPr>
        <w:tc>
          <w:tcPr>
            <w:tcW w:w="1540" w:type="dxa"/>
            <w:vAlign w:val="bottom"/>
          </w:tcPr>
          <w:p>
            <w:pPr>
              <w:spacing w:after="0"/>
              <w:rPr>
                <w:sz w:val="24"/>
                <w:szCs w:val="24"/>
                <w:color w:val="auto"/>
              </w:rPr>
            </w:pPr>
          </w:p>
        </w:tc>
        <w:tc>
          <w:tcPr>
            <w:tcW w:w="7400" w:type="dxa"/>
            <w:vAlign w:val="bottom"/>
          </w:tcPr>
          <w:p>
            <w:pPr>
              <w:jc w:val="center"/>
              <w:ind w:left="852"/>
              <w:spacing w:after="0"/>
              <w:rPr>
                <w:sz w:val="20"/>
                <w:szCs w:val="20"/>
                <w:color w:val="auto"/>
              </w:rPr>
            </w:pPr>
            <w:r>
              <w:rPr>
                <w:rFonts w:ascii="Arial" w:cs="Arial" w:eastAsia="Arial" w:hAnsi="Arial"/>
                <w:sz w:val="18"/>
                <w:szCs w:val="18"/>
                <w:color w:val="auto"/>
                <w:w w:val="89"/>
              </w:rPr>
              <w:t>Miscellaneous</w:t>
            </w:r>
          </w:p>
        </w:tc>
        <w:tc>
          <w:tcPr>
            <w:tcW w:w="2480" w:type="dxa"/>
            <w:vAlign w:val="bottom"/>
          </w:tcPr>
          <w:p>
            <w:pPr>
              <w:spacing w:after="0"/>
              <w:rPr>
                <w:sz w:val="24"/>
                <w:szCs w:val="24"/>
                <w:color w:val="auto"/>
              </w:rPr>
            </w:pPr>
          </w:p>
        </w:tc>
      </w:tr>
      <w:tr>
        <w:trPr>
          <w:trHeight w:val="318"/>
        </w:trPr>
        <w:tc>
          <w:tcPr>
            <w:tcW w:w="1540" w:type="dxa"/>
            <w:vAlign w:val="bottom"/>
          </w:tcPr>
          <w:p>
            <w:pPr>
              <w:spacing w:after="0"/>
              <w:rPr>
                <w:sz w:val="20"/>
                <w:szCs w:val="20"/>
                <w:color w:val="auto"/>
              </w:rPr>
            </w:pPr>
            <w:r>
              <w:rPr>
                <w:rFonts w:ascii="Arial" w:cs="Arial" w:eastAsia="Arial" w:hAnsi="Arial"/>
                <w:sz w:val="18"/>
                <w:szCs w:val="18"/>
                <w:color w:val="auto"/>
              </w:rPr>
              <w:t>SECTION 9.01.</w:t>
            </w:r>
          </w:p>
        </w:tc>
        <w:tc>
          <w:tcPr>
            <w:tcW w:w="7400" w:type="dxa"/>
            <w:vAlign w:val="bottom"/>
          </w:tcPr>
          <w:p>
            <w:pPr>
              <w:ind w:left="30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9.02.</w:t>
            </w:r>
          </w:p>
        </w:tc>
        <w:tc>
          <w:tcPr>
            <w:tcW w:w="740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2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9.03.</w:t>
            </w:r>
          </w:p>
        </w:tc>
        <w:tc>
          <w:tcPr>
            <w:tcW w:w="740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9.04.</w:t>
            </w:r>
          </w:p>
        </w:tc>
        <w:tc>
          <w:tcPr>
            <w:tcW w:w="740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9.05.</w:t>
            </w:r>
          </w:p>
        </w:tc>
        <w:tc>
          <w:tcPr>
            <w:tcW w:w="74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9.06.</w:t>
            </w:r>
          </w:p>
        </w:tc>
        <w:tc>
          <w:tcPr>
            <w:tcW w:w="7400" w:type="dxa"/>
            <w:vAlign w:val="bottom"/>
          </w:tcPr>
          <w:p>
            <w:pPr>
              <w:ind w:left="300"/>
              <w:spacing w:after="0"/>
              <w:rPr>
                <w:sz w:val="20"/>
                <w:szCs w:val="20"/>
                <w:color w:val="auto"/>
              </w:rPr>
            </w:pPr>
            <w:r>
              <w:rPr>
                <w:rFonts w:ascii="Arial" w:cs="Arial" w:eastAsia="Arial" w:hAnsi="Arial"/>
                <w:sz w:val="18"/>
                <w:szCs w:val="18"/>
                <w:color w:val="auto"/>
              </w:rPr>
              <w:t>Counterparts; Integration; Effectiveness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9.07.</w:t>
            </w:r>
          </w:p>
        </w:tc>
        <w:tc>
          <w:tcPr>
            <w:tcW w:w="740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9.08.</w:t>
            </w:r>
          </w:p>
        </w:tc>
        <w:tc>
          <w:tcPr>
            <w:tcW w:w="740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9.09.</w:t>
            </w:r>
          </w:p>
        </w:tc>
        <w:tc>
          <w:tcPr>
            <w:tcW w:w="7400" w:type="dxa"/>
            <w:vAlign w:val="bottom"/>
          </w:tcPr>
          <w:p>
            <w:pPr>
              <w:ind w:left="300"/>
              <w:spacing w:after="0"/>
              <w:rPr>
                <w:sz w:val="20"/>
                <w:szCs w:val="20"/>
                <w:color w:val="auto"/>
              </w:rPr>
            </w:pPr>
            <w:r>
              <w:rPr>
                <w:rFonts w:ascii="Arial" w:cs="Arial" w:eastAsia="Arial" w:hAnsi="Arial"/>
                <w:sz w:val="18"/>
                <w:szCs w:val="18"/>
                <w:color w:val="auto"/>
              </w:rPr>
              <w:t>Governing Law; Jurisdiction; Consent to Service of Process</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9.10.</w:t>
            </w:r>
          </w:p>
        </w:tc>
        <w:tc>
          <w:tcPr>
            <w:tcW w:w="740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9.11.</w:t>
            </w:r>
          </w:p>
        </w:tc>
        <w:tc>
          <w:tcPr>
            <w:tcW w:w="7400" w:type="dxa"/>
            <w:vAlign w:val="bottom"/>
          </w:tcPr>
          <w:p>
            <w:pPr>
              <w:ind w:left="30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9.12.</w:t>
            </w:r>
          </w:p>
        </w:tc>
        <w:tc>
          <w:tcPr>
            <w:tcW w:w="740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9.13.</w:t>
            </w:r>
          </w:p>
        </w:tc>
        <w:tc>
          <w:tcPr>
            <w:tcW w:w="7400" w:type="dxa"/>
            <w:vAlign w:val="bottom"/>
          </w:tcPr>
          <w:p>
            <w:pPr>
              <w:ind w:left="300"/>
              <w:spacing w:after="0"/>
              <w:rPr>
                <w:sz w:val="20"/>
                <w:szCs w:val="20"/>
                <w:color w:val="auto"/>
              </w:rPr>
            </w:pPr>
            <w:r>
              <w:rPr>
                <w:rFonts w:ascii="Arial" w:cs="Arial" w:eastAsia="Arial" w:hAnsi="Arial"/>
                <w:sz w:val="18"/>
                <w:szCs w:val="18"/>
                <w:color w:val="auto"/>
              </w:rPr>
              <w:t>Several Obligations; Nonreliance; Violation of Law</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9.14.</w:t>
            </w:r>
          </w:p>
        </w:tc>
        <w:tc>
          <w:tcPr>
            <w:tcW w:w="740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9.15.</w:t>
            </w:r>
          </w:p>
        </w:tc>
        <w:tc>
          <w:tcPr>
            <w:tcW w:w="740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9.16.</w:t>
            </w:r>
          </w:p>
        </w:tc>
        <w:tc>
          <w:tcPr>
            <w:tcW w:w="7400" w:type="dxa"/>
            <w:vAlign w:val="bottom"/>
          </w:tcPr>
          <w:p>
            <w:pPr>
              <w:ind w:left="300"/>
              <w:spacing w:after="0"/>
              <w:rPr>
                <w:sz w:val="20"/>
                <w:szCs w:val="20"/>
                <w:color w:val="auto"/>
              </w:rPr>
            </w:pPr>
            <w:r>
              <w:rPr>
                <w:rFonts w:ascii="Arial" w:cs="Arial" w:eastAsia="Arial" w:hAnsi="Arial"/>
                <w:sz w:val="18"/>
                <w:szCs w:val="18"/>
                <w:color w:val="auto"/>
              </w:rPr>
              <w:t>Appointment for Perfection</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SECTION 9.17.</w:t>
            </w:r>
          </w:p>
        </w:tc>
        <w:tc>
          <w:tcPr>
            <w:tcW w:w="740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540" w:type="dxa"/>
            <w:vAlign w:val="bottom"/>
          </w:tcPr>
          <w:p>
            <w:pPr>
              <w:spacing w:after="0"/>
              <w:rPr>
                <w:sz w:val="24"/>
                <w:szCs w:val="24"/>
                <w:color w:val="auto"/>
              </w:rPr>
            </w:pPr>
          </w:p>
        </w:tc>
        <w:tc>
          <w:tcPr>
            <w:tcW w:w="7400" w:type="dxa"/>
            <w:vAlign w:val="bottom"/>
          </w:tcPr>
          <w:p>
            <w:pPr>
              <w:jc w:val="center"/>
              <w:ind w:left="852"/>
              <w:spacing w:after="0"/>
              <w:rPr>
                <w:sz w:val="20"/>
                <w:szCs w:val="20"/>
                <w:color w:val="auto"/>
              </w:rPr>
            </w:pPr>
            <w:r>
              <w:rPr>
                <w:rFonts w:ascii="Arial" w:cs="Arial" w:eastAsia="Arial" w:hAnsi="Arial"/>
                <w:sz w:val="18"/>
                <w:szCs w:val="18"/>
                <w:color w:val="auto"/>
                <w:w w:val="96"/>
              </w:rPr>
              <w:t>ARTICLE X</w:t>
            </w:r>
          </w:p>
        </w:tc>
        <w:tc>
          <w:tcPr>
            <w:tcW w:w="2480" w:type="dxa"/>
            <w:vAlign w:val="bottom"/>
          </w:tcPr>
          <w:p>
            <w:pPr>
              <w:spacing w:after="0"/>
              <w:rPr>
                <w:sz w:val="24"/>
                <w:szCs w:val="24"/>
                <w:color w:val="auto"/>
              </w:rPr>
            </w:pPr>
          </w:p>
        </w:tc>
      </w:tr>
      <w:tr>
        <w:trPr>
          <w:trHeight w:val="324"/>
        </w:trPr>
        <w:tc>
          <w:tcPr>
            <w:tcW w:w="1540" w:type="dxa"/>
            <w:vAlign w:val="bottom"/>
          </w:tcPr>
          <w:p>
            <w:pPr>
              <w:spacing w:after="0"/>
              <w:rPr>
                <w:sz w:val="24"/>
                <w:szCs w:val="24"/>
                <w:color w:val="auto"/>
              </w:rPr>
            </w:pPr>
          </w:p>
        </w:tc>
        <w:tc>
          <w:tcPr>
            <w:tcW w:w="7400" w:type="dxa"/>
            <w:vAlign w:val="bottom"/>
          </w:tcPr>
          <w:p>
            <w:pPr>
              <w:jc w:val="center"/>
              <w:ind w:left="852"/>
              <w:spacing w:after="0"/>
              <w:rPr>
                <w:sz w:val="20"/>
                <w:szCs w:val="20"/>
                <w:color w:val="auto"/>
              </w:rPr>
            </w:pPr>
            <w:r>
              <w:rPr>
                <w:rFonts w:ascii="Arial" w:cs="Arial" w:eastAsia="Arial" w:hAnsi="Arial"/>
                <w:sz w:val="18"/>
                <w:szCs w:val="18"/>
                <w:color w:val="auto"/>
                <w:w w:val="88"/>
              </w:rPr>
              <w:t>Loan Guaranty</w:t>
            </w:r>
          </w:p>
        </w:tc>
        <w:tc>
          <w:tcPr>
            <w:tcW w:w="2480" w:type="dxa"/>
            <w:vAlign w:val="bottom"/>
          </w:tcPr>
          <w:p>
            <w:pPr>
              <w:spacing w:after="0"/>
              <w:rPr>
                <w:sz w:val="24"/>
                <w:szCs w:val="24"/>
                <w:color w:val="auto"/>
              </w:rPr>
            </w:pPr>
          </w:p>
        </w:tc>
      </w:tr>
      <w:tr>
        <w:trPr>
          <w:trHeight w:val="318"/>
        </w:trPr>
        <w:tc>
          <w:tcPr>
            <w:tcW w:w="1540" w:type="dxa"/>
            <w:vAlign w:val="bottom"/>
          </w:tcPr>
          <w:p>
            <w:pPr>
              <w:spacing w:after="0"/>
              <w:rPr>
                <w:sz w:val="20"/>
                <w:szCs w:val="20"/>
                <w:color w:val="auto"/>
              </w:rPr>
            </w:pPr>
            <w:r>
              <w:rPr>
                <w:rFonts w:ascii="Arial" w:cs="Arial" w:eastAsia="Arial" w:hAnsi="Arial"/>
                <w:sz w:val="18"/>
                <w:szCs w:val="18"/>
                <w:color w:val="auto"/>
              </w:rPr>
              <w:t>SECTION 10.01.</w:t>
            </w:r>
          </w:p>
        </w:tc>
        <w:tc>
          <w:tcPr>
            <w:tcW w:w="7400" w:type="dxa"/>
            <w:vAlign w:val="bottom"/>
          </w:tcPr>
          <w:p>
            <w:pPr>
              <w:ind w:left="300"/>
              <w:spacing w:after="0"/>
              <w:rPr>
                <w:sz w:val="20"/>
                <w:szCs w:val="20"/>
                <w:color w:val="auto"/>
              </w:rPr>
            </w:pPr>
            <w:r>
              <w:rPr>
                <w:rFonts w:ascii="Arial" w:cs="Arial" w:eastAsia="Arial" w:hAnsi="Arial"/>
                <w:sz w:val="18"/>
                <w:szCs w:val="18"/>
                <w:color w:val="auto"/>
              </w:rPr>
              <w:t>Guaranty</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10.02.</w:t>
            </w:r>
          </w:p>
        </w:tc>
        <w:tc>
          <w:tcPr>
            <w:tcW w:w="7400" w:type="dxa"/>
            <w:vAlign w:val="bottom"/>
          </w:tcPr>
          <w:p>
            <w:pPr>
              <w:ind w:left="300"/>
              <w:spacing w:after="0"/>
              <w:rPr>
                <w:sz w:val="20"/>
                <w:szCs w:val="20"/>
                <w:color w:val="auto"/>
              </w:rPr>
            </w:pPr>
            <w:r>
              <w:rPr>
                <w:rFonts w:ascii="Arial" w:cs="Arial" w:eastAsia="Arial" w:hAnsi="Arial"/>
                <w:sz w:val="18"/>
                <w:szCs w:val="18"/>
                <w:color w:val="auto"/>
              </w:rPr>
              <w:t>Guaranty of Payment</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10.03.</w:t>
            </w:r>
          </w:p>
        </w:tc>
        <w:tc>
          <w:tcPr>
            <w:tcW w:w="7400" w:type="dxa"/>
            <w:vAlign w:val="bottom"/>
          </w:tcPr>
          <w:p>
            <w:pPr>
              <w:ind w:left="300"/>
              <w:spacing w:after="0"/>
              <w:rPr>
                <w:sz w:val="20"/>
                <w:szCs w:val="20"/>
                <w:color w:val="auto"/>
              </w:rPr>
            </w:pPr>
            <w:r>
              <w:rPr>
                <w:rFonts w:ascii="Arial" w:cs="Arial" w:eastAsia="Arial" w:hAnsi="Arial"/>
                <w:sz w:val="18"/>
                <w:szCs w:val="18"/>
                <w:color w:val="auto"/>
              </w:rPr>
              <w:t>No Discharge or Diminishment of Loan Guaranty</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10.04.</w:t>
            </w:r>
          </w:p>
        </w:tc>
        <w:tc>
          <w:tcPr>
            <w:tcW w:w="7400" w:type="dxa"/>
            <w:vAlign w:val="bottom"/>
          </w:tcPr>
          <w:p>
            <w:pPr>
              <w:ind w:left="300"/>
              <w:spacing w:after="0"/>
              <w:rPr>
                <w:sz w:val="20"/>
                <w:szCs w:val="20"/>
                <w:color w:val="auto"/>
              </w:rPr>
            </w:pPr>
            <w:r>
              <w:rPr>
                <w:rFonts w:ascii="Arial" w:cs="Arial" w:eastAsia="Arial" w:hAnsi="Arial"/>
                <w:sz w:val="18"/>
                <w:szCs w:val="18"/>
                <w:color w:val="auto"/>
              </w:rPr>
              <w:t>Defenses Waived</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10.05.</w:t>
            </w:r>
          </w:p>
        </w:tc>
        <w:tc>
          <w:tcPr>
            <w:tcW w:w="7400" w:type="dxa"/>
            <w:vAlign w:val="bottom"/>
          </w:tcPr>
          <w:p>
            <w:pPr>
              <w:ind w:left="300"/>
              <w:spacing w:after="0"/>
              <w:rPr>
                <w:sz w:val="20"/>
                <w:szCs w:val="20"/>
                <w:color w:val="auto"/>
              </w:rPr>
            </w:pPr>
            <w:r>
              <w:rPr>
                <w:rFonts w:ascii="Arial" w:cs="Arial" w:eastAsia="Arial" w:hAnsi="Arial"/>
                <w:sz w:val="18"/>
                <w:szCs w:val="18"/>
                <w:color w:val="auto"/>
              </w:rPr>
              <w:t>Rights of Subrogation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10.06.</w:t>
            </w:r>
          </w:p>
        </w:tc>
        <w:tc>
          <w:tcPr>
            <w:tcW w:w="7400" w:type="dxa"/>
            <w:vAlign w:val="bottom"/>
          </w:tcPr>
          <w:p>
            <w:pPr>
              <w:ind w:left="300"/>
              <w:spacing w:after="0"/>
              <w:rPr>
                <w:sz w:val="20"/>
                <w:szCs w:val="20"/>
                <w:color w:val="auto"/>
              </w:rPr>
            </w:pPr>
            <w:r>
              <w:rPr>
                <w:rFonts w:ascii="Arial" w:cs="Arial" w:eastAsia="Arial" w:hAnsi="Arial"/>
                <w:sz w:val="18"/>
                <w:szCs w:val="18"/>
                <w:color w:val="auto"/>
              </w:rPr>
              <w:t>Reinstatement; Stay of Acceleration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10.07.</w:t>
            </w:r>
          </w:p>
        </w:tc>
        <w:tc>
          <w:tcPr>
            <w:tcW w:w="7400" w:type="dxa"/>
            <w:vAlign w:val="bottom"/>
          </w:tcPr>
          <w:p>
            <w:pPr>
              <w:ind w:left="300"/>
              <w:spacing w:after="0"/>
              <w:rPr>
                <w:sz w:val="20"/>
                <w:szCs w:val="20"/>
                <w:color w:val="auto"/>
              </w:rPr>
            </w:pPr>
            <w:r>
              <w:rPr>
                <w:rFonts w:ascii="Arial" w:cs="Arial" w:eastAsia="Arial" w:hAnsi="Arial"/>
                <w:sz w:val="18"/>
                <w:szCs w:val="18"/>
                <w:color w:val="auto"/>
              </w:rPr>
              <w:t>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10.08.</w:t>
            </w:r>
          </w:p>
        </w:tc>
        <w:tc>
          <w:tcPr>
            <w:tcW w:w="7400" w:type="dxa"/>
            <w:vAlign w:val="bottom"/>
          </w:tcPr>
          <w:p>
            <w:pPr>
              <w:ind w:left="300"/>
              <w:spacing w:after="0"/>
              <w:rPr>
                <w:sz w:val="20"/>
                <w:szCs w:val="20"/>
                <w:color w:val="auto"/>
              </w:rPr>
            </w:pPr>
            <w:r>
              <w:rPr>
                <w:rFonts w:ascii="Arial" w:cs="Arial" w:eastAsia="Arial" w:hAnsi="Arial"/>
                <w:sz w:val="18"/>
                <w:szCs w:val="18"/>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10.09.</w:t>
            </w:r>
          </w:p>
        </w:tc>
        <w:tc>
          <w:tcPr>
            <w:tcW w:w="7400" w:type="dxa"/>
            <w:vAlign w:val="bottom"/>
          </w:tcPr>
          <w:p>
            <w:pPr>
              <w:ind w:left="30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10.10.</w:t>
            </w:r>
          </w:p>
        </w:tc>
        <w:tc>
          <w:tcPr>
            <w:tcW w:w="7400" w:type="dxa"/>
            <w:vAlign w:val="bottom"/>
          </w:tcPr>
          <w:p>
            <w:pPr>
              <w:ind w:left="300"/>
              <w:spacing w:after="0"/>
              <w:rPr>
                <w:sz w:val="20"/>
                <w:szCs w:val="20"/>
                <w:color w:val="auto"/>
              </w:rPr>
            </w:pPr>
            <w:r>
              <w:rPr>
                <w:rFonts w:ascii="Arial" w:cs="Arial" w:eastAsia="Arial" w:hAnsi="Arial"/>
                <w:sz w:val="18"/>
                <w:szCs w:val="18"/>
                <w:color w:val="auto"/>
              </w:rPr>
              <w:t>Maximum Liability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10.11.</w:t>
            </w:r>
          </w:p>
        </w:tc>
        <w:tc>
          <w:tcPr>
            <w:tcW w:w="7400" w:type="dxa"/>
            <w:vAlign w:val="bottom"/>
          </w:tcPr>
          <w:p>
            <w:pPr>
              <w:ind w:left="300"/>
              <w:spacing w:after="0"/>
              <w:rPr>
                <w:sz w:val="20"/>
                <w:szCs w:val="20"/>
                <w:color w:val="auto"/>
              </w:rPr>
            </w:pPr>
            <w:r>
              <w:rPr>
                <w:rFonts w:ascii="Arial" w:cs="Arial" w:eastAsia="Arial" w:hAnsi="Arial"/>
                <w:sz w:val="18"/>
                <w:szCs w:val="18"/>
                <w:color w:val="auto"/>
              </w:rPr>
              <w:t>Contribution</w:t>
            </w: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SECTION 10.12.</w:t>
            </w:r>
          </w:p>
        </w:tc>
        <w:tc>
          <w:tcPr>
            <w:tcW w:w="7400" w:type="dxa"/>
            <w:vAlign w:val="bottom"/>
          </w:tcPr>
          <w:p>
            <w:pPr>
              <w:ind w:left="300"/>
              <w:spacing w:after="0"/>
              <w:rPr>
                <w:sz w:val="20"/>
                <w:szCs w:val="20"/>
                <w:color w:val="auto"/>
              </w:rPr>
            </w:pPr>
            <w:r>
              <w:rPr>
                <w:rFonts w:ascii="Arial" w:cs="Arial" w:eastAsia="Arial" w:hAnsi="Arial"/>
                <w:sz w:val="18"/>
                <w:szCs w:val="18"/>
                <w:color w:val="auto"/>
              </w:rPr>
              <w:t>Liability Cumulative</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Commitment Schedule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1.01 — Subordination Terms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3.12 — Capitalization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6.01 — Existing 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6.02 — Existing Liens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6.04 — Existing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6.08 — Transactions with Affiliates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6.09 — Restrictive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Schedule 6.10 — BPO Conversion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Compliance Certificate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C — Joinder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Solvency Certificate</w:t>
      </w:r>
    </w:p>
    <w:p>
      <w:pPr>
        <w:spacing w:after="0" w:line="15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415" w:right="1440" w:bottom="1440" w:gutter="0" w:footer="0" w:header="0"/>
        </w:sectPr>
      </w:pPr>
    </w:p>
    <w:bookmarkStart w:id="44" w:name="page45"/>
    <w:bookmarkEnd w:id="44"/>
    <w:p>
      <w:pPr>
        <w:ind w:left="9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94"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CREDIT AGREEMENT dated as of May 26, 2011 (as it may be amended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EXLSERVICE HOLDINGS, INC., as Borrower, the other Loan Parties party hereto, the Lenders party hereto, the Issuing Banks party hereto, JPMORGAN CHASE BANK, N.A., as Administrative Agent, and JPMORGAN CHASE BANK, N.A. and CITIBANK, N.A., as Co-Lead Arrangers.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parties hereto agree as follows:</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provided that the applicable Loan Party is the surviving entity.</w:t>
      </w:r>
    </w:p>
    <w:p>
      <w:pPr>
        <w:spacing w:after="0" w:line="113" w:lineRule="exact"/>
        <w:rPr>
          <w:sz w:val="20"/>
          <w:szCs w:val="20"/>
          <w:color w:val="auto"/>
        </w:rPr>
      </w:pPr>
    </w:p>
    <w:p>
      <w:pPr>
        <w:ind w:right="1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LIBO Rate</w:t>
      </w:r>
      <w:r>
        <w:rPr>
          <w:rFonts w:ascii="Arial" w:cs="Arial" w:eastAsia="Arial" w:hAnsi="Arial"/>
          <w:sz w:val="15"/>
          <w:szCs w:val="15"/>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 its capacity as administrative agent for the Lenders 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Credit Exposure</w:t>
      </w:r>
      <w:r>
        <w:rPr>
          <w:rFonts w:ascii="Arial" w:cs="Arial" w:eastAsia="Arial" w:hAnsi="Arial"/>
          <w:sz w:val="18"/>
          <w:szCs w:val="18"/>
          <w:color w:val="auto"/>
        </w:rPr>
        <w:t>” means, at any time, the aggregate Credit Exposure of all the Lenders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w:t>
      </w:r>
    </w:p>
    <w:p>
      <w:pPr>
        <w:spacing w:after="0" w:line="171" w:lineRule="exact"/>
        <w:rPr>
          <w:sz w:val="20"/>
          <w:szCs w:val="20"/>
          <w:color w:val="auto"/>
        </w:rPr>
      </w:pPr>
    </w:p>
    <w:p>
      <w:pPr>
        <w:jc w:val="both"/>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Federal Funds Effective Rate in effect on such day plus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of 1% and (c) the Adjusted LIBO Rate for a one month Interest Period on such day (or if such day is not a Business Day, the immediately preceding Business Day) plus 1%, provided that, for the avoidance of doubt, the Adjusted LIBO Rate for any day shall be based on the rate appearing on the Reuters Screen</w:t>
      </w:r>
    </w:p>
    <w:p>
      <w:pPr>
        <w:sectPr>
          <w:pgSz w:w="11900" w:h="16838" w:orient="portrait"/>
          <w:cols w:equalWidth="0" w:num="1">
            <w:col w:w="11420"/>
          </w:cols>
          <w:pgMar w:left="240" w:top="415" w:right="239" w:bottom="1440" w:gutter="0" w:footer="0" w:header="0"/>
        </w:sectPr>
      </w:pPr>
    </w:p>
    <w:bookmarkStart w:id="45" w:name="page46"/>
    <w:bookmarkEnd w:id="45"/>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LIBOR01 Page (or on any successor or substitute page) at approximately 11:00 a.m. London time on such day (without any rounding).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0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Percentage</w:t>
      </w:r>
      <w:r>
        <w:rPr>
          <w:rFonts w:ascii="Arial" w:cs="Arial" w:eastAsia="Arial" w:hAnsi="Arial"/>
          <w:sz w:val="15"/>
          <w:szCs w:val="15"/>
          <w:color w:val="auto"/>
        </w:rPr>
        <w:t>”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Percentages shall be determined based upon such Lender’s share of the Aggregate Credit Exposure at that time); provided that in the case of Section 2.20 when a Defaulting Lender shall exist, any such Defaulting Lender’s Commitment shall be disregarded in the calculation, and</w:t>
      </w:r>
    </w:p>
    <w:p>
      <w:pPr>
        <w:spacing w:after="0" w:line="3" w:lineRule="exact"/>
        <w:rPr>
          <w:sz w:val="20"/>
          <w:szCs w:val="20"/>
          <w:color w:val="auto"/>
        </w:rPr>
      </w:pPr>
    </w:p>
    <w:p>
      <w:pPr>
        <w:ind w:right="200" w:firstLine="8"/>
        <w:spacing w:after="0" w:line="361" w:lineRule="auto"/>
        <w:tabs>
          <w:tab w:leader="none" w:pos="249"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with respect to the Aggregate Credit Exposure, a percentage based upon its share of the Aggregate Credit Exposure and the unused Commitments; provided that in the case of Section 2.20 when a Defaulting Lender shall exist, any such Defaulting Lender’s Commitment shall be disregarded in the calculation.</w:t>
      </w:r>
    </w:p>
    <w:p>
      <w:pPr>
        <w:spacing w:after="0" w:line="69"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with respect to any ABR Loan or Eurodollar Loan, or with respect to the commitment fees payable hereunder, as the case may be, the applicable rate per annum set forth below under the caption “ABR Spread”, “Eurodollar Spread” or “Commitment Fee Rate”, as the case may be, based upon the Borrower’s Leverage Ratio as of the most recent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delivery to the Administrative Agent, pursuant to Section 5.01, of the Borrower’s consolidated financial information for the Borrower’s first fiscal quarter ending after the Effective Date, the “Applicable Rate” shall be the applicable rate per annum set forth below in Category 3:</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20" w:type="dxa"/>
            <w:vAlign w:val="bottom"/>
            <w:gridSpan w:val="2"/>
          </w:tcPr>
          <w:p>
            <w:pPr>
              <w:jc w:val="center"/>
              <w:ind w:right="1832"/>
              <w:spacing w:after="0"/>
              <w:rPr>
                <w:sz w:val="20"/>
                <w:szCs w:val="20"/>
                <w:color w:val="auto"/>
              </w:rPr>
            </w:pPr>
            <w:r>
              <w:rPr>
                <w:rFonts w:ascii="Arial" w:cs="Arial" w:eastAsia="Arial" w:hAnsi="Arial"/>
                <w:sz w:val="14"/>
                <w:szCs w:val="14"/>
                <w:color w:val="auto"/>
                <w:w w:val="90"/>
              </w:rPr>
              <w:t>Eurodollar</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ABR Spread</w:t>
            </w:r>
          </w:p>
        </w:tc>
        <w:tc>
          <w:tcPr>
            <w:tcW w:w="2620" w:type="dxa"/>
            <w:vAlign w:val="bottom"/>
            <w:gridSpan w:val="2"/>
          </w:tcPr>
          <w:p>
            <w:pPr>
              <w:jc w:val="center"/>
              <w:ind w:right="1832"/>
              <w:spacing w:after="0" w:line="149" w:lineRule="exact"/>
              <w:rPr>
                <w:sz w:val="20"/>
                <w:szCs w:val="20"/>
                <w:color w:val="auto"/>
              </w:rPr>
            </w:pPr>
            <w:r>
              <w:rPr>
                <w:rFonts w:ascii="Arial" w:cs="Arial" w:eastAsia="Arial" w:hAnsi="Arial"/>
                <w:sz w:val="14"/>
                <w:szCs w:val="14"/>
                <w:color w:val="auto"/>
                <w:w w:val="84"/>
              </w:rPr>
              <w:t>Spread</w:t>
            </w:r>
          </w:p>
        </w:tc>
        <w:tc>
          <w:tcPr>
            <w:tcW w:w="14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w w:val="85"/>
              </w:rPr>
              <w:t>Commitment Fee Rate</w:t>
            </w:r>
          </w:p>
        </w:tc>
      </w:tr>
      <w:tr>
        <w:trPr>
          <w:trHeight w:val="159"/>
        </w:trPr>
        <w:tc>
          <w:tcPr>
            <w:tcW w:w="2940" w:type="dxa"/>
            <w:vAlign w:val="bottom"/>
            <w:gridSpan w:val="4"/>
          </w:tcPr>
          <w:p>
            <w:pPr>
              <w:jc w:val="center"/>
              <w:ind w:right="1680"/>
              <w:spacing w:after="0" w:line="159" w:lineRule="exact"/>
              <w:rPr>
                <w:sz w:val="20"/>
                <w:szCs w:val="20"/>
                <w:color w:val="auto"/>
              </w:rPr>
            </w:pPr>
            <w:r>
              <w:rPr>
                <w:rFonts w:ascii="Arial" w:cs="Arial" w:eastAsia="Arial" w:hAnsi="Arial"/>
                <w:sz w:val="14"/>
                <w:szCs w:val="14"/>
                <w:color w:val="auto"/>
                <w:w w:val="86"/>
              </w:rPr>
              <w:t>Leverage Ratio</w:t>
            </w:r>
          </w:p>
        </w:tc>
        <w:tc>
          <w:tcPr>
            <w:tcW w:w="2600" w:type="dxa"/>
            <w:vAlign w:val="bottom"/>
            <w:gridSpan w:val="2"/>
          </w:tcPr>
          <w:p>
            <w:pPr>
              <w:spacing w:after="0" w:line="159" w:lineRule="exact"/>
              <w:rPr>
                <w:sz w:val="20"/>
                <w:szCs w:val="20"/>
                <w:color w:val="auto"/>
              </w:rPr>
            </w:pPr>
            <w:r>
              <w:rPr>
                <w:rFonts w:ascii="Arial" w:cs="Arial" w:eastAsia="Arial" w:hAnsi="Arial"/>
                <w:sz w:val="14"/>
                <w:szCs w:val="14"/>
                <w:color w:val="auto"/>
              </w:rPr>
              <w:t>(Per Annum)</w:t>
            </w:r>
          </w:p>
        </w:tc>
        <w:tc>
          <w:tcPr>
            <w:tcW w:w="2620" w:type="dxa"/>
            <w:vAlign w:val="bottom"/>
            <w:gridSpan w:val="2"/>
          </w:tcPr>
          <w:p>
            <w:pPr>
              <w:jc w:val="center"/>
              <w:ind w:right="1832"/>
              <w:spacing w:after="0" w:line="159" w:lineRule="exact"/>
              <w:rPr>
                <w:sz w:val="20"/>
                <w:szCs w:val="20"/>
                <w:color w:val="auto"/>
              </w:rPr>
            </w:pPr>
            <w:r>
              <w:rPr>
                <w:rFonts w:ascii="Arial" w:cs="Arial" w:eastAsia="Arial" w:hAnsi="Arial"/>
                <w:sz w:val="14"/>
                <w:szCs w:val="14"/>
                <w:color w:val="auto"/>
                <w:w w:val="88"/>
              </w:rPr>
              <w:t>(Per Annum)</w:t>
            </w:r>
          </w:p>
        </w:tc>
        <w:tc>
          <w:tcPr>
            <w:tcW w:w="142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(Per Annum)</w:t>
            </w:r>
          </w:p>
        </w:tc>
      </w:tr>
      <w:tr>
        <w:trPr>
          <w:trHeight w:val="169"/>
        </w:trPr>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Category 1</w:t>
            </w: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7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0.50</w:t>
            </w:r>
          </w:p>
        </w:tc>
        <w:tc>
          <w:tcPr>
            <w:tcW w:w="1900" w:type="dxa"/>
            <w:vAlign w:val="bottom"/>
            <w:tcBorders>
              <w:top w:val="single" w:sz="8" w:color="CCEEFF"/>
              <w:bottom w:val="single" w:sz="8" w:color="CCEEFF"/>
            </w:tcBorders>
            <w:shd w:val="clear" w:color="auto" w:fill="CCEEFF"/>
          </w:tcPr>
          <w:p>
            <w:pPr>
              <w:jc w:val="right"/>
              <w:ind w:right="1672"/>
              <w:spacing w:after="0" w:line="170" w:lineRule="exact"/>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2.50</w:t>
            </w:r>
          </w:p>
        </w:tc>
        <w:tc>
          <w:tcPr>
            <w:tcW w:w="1920" w:type="dxa"/>
            <w:vAlign w:val="bottom"/>
            <w:tcBorders>
              <w:top w:val="single" w:sz="8" w:color="CCEEFF"/>
              <w:bottom w:val="single" w:sz="8" w:color="CCEEFF"/>
            </w:tcBorders>
            <w:shd w:val="clear" w:color="auto" w:fill="CCEEFF"/>
          </w:tcPr>
          <w:p>
            <w:pPr>
              <w:jc w:val="right"/>
              <w:ind w:right="1672"/>
              <w:spacing w:after="0" w:line="170" w:lineRule="exact"/>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0.450</w:t>
            </w:r>
          </w:p>
        </w:tc>
        <w:tc>
          <w:tcPr>
            <w:tcW w:w="2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250"/>
        </w:trPr>
        <w:tc>
          <w:tcPr>
            <w:tcW w:w="2940" w:type="dxa"/>
            <w:vAlign w:val="bottom"/>
            <w:gridSpan w:val="4"/>
            <w:shd w:val="clear" w:color="auto" w:fill="CCEEFF"/>
          </w:tcPr>
          <w:p>
            <w:pPr>
              <w:jc w:val="center"/>
              <w:ind w:right="1680"/>
              <w:spacing w:after="0"/>
              <w:rPr>
                <w:sz w:val="20"/>
                <w:szCs w:val="20"/>
                <w:color w:val="auto"/>
              </w:rPr>
            </w:pPr>
            <w:r>
              <w:rPr>
                <w:rFonts w:ascii="Arial" w:cs="Arial" w:eastAsia="Arial" w:hAnsi="Arial"/>
                <w:sz w:val="18"/>
                <w:szCs w:val="18"/>
                <w:color w:val="auto"/>
                <w:w w:val="88"/>
              </w:rPr>
              <w:t>&gt; 1.50 to 1.00</w:t>
            </w:r>
          </w:p>
        </w:tc>
        <w:tc>
          <w:tcPr>
            <w:tcW w:w="7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84"/>
        </w:trPr>
        <w:tc>
          <w:tcPr>
            <w:tcW w:w="2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Category 2</w:t>
            </w:r>
          </w:p>
        </w:tc>
        <w:tc>
          <w:tcPr>
            <w:tcW w:w="1920" w:type="dxa"/>
            <w:vAlign w:val="bottom"/>
            <w:gridSpan w:val="2"/>
          </w:tcPr>
          <w:p>
            <w:pPr>
              <w:spacing w:after="0"/>
              <w:rPr>
                <w:sz w:val="24"/>
                <w:szCs w:val="24"/>
                <w:color w:val="auto"/>
              </w:rPr>
            </w:pPr>
          </w:p>
        </w:tc>
        <w:tc>
          <w:tcPr>
            <w:tcW w:w="2600" w:type="dxa"/>
            <w:vAlign w:val="bottom"/>
            <w:gridSpan w:val="2"/>
          </w:tcPr>
          <w:p>
            <w:pPr>
              <w:jc w:val="right"/>
              <w:ind w:right="1672"/>
              <w:spacing w:after="0"/>
              <w:rPr>
                <w:sz w:val="20"/>
                <w:szCs w:val="20"/>
                <w:color w:val="auto"/>
              </w:rPr>
            </w:pPr>
            <w:r>
              <w:rPr>
                <w:rFonts w:ascii="Arial" w:cs="Arial" w:eastAsia="Arial" w:hAnsi="Arial"/>
                <w:sz w:val="18"/>
                <w:szCs w:val="18"/>
                <w:color w:val="auto"/>
              </w:rPr>
              <w:t>0.25%</w:t>
            </w:r>
          </w:p>
        </w:tc>
        <w:tc>
          <w:tcPr>
            <w:tcW w:w="2620" w:type="dxa"/>
            <w:vAlign w:val="bottom"/>
            <w:gridSpan w:val="2"/>
          </w:tcPr>
          <w:p>
            <w:pPr>
              <w:jc w:val="right"/>
              <w:ind w:right="1672"/>
              <w:spacing w:after="0"/>
              <w:rPr>
                <w:sz w:val="20"/>
                <w:szCs w:val="20"/>
                <w:color w:val="auto"/>
              </w:rPr>
            </w:pPr>
            <w:r>
              <w:rPr>
                <w:rFonts w:ascii="Arial" w:cs="Arial" w:eastAsia="Arial" w:hAnsi="Arial"/>
                <w:sz w:val="18"/>
                <w:szCs w:val="18"/>
                <w:color w:val="auto"/>
              </w:rPr>
              <w:t>2.25%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0.375%</w:t>
            </w:r>
          </w:p>
        </w:tc>
      </w:tr>
    </w:tbl>
    <w:p>
      <w:pPr>
        <w:spacing w:after="0" w:line="19" w:lineRule="exact"/>
        <w:rPr>
          <w:sz w:val="20"/>
          <w:szCs w:val="20"/>
          <w:color w:val="auto"/>
        </w:rPr>
      </w:pPr>
    </w:p>
    <w:p>
      <w:pPr>
        <w:ind w:left="1060" w:right="9260" w:hanging="132"/>
        <w:spacing w:after="0" w:line="370" w:lineRule="auto"/>
        <w:tabs>
          <w:tab w:leader="none" w:pos="1063" w:val="left"/>
        </w:tabs>
        <w:numPr>
          <w:ilvl w:val="0"/>
          <w:numId w:val="13"/>
        </w:numPr>
        <w:rPr>
          <w:rFonts w:ascii="Arial" w:cs="Arial" w:eastAsia="Arial" w:hAnsi="Arial"/>
          <w:sz w:val="15"/>
          <w:szCs w:val="15"/>
          <w:color w:val="auto"/>
        </w:rPr>
      </w:pPr>
      <w:r>
        <w:rPr>
          <w:rFonts w:ascii="Arial" w:cs="Arial" w:eastAsia="Arial" w:hAnsi="Arial"/>
          <w:sz w:val="15"/>
          <w:szCs w:val="15"/>
          <w:color w:val="auto"/>
        </w:rPr>
        <w:t>1.50 to 1.00 but &gt; 1.00 to 1.00</w:t>
      </w:r>
    </w:p>
    <w:tbl>
      <w:tblPr>
        <w:tblLayout w:type="fixed"/>
        <w:tblInd w:w="1160" w:type="dxa"/>
        <w:tblCellMar>
          <w:top w:w="0" w:type="dxa"/>
          <w:left w:w="0" w:type="dxa"/>
          <w:bottom w:w="0" w:type="dxa"/>
          <w:right w:w="0" w:type="dxa"/>
        </w:tblCellMar>
      </w:tblPr>
      <w:tr>
        <w:trPr>
          <w:trHeight w:val="206"/>
        </w:trPr>
        <w:tc>
          <w:tcPr>
            <w:tcW w:w="7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w w:val="86"/>
              </w:rPr>
              <w:t>Category 3</w:t>
            </w:r>
          </w:p>
        </w:tc>
        <w:tc>
          <w:tcPr>
            <w:tcW w:w="3840" w:type="dxa"/>
            <w:vAlign w:val="bottom"/>
          </w:tcPr>
          <w:p>
            <w:pPr>
              <w:jc w:val="right"/>
              <w:ind w:right="992"/>
              <w:spacing w:after="0" w:line="206" w:lineRule="exact"/>
              <w:rPr>
                <w:sz w:val="20"/>
                <w:szCs w:val="20"/>
                <w:color w:val="auto"/>
              </w:rPr>
            </w:pPr>
            <w:r>
              <w:rPr>
                <w:rFonts w:ascii="Arial" w:cs="Arial" w:eastAsia="Arial" w:hAnsi="Arial"/>
                <w:sz w:val="18"/>
                <w:szCs w:val="18"/>
                <w:color w:val="auto"/>
              </w:rPr>
              <w:t>0.00%</w:t>
            </w:r>
          </w:p>
        </w:tc>
        <w:tc>
          <w:tcPr>
            <w:tcW w:w="2820" w:type="dxa"/>
            <w:vAlign w:val="bottom"/>
          </w:tcPr>
          <w:p>
            <w:pPr>
              <w:jc w:val="right"/>
              <w:ind w:right="1192"/>
              <w:spacing w:after="0" w:line="206" w:lineRule="exact"/>
              <w:rPr>
                <w:sz w:val="20"/>
                <w:szCs w:val="20"/>
                <w:color w:val="auto"/>
              </w:rPr>
            </w:pPr>
            <w:r>
              <w:rPr>
                <w:rFonts w:ascii="Arial" w:cs="Arial" w:eastAsia="Arial" w:hAnsi="Arial"/>
                <w:sz w:val="18"/>
                <w:szCs w:val="18"/>
                <w:color w:val="auto"/>
              </w:rPr>
              <w:t>2.00%</w:t>
            </w:r>
          </w:p>
        </w:tc>
        <w:tc>
          <w:tcPr>
            <w:tcW w:w="1840" w:type="dxa"/>
            <w:vAlign w:val="bottom"/>
          </w:tcPr>
          <w:p>
            <w:pPr>
              <w:jc w:val="right"/>
              <w:spacing w:after="0" w:line="206" w:lineRule="exact"/>
              <w:rPr>
                <w:sz w:val="20"/>
                <w:szCs w:val="20"/>
                <w:color w:val="auto"/>
              </w:rPr>
            </w:pPr>
            <w:r>
              <w:rPr>
                <w:rFonts w:ascii="Arial" w:cs="Arial" w:eastAsia="Arial" w:hAnsi="Arial"/>
                <w:sz w:val="18"/>
                <w:szCs w:val="18"/>
                <w:color w:val="auto"/>
              </w:rPr>
              <w:t>0.350%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0125" cy="28321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color w:val="auto"/>
        </w:rPr>
        <w:t>£ 1.00 to 1.00</w:t>
      </w:r>
    </w:p>
    <w:p>
      <w:pPr>
        <w:spacing w:after="0" w:line="1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For purposes of the foregoing, (a) the Applicable Rate shall be determined as of the end of each fiscal quarter of the Borrower based upon the Borrower’s annual or quarterly consolidated financial statements delivered pursuant to Section 5.01 and (b) each change in the Applicable Rate resulting from a change in the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Leverage Ratio shall be deemed to be in Category 1 at the option of the Administrative Agent or at the request of the Required Lenders if the Borrower fails to deliver the annual or quarterly consolidated financial statements required to be delivered by it pursuant to Section 5.01, during the period from the expiration of the time for delivery thereof until such consolidated financial statements are delivered.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6" w:name="page47"/>
    <w:bookmarkEnd w:id="46"/>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32"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xml:space="preserve">” means, at any time, the aggregate Commitments of all Lenders then in effect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Aggregate Credit Exposure at such time.</w:t>
      </w:r>
    </w:p>
    <w:p>
      <w:pPr>
        <w:spacing w:after="0" w:line="132"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by any Lender or any of its Affiliates: (a) credit cards for commercial customers (including, without limitation, “commercial credit cards” and purchasing cards), (b) stored value cards and (c) treasury management services (including, without limitation, controlled disbursement, automated clearinghouse transactions, return items, overdrafts and interstate depository network services).</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 but excluding any Swap Obligations.</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ExlService Holdings, Inc., a Delaware corporation.</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converted or continued on the same date and, in the case of Eurodollar Loans, as to which a single Interest Period is in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2.02.</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4" w:right="239" w:bottom="1440" w:gutter="0" w:footer="0" w:header="0"/>
        </w:sectPr>
      </w:pPr>
    </w:p>
    <w:bookmarkStart w:id="47" w:name="page48"/>
    <w:bookmarkEnd w:id="47"/>
    <w:p>
      <w:pPr>
        <w:ind w:right="2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without duplication, any expenditure for any purchase or other acquisition of any asset which would be classified as a fixed or capital asset on a consolidated balance sheet of the Borrower and its Subsidiaries prepared in accordance with GAAP. Notwithstanding the foregoing, Capital Expenditures shall not include, without duplication: (a) the consideration for any Permitted Acquisition, or any increase in fixed or capital assets on such consolidated balance sheet attributable to Permitted Acquisitions, (b) capital expenditures to the extent financed with the proceeds of any casualty insurance claim or condemnation proceeding or any asset sale permitted hereunder, (c) capital expenditures to the extent financed with Indebtedness (other than the Loans and Letters of Credit) permitted hereunder, (d) capital expenditures to the extent financed with the proceeds of the issuance of Equity Interests by the Borrower or any of its Subsidiaries permitted hereunder so long as, and to the extent that, prior to such issuance the Borrower or such Subsidiary expressly designates in a written statement to the Administrative Agent that the proceeds thereof will be used for capital expenditures, and (e) any such expenditures to the extent the Borrower has received reimbursement in cash from a third party other than the Borrower or one or more of its Subsidiaries (such as, for example, a landlord or a seller of assets pursuant to a Permitted Acquisition) and for which none of the Borrower or any of its Subsidiaries has provided or is required to provide any specific consideration to such third party or other person for such reimbursements.</w:t>
      </w:r>
    </w:p>
    <w:p>
      <w:pPr>
        <w:spacing w:after="0" w:line="127"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solely with respect to any change in GAAP after the Effective Date with respect to the accounting for leases as either operating leases or capital leases, any lease that at the time it is entered into is not (or would not be) a capital lease under GAAP as then in effect shall not be treated as a capital lease notwithstanding any such later change in GAAP.</w:t>
      </w:r>
    </w:p>
    <w:p>
      <w:pPr>
        <w:spacing w:after="0" w:line="120" w:lineRule="exact"/>
        <w:rPr>
          <w:sz w:val="20"/>
          <w:szCs w:val="20"/>
          <w:color w:val="auto"/>
        </w:rPr>
      </w:pPr>
    </w:p>
    <w:p>
      <w:pPr>
        <w:ind w:right="120" w:firstLine="91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(i) other than Permitted Holders, Equity Interests representing more than 35% of the aggregate ordinary voting power represented by the issued and outstanding Equity Interests of the Borrower, or (ii) other than the Oak Hill Parties, Equity Interests representing more than 50% of the aggregate ordinary voting power represented by the issued and outstanding Equity Interests of the Borrower, or (b) the occupation of a majority of the seats (other than vacant seats) on the board of directors of the Borrower by Persons who were neither (i) nominated by the board of directors of the Borrower nor (ii) appointed by directors so nominated.</w:t>
      </w:r>
    </w:p>
    <w:p>
      <w:pPr>
        <w:spacing w:after="0" w:line="10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(including any rules or regulations issued under or implementing any existing law) after the date of this Agreement, (b) any change in any law, rule or regulation or in the interpretation or application thereof by any Governmental Authority after the date of this Agreement or (c) compliance by any Lender or any Issuing Bank (or, for purposes of Section 2.15(b), by any lending office of such Lender or by such Lender’s or such Issuing Bank’s holding company, if any) with any request, guideline or directive (whether or not having the force of law) of any Governmental Authority made or issued after the date of this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Chase</w:t>
      </w:r>
      <w:r>
        <w:rPr>
          <w:rFonts w:ascii="Arial" w:cs="Arial" w:eastAsia="Arial" w:hAnsi="Arial"/>
          <w:sz w:val="18"/>
          <w:szCs w:val="18"/>
          <w:color w:val="auto"/>
        </w:rPr>
        <w:t>” means JPMorgan Chase Bank, N.A., a national banking association, in its individual capacity, and its successors.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“Closing Date Lender” means each of Chase and Citibank, 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4" w:right="239" w:bottom="1440" w:gutter="0" w:footer="0" w:header="0"/>
        </w:sectPr>
      </w:pPr>
    </w:p>
    <w:bookmarkStart w:id="48" w:name="page49"/>
    <w:bookmarkEnd w:id="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Co-Lead Arrangers</w:t>
      </w:r>
      <w:r>
        <w:rPr>
          <w:rFonts w:ascii="Arial" w:cs="Arial" w:eastAsia="Arial" w:hAnsi="Arial"/>
          <w:sz w:val="18"/>
          <w:szCs w:val="18"/>
          <w:color w:val="auto"/>
        </w:rPr>
        <w:t>” means JPMorgan Chase Bank, N.A. and Citibank, N.A. in their capacities as co-lead arrangers 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given to “Collateral” in the Security Agreement.</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and any other documents granting a Lien upon the Collateral as security for payment of the Secured Obligations.</w:t>
      </w:r>
    </w:p>
    <w:p>
      <w:pPr>
        <w:spacing w:after="0" w:line="13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commitment, if any, of such Lender to make Loans and to acquire participations in Letters of Credit hereunder, expressed as an amount representing the maximum possible aggregate amount of such Lender’s Credit Exposure hereunder, as such commitment may be reduced or increased from time to time pursuant to (a) Section 2.09 and (b) assignments by or to such Lender pursuant to Section 9.04. The initial amount of each Lender’s Commitment is set forth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or in the Assignment and Assumption pursuant to which such Lender shall have assumed its Commitment, as applicable. The initial aggregate amount of the Lenders’ Commitments is $50,000,000.</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Schedule attached hereto identified as such.</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means, with respect to any Lender at any time, the sum of the outstanding principal amount of such Lender’s Loans and its LC Exposure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or any Lender.</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4" w:right="239" w:bottom="1440" w:gutter="0" w:footer="0" w:header="0"/>
        </w:sectPr>
      </w:pPr>
    </w:p>
    <w:bookmarkStart w:id="49" w:name="page50"/>
    <w:bookmarkEnd w:id="49"/>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for any period, the sum of:</w:t>
      </w:r>
    </w:p>
    <w:p>
      <w:pPr>
        <w:spacing w:after="0" w:line="171" w:lineRule="exact"/>
        <w:rPr>
          <w:sz w:val="20"/>
          <w:szCs w:val="20"/>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Net Income for such period; </w:t>
      </w:r>
      <w:r>
        <w:rPr>
          <w:rFonts w:ascii="Arial" w:cs="Arial" w:eastAsia="Arial" w:hAnsi="Arial"/>
          <w:sz w:val="18"/>
          <w:szCs w:val="18"/>
          <w:i w:val="1"/>
          <w:iCs w:val="1"/>
          <w:u w:val="single" w:color="auto"/>
          <w:color w:val="auto"/>
        </w:rPr>
        <w:t>plus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without duplication and to the extent deducted in determining Net Income for such period, the sum of:</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Interest Expense for such period;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federal, state, local and foreign income tax expense for such period;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amounts attributable to depreciation and amortization expense for such period;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amortization of intangibles (including, but not limited to, goodwill) for such period;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extraordinary non-cash charges, expenses or losses for such period;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non-cash compensation expenses, including as a result of any grant of equity or options to employees, officers, directors or contractors;</w:t>
      </w:r>
    </w:p>
    <w:p>
      <w:pPr>
        <w:spacing w:after="0" w:line="113" w:lineRule="exact"/>
        <w:rPr>
          <w:rFonts w:ascii="Arial" w:cs="Arial" w:eastAsia="Arial" w:hAnsi="Arial"/>
          <w:sz w:val="16"/>
          <w:szCs w:val="16"/>
          <w:color w:val="auto"/>
        </w:rPr>
      </w:pPr>
    </w:p>
    <w:p>
      <w:pPr>
        <w:ind w:left="1680" w:hanging="339"/>
        <w:spacing w:after="0"/>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costs and expenses incurred on or prior to the Effective Date with respect to the Transactions;</w:t>
      </w:r>
    </w:p>
    <w:p>
      <w:pPr>
        <w:spacing w:after="0" w:line="90" w:lineRule="exact"/>
        <w:rPr>
          <w:rFonts w:ascii="Arial" w:cs="Arial" w:eastAsia="Arial" w:hAnsi="Arial"/>
          <w:sz w:val="18"/>
          <w:szCs w:val="18"/>
          <w:color w:val="auto"/>
        </w:rPr>
      </w:pPr>
    </w:p>
    <w:p>
      <w:pPr>
        <w:ind w:left="920" w:right="260" w:firstLine="421"/>
        <w:spacing w:after="0" w:line="332" w:lineRule="auto"/>
        <w:tabs>
          <w:tab w:leader="none" w:pos="173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expenses, charges and losses incurred in such period and which are reimbursed in cash during such period by Persons (other than the Borrower and its Subsidiaries) so long as such payments were not added in determining Net Income for such period;</w:t>
      </w:r>
    </w:p>
    <w:p>
      <w:pPr>
        <w:spacing w:after="0" w:line="4" w:lineRule="exact"/>
        <w:rPr>
          <w:rFonts w:ascii="Arial" w:cs="Arial" w:eastAsia="Arial" w:hAnsi="Arial"/>
          <w:sz w:val="16"/>
          <w:szCs w:val="16"/>
          <w:color w:val="auto"/>
        </w:rPr>
      </w:pPr>
    </w:p>
    <w:p>
      <w:pPr>
        <w:ind w:left="920" w:right="60" w:firstLine="421"/>
        <w:spacing w:after="0" w:line="256" w:lineRule="auto"/>
        <w:tabs>
          <w:tab w:leader="none" w:pos="16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non-recurring fees, costs and expenses directly incurred during such period in connection with any of the following which are attempted, whether or not consummated: any Permitted Acquisition (including the Permitted Omega Acquisition) and any related debt or equity offering undertaken in connection therewith (in respect of which all or substantially all of the proceeds are intended to be used to pay the cash consideration for such Permitted Acquisition);</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non-cash purchase accounting adjustments made during such period;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proceeds of business interruption insurance received during such period;</w:t>
      </w:r>
    </w:p>
    <w:p>
      <w:pPr>
        <w:spacing w:after="0" w:line="90" w:lineRule="exact"/>
        <w:rPr>
          <w:rFonts w:ascii="Arial" w:cs="Arial" w:eastAsia="Arial" w:hAnsi="Arial"/>
          <w:sz w:val="18"/>
          <w:szCs w:val="18"/>
          <w:color w:val="auto"/>
        </w:rPr>
      </w:pPr>
    </w:p>
    <w:p>
      <w:pPr>
        <w:ind w:left="1680" w:hanging="339"/>
        <w:spacing w:after="0"/>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unrealized losses on financial derivatives recognized in such period in accordance with SFAS No. 133;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334" w:right="339" w:bottom="1440" w:gutter="0" w:footer="0" w:header="0"/>
        </w:sectPr>
      </w:pPr>
    </w:p>
    <w:bookmarkStart w:id="50" w:name="page51"/>
    <w:bookmarkEnd w:id="50"/>
    <w:p>
      <w:pPr>
        <w:ind w:left="920" w:right="180" w:firstLine="421"/>
        <w:spacing w:after="0" w:line="268" w:lineRule="auto"/>
        <w:tabs>
          <w:tab w:leader="none" w:pos="173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write-off or amortization made in such period of deferred financing costs or any write-down of assets or asset value carried on the balance sheet of the Borrower or any of its Subsidiaries;</w:t>
      </w:r>
    </w:p>
    <w:p>
      <w:pPr>
        <w:spacing w:after="0" w:line="50" w:lineRule="exact"/>
        <w:rPr>
          <w:rFonts w:ascii="Arial" w:cs="Arial" w:eastAsia="Arial" w:hAnsi="Arial"/>
          <w:sz w:val="18"/>
          <w:szCs w:val="18"/>
          <w:color w:val="auto"/>
        </w:rPr>
      </w:pPr>
    </w:p>
    <w:p>
      <w:pPr>
        <w:ind w:left="920" w:right="640" w:firstLine="421"/>
        <w:spacing w:after="0" w:line="268" w:lineRule="auto"/>
        <w:tabs>
          <w:tab w:leader="none" w:pos="17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restructuring charges incurred during such period (determined in accordance with GAAP) in connection with any Permitted Acquisition; and</w:t>
      </w:r>
    </w:p>
    <w:p>
      <w:pPr>
        <w:spacing w:after="0" w:line="50" w:lineRule="exact"/>
        <w:rPr>
          <w:rFonts w:ascii="Arial" w:cs="Arial" w:eastAsia="Arial" w:hAnsi="Arial"/>
          <w:sz w:val="18"/>
          <w:szCs w:val="18"/>
          <w:color w:val="auto"/>
        </w:rPr>
      </w:pPr>
    </w:p>
    <w:p>
      <w:pPr>
        <w:ind w:left="920" w:firstLine="421"/>
        <w:spacing w:after="0" w:line="268" w:lineRule="auto"/>
        <w:tabs>
          <w:tab w:leader="none" w:pos="16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other non-cash charges for such period (but excluding any non-cash charge in respect of an item that was included in Net Income in a prior period); </w:t>
      </w:r>
      <w:r>
        <w:rPr>
          <w:rFonts w:ascii="Arial" w:cs="Arial" w:eastAsia="Arial" w:hAnsi="Arial"/>
          <w:sz w:val="18"/>
          <w:szCs w:val="18"/>
          <w:i w:val="1"/>
          <w:iCs w:val="1"/>
          <w:u w:val="single" w:color="auto"/>
          <w:color w:val="auto"/>
        </w:rPr>
        <w:t>minus</w:t>
      </w:r>
    </w:p>
    <w:p>
      <w:pPr>
        <w:spacing w:after="0" w:line="132" w:lineRule="exact"/>
        <w:rPr>
          <w:sz w:val="20"/>
          <w:szCs w:val="20"/>
          <w:color w:val="auto"/>
        </w:rPr>
      </w:pPr>
    </w:p>
    <w:p>
      <w:pPr>
        <w:ind w:right="340" w:firstLine="921"/>
        <w:spacing w:after="0" w:line="332"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Net Income, (i) any cash payments made during such period in respect of non-cash charges described in clause (a)(xv) taken in a prior period and (ii) any extraordinary gains and any non-cash items of income for such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calculated for the Borrower and its Subsidiaries on a consolidated basis in accordance with GAAP.</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on which the conditions specified in Section 4.01 are satisfied (or waived in accordance with Section 9.02).</w:t>
      </w:r>
    </w:p>
    <w:p>
      <w:pPr>
        <w:spacing w:after="0" w:line="194"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employee health and safety matters.</w:t>
      </w:r>
    </w:p>
    <w:p>
      <w:pPr>
        <w:spacing w:after="0" w:line="107" w:lineRule="exact"/>
        <w:rPr>
          <w:sz w:val="20"/>
          <w:szCs w:val="20"/>
          <w:color w:val="auto"/>
        </w:rPr>
      </w:pPr>
    </w:p>
    <w:p>
      <w:pPr>
        <w:jc w:val="both"/>
        <w:ind w:right="24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w:t>
      </w:r>
    </w:p>
    <w:p>
      <w:pPr>
        <w:ind w:right="60" w:firstLine="8"/>
        <w:spacing w:after="0" w:line="255"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4"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414(b), (c), (m) or (o) of the Code.</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make any “minimum required contribution” (as defined in Section 430(a) of the Code) with respect to any Plan, at the time and in the amount provided for in Section 430 of the Code; (c) the filing pursuant to Section 412(d) of the Code or Section 303(d) of ERISA</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51" w:name="page52"/>
    <w:bookmarkEnd w:id="5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4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any Issuing Bank or any other recipient of any payment to be made by or on account of any obligation of the Borrower hereunder,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in respect of any Lender other than a Foreign Lender, any United States backup withholding Taxes resulting from a Law in effect on the date such Lender becomes a party to this Agreement or designates a new lending office, (c) any branch profits taxes imposed by the United States of America or any similar tax imposed by any other jurisdiction in which the Borrower is located, (d) in the case of a Foreign Lender (other than an assignee pursuant to a request by a Borrower under Section 2.19(b)), any withholding tax that is imposed on amounts payable to such Foreign Lender at the time such Foreign Lender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Section 2.17(a), (e) in the case of a Foreign Lender, any withholding tax that is imposed on amounts payable to such Foreign Lender that is attributable to such Foreign Lender’s failure to comply with Section 2.17(f) and (f) and any withholding tax imposed on such Foreign Lender as a result of such Foreign Lender’s failure to comply with Sections 1471 through 1474 of the Code, or any applicable Treasury regulation promulgated thereunder or published administrative guidance implementing such law.</w:t>
      </w:r>
    </w:p>
    <w:p>
      <w:pPr>
        <w:spacing w:after="0" w:line="12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means the covenants set forth in Section 6.11.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2" w:name="page53"/>
    <w:bookmarkEnd w:id="52"/>
    <w:p>
      <w:pPr>
        <w:ind w:right="3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with reference to any period, without duplication, cash Interest Expense,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scheduled principal payments on Funded Indebtedness made during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expense for income taxes paid in cash (net of any cash refund in respect of income taxes actually received by the Borrower or any of its Subsidiaries during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Restricted Payments paid in cash, all calculated for the Borrower and its Subsidiaries on a consolidated basis.</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for any period, the ratio of (a) EBITDA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Capital Expenditures to (b) Fixed Charges, all calculated for the Borrower and its Subsidiaries on a consolidated basis in accordance with GAAP.</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8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Indebtedness</w:t>
      </w:r>
      <w:r>
        <w:rPr>
          <w:rFonts w:ascii="Arial" w:cs="Arial" w:eastAsia="Arial" w:hAnsi="Arial"/>
          <w:sz w:val="16"/>
          <w:szCs w:val="16"/>
          <w:color w:val="auto"/>
        </w:rPr>
        <w:t>” means, with respect to any Person and without duplication, (i) all Indebtedness of such Person of the types referred to in clauses (a), (b), (c), (d) (other than the portion thereof consisting of contingent or unliquidated earn-outs), (g) and (j) of the definition of “Indebtedness” in this Section 1.01, (ii) all Indebtedness of others of the type referred to in clause (i) of this definition secured by (or for which the holder of such Indebtedness has an existing right, contingent or otherwise, to be secured by) a Lien on, or payable out of the proceeds of production from, any property or asset of such Person, whether or not the obligations secured thereby have been assumed by such Person and (iii) all Guarantees of such Person with respect to Indebtedness of others of the type referred to in clause (i) of this definition. The Funded Indebtedness of any Person shall include the Funded Indebtedness of any other entity (including any partnership in which such Person is a general partner) to the extent such Person is liable therefor as a result of such Person’s ownership interest in or other relationship with such entity, except to the extent the terms of such Funded Indebtedness provide that such Person is not liable therefor.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of any of the foregoing,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34" w:right="25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assigned to such term in Section 10.01.</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right="120" w:firstLine="913"/>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w:t>
      </w:r>
    </w:p>
    <w:p>
      <w:pPr>
        <w:spacing w:after="0" w:line="5" w:lineRule="exact"/>
        <w:rPr>
          <w:sz w:val="20"/>
          <w:szCs w:val="20"/>
          <w:color w:val="auto"/>
        </w:rPr>
      </w:pPr>
    </w:p>
    <w:p>
      <w:pPr>
        <w:ind w:right="160" w:firstLine="8"/>
        <w:spacing w:after="0" w:line="253"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in respect of bankers’ acceptances, (j) obligations under any liquidated earn-out, (k) any other Off-Balance Sheet Liability and (l) any Swap Obligations to the extent required to be reflected as a liability on a balance sheet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Borrowing in accordance with Section 2.08.</w:t>
      </w:r>
    </w:p>
    <w:p>
      <w:pPr>
        <w:spacing w:after="0" w:line="17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first Business Day of each January, April, July and October to occur while such Loan is outstanding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1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Eurodollar Borrowing, the period commencing on the date of such Borrowing and ending on the numerically corresponding day in the calendar month that is one, two, three or six months, or, if available to all Lenders, nine or twelve months thereafter,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Interest Period would end on a day other than a Business Day, such Interest Period shall be extended to the next succeeding Business Day unless,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34" w:right="279" w:bottom="1440" w:gutter="0" w:footer="0" w:header="0"/>
        </w:sectPr>
      </w:pPr>
    </w:p>
    <w:bookmarkStart w:id="54" w:name="page55"/>
    <w:bookmarkEnd w:id="5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Eurodollar Borrowing only,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16"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(a) Chase, in its capacity as an issuer of Letters of Credit hereunder, and its successors in such capacity, and (b) Citibank, N.A., in its capacity as an issuer of Letters of Credit hereunder, and its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has the meaning assigned to such term in Section 5.09.</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at such time plus (b) the aggregate amount of all LC Disbursements relating to Letters of Credit that have not yet been reimbursed by or on behalf of the Borrower at such time. The LC Exposure of any Lender at any time shall be its Applicable Percentage of the total LC Exposure at such time.</w:t>
      </w:r>
    </w:p>
    <w:p>
      <w:pPr>
        <w:spacing w:after="0" w:line="140"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the Persons listed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means, as of any date, the ratio of (a) Total Funded Indebtedness on such date to (b) EBITDA for the period of four consecutive fiscal quarters ended on such date (or, if such date is not the last day of a fiscal quarter, ended on the last day of the fiscal quarter most recently ended prior to such date). For the purposes of calculating the Leverage Ratio for any period of four consecutive fiscal quarters (each,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Borrower or any Subsidiary shall have made any sale, transfer, or disposition of property, EBITDA for such Reference Period shall be reduced by an amount equal to the EBITDA (if positive) attributable to the property that is the subject of such sale, transfer, or disposition, as applicable, for such Reference Period or increased by an amount equal to the EBITDA (if negative) attributable thereto for such Reference Period, and (ii) if during such Reference Period the Borrower or any of its Subsidiaries shall have made a Permitted Acquisition for which the EBITDA attributable to the acquired Person or assets in connection therewith for the most recently ended four consecutive fiscal quarter period is greater than $5,000,000, EBITDA for such Reference Period shall be calculated after giving effect thereto on a pro forma basis as if such Permitted Acquisition occurred on the first day of such Reference Period.</w:t>
      </w:r>
    </w:p>
    <w:p>
      <w:pPr>
        <w:spacing w:after="0" w:line="12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Eurodollar Borrowing for any Interest Period, the rate appearing on Reuters Screen LIBOR01 Page (or on any successor or substitute page of such Service, or any successor to or substitute for such Service, providing rate quotations comparable to those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5" w:name="page56"/>
    <w:bookmarkEnd w:id="5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currently provided on such page of such Service, as reasonably determined by the Administrative Agent from time to time for purposes of providing quotations of interest rates applicable to dollar deposits in the London interbank market) at approximately 11:00 a.m., London time, two Business Days prior to the commencement of such Interest Period, as the rate for dollar deposits with a maturity comparable to such Interest Period. In the event that such rate is not available at such time for any reason, then the “</w:t>
      </w:r>
      <w:r>
        <w:rPr>
          <w:rFonts w:ascii="Arial" w:cs="Arial" w:eastAsia="Arial" w:hAnsi="Arial"/>
          <w:sz w:val="18"/>
          <w:szCs w:val="18"/>
          <w:u w:val="single" w:color="auto"/>
          <w:color w:val="auto"/>
        </w:rPr>
        <w:t>LIBO Rate</w:t>
      </w:r>
      <w:r>
        <w:rPr>
          <w:rFonts w:ascii="Arial" w:cs="Arial" w:eastAsia="Arial" w:hAnsi="Arial"/>
          <w:sz w:val="18"/>
          <w:szCs w:val="18"/>
          <w:color w:val="auto"/>
        </w:rPr>
        <w:t>” with respect to such Eurodollar Borrowing for such Interest Period shall be the rate at which dollar deposits of $5,000,000 and for a maturity comparable to such Interest Period are offered by the principal London office of the Administrative Agent in immediately available funds in the London interbank market at approximately 11:00 a.m., London time, two Business Days prior to the commencement of such Interest Period.</w:t>
      </w:r>
    </w:p>
    <w:p>
      <w:pPr>
        <w:spacing w:after="0" w:line="14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4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the Notes, any Letter of Credit applications, the Collateral Documents, the Loan Guaranty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each of the Borrower’s domestic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each Loan Guarantor and their respective successors and assigns.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operations, or financial condition of the Borrower and its Subsidiaries taken as a whole, (b) the ability of any Loan Party to perform any of its material obligations under the Loan Documents to which it is a party, (c) any material portion of the Collateral, or the Administrative Agent’s Liens (on behalf of itself and the Lenders) on any material portion of the Collateral or the priority of such Liens (in each case subject to Liens permitted pursuant to Section 6.02), or (d) the rights of or benefits available to the Administrative Agent, the Issuing Banks or the Lenders thereunder.</w:t>
      </w:r>
    </w:p>
    <w:p>
      <w:pPr>
        <w:spacing w:after="0" w:line="143" w:lineRule="exact"/>
        <w:rPr>
          <w:sz w:val="20"/>
          <w:szCs w:val="20"/>
          <w:color w:val="auto"/>
        </w:rPr>
      </w:pPr>
    </w:p>
    <w:p>
      <w:pPr>
        <w:ind w:right="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Domestic Subsidiary</w:t>
      </w:r>
      <w:r>
        <w:rPr>
          <w:rFonts w:ascii="Arial" w:cs="Arial" w:eastAsia="Arial" w:hAnsi="Arial"/>
          <w:sz w:val="15"/>
          <w:szCs w:val="15"/>
          <w:color w:val="auto"/>
        </w:rPr>
        <w:t>” means (i) any domestic Subsidiary of the Borrower whose total assets, as of any date of determination, have a book value equal to or greater than $20,000,000, and (ii) any domestic Subsidiary of the Borrower having a direct Subsidiary that is a Material Foreign Subsidiary.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6" w:name="page57"/>
    <w:bookmarkEnd w:id="56"/>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Foreign Subsidiary</w:t>
      </w:r>
      <w:r>
        <w:rPr>
          <w:rFonts w:ascii="Arial" w:cs="Arial" w:eastAsia="Arial" w:hAnsi="Arial"/>
          <w:sz w:val="18"/>
          <w:szCs w:val="18"/>
          <w:color w:val="auto"/>
        </w:rPr>
        <w:t>” means any foreign Subsidiary of the Borrower whose total assets, as of any date of determination, have a book value equal to or greater than $20,000,000.</w:t>
      </w:r>
    </w:p>
    <w:p>
      <w:pPr>
        <w:spacing w:after="0" w:line="132"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any Indebtedness (other than the Loans and Letters of Credit), or any obligations under Swap Agreements, of any one or more of the Borrower and its Subsidiaries in an aggregate principal amount exceeding $5,000,000. For purposes of determining Material Indebtedness, the aggregate principal amount of “obligations” of the Borrower or any Subsidiary in respect of any Swap Agreement at any time shall be the aggregate amount that the Borrower or such Subsidiary would be required to pay if such Swap Agreement were terminated at such time and after giving effect to any rights available under applicable laws or agreements with regard to collateral, netting, setoff or similar rights.</w:t>
      </w:r>
    </w:p>
    <w:p>
      <w:pPr>
        <w:spacing w:after="0" w:line="116"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May 26, 2014 or any earlier date on which the Commitments are reduced to zero or otherwise terminated pursuant to the terms 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Liability</w:t>
      </w:r>
      <w:r>
        <w:rPr>
          <w:rFonts w:ascii="Arial" w:cs="Arial" w:eastAsia="Arial" w:hAnsi="Arial"/>
          <w:sz w:val="18"/>
          <w:szCs w:val="18"/>
          <w:color w:val="auto"/>
        </w:rPr>
        <w:t>” has the meaning assigned to such term in Section 10.10.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71"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xml:space="preserve">” means, for any period, the consolidated net income (or loss) of the Borrower and its Subsidiaries,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from such net income (to the extent otherwise included therein), without duplication: (a) the income (or deficit) of any Person accrued prior to the date it becomes a Subsidiary or is merged into or consolidated with the Borrower or any of its Subsidiaries,</w:t>
      </w:r>
    </w:p>
    <w:p>
      <w:pPr>
        <w:spacing w:after="0" w:line="1" w:lineRule="exact"/>
        <w:rPr>
          <w:sz w:val="20"/>
          <w:szCs w:val="20"/>
          <w:color w:val="auto"/>
        </w:rPr>
      </w:pPr>
    </w:p>
    <w:p>
      <w:pPr>
        <w:ind w:firstLine="8"/>
        <w:spacing w:after="0" w:line="295"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income (or deficit) of any Person (other than a Subsidiary) in which the Borrower or any of its Subsidiaries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Non-Paying Guarantor</w:t>
      </w:r>
      <w:r>
        <w:rPr>
          <w:rFonts w:ascii="Arial" w:cs="Arial" w:eastAsia="Arial" w:hAnsi="Arial"/>
          <w:sz w:val="18"/>
          <w:szCs w:val="18"/>
          <w:color w:val="auto"/>
        </w:rPr>
        <w:t>” has the meaning assigned to such term in Section 10.11.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and “</w:t>
      </w:r>
      <w:r>
        <w:rPr>
          <w:rFonts w:ascii="Arial" w:cs="Arial" w:eastAsia="Arial" w:hAnsi="Arial"/>
          <w:sz w:val="18"/>
          <w:szCs w:val="18"/>
          <w:u w:val="single" w:color="auto"/>
          <w:color w:val="auto"/>
        </w:rPr>
        <w:t>Notes</w:t>
      </w:r>
      <w:r>
        <w:rPr>
          <w:rFonts w:ascii="Arial" w:cs="Arial" w:eastAsia="Arial" w:hAnsi="Arial"/>
          <w:sz w:val="18"/>
          <w:szCs w:val="18"/>
          <w:color w:val="auto"/>
        </w:rPr>
        <w:t>” have the meanings assigned to such terms in Section 2.10(e).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Oak Hill Parties</w:t>
      </w:r>
      <w:r>
        <w:rPr>
          <w:rFonts w:ascii="Arial" w:cs="Arial" w:eastAsia="Arial" w:hAnsi="Arial"/>
          <w:sz w:val="16"/>
          <w:szCs w:val="16"/>
          <w:color w:val="auto"/>
        </w:rPr>
        <w:t>” means Oak Hill Capital Partners, L.P. and Oak Hill Capital Management Partners, L.P. and any of their Affiliates or Related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Party</w:t>
      </w:r>
      <w:r>
        <w:rPr>
          <w:rFonts w:ascii="Arial" w:cs="Arial" w:eastAsia="Arial" w:hAnsi="Arial"/>
          <w:sz w:val="18"/>
          <w:szCs w:val="18"/>
          <w:color w:val="auto"/>
        </w:rPr>
        <w:t>” has the meaning assigned to such term in Section 10.02.</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of the Loan Parties to the Lenders or to any Lender, the Administrative Agent, any Issuing Bank or any indemnified party arising under the Loan Documents.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4" w:right="239" w:bottom="1440" w:gutter="0" w:footer="0" w:header="0"/>
        </w:sectPr>
      </w:pPr>
    </w:p>
    <w:bookmarkStart w:id="57" w:name="page58"/>
    <w:bookmarkEnd w:id="57"/>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Off-Balance Sheet Liability</w:t>
      </w:r>
      <w:r>
        <w:rPr>
          <w:rFonts w:ascii="Arial" w:cs="Arial" w:eastAsia="Arial" w:hAnsi="Arial"/>
          <w:sz w:val="18"/>
          <w:szCs w:val="18"/>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but does constitute an off-balance sheet liability under GAAP.</w:t>
      </w:r>
    </w:p>
    <w:p>
      <w:pPr>
        <w:spacing w:after="0" w:line="144"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Guarantor</w:t>
      </w:r>
      <w:r>
        <w:rPr>
          <w:rFonts w:ascii="Arial" w:cs="Arial" w:eastAsia="Arial" w:hAnsi="Arial"/>
          <w:sz w:val="18"/>
          <w:szCs w:val="18"/>
          <w:color w:val="auto"/>
        </w:rPr>
        <w:t>” has the meaning assigned to such term in Section 10.11.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 the Permitted Omega Acquisition, and (b) any other Acquisition in which each of the following conditions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84" w:lineRule="exact"/>
        <w:rPr>
          <w:sz w:val="20"/>
          <w:szCs w:val="20"/>
          <w:color w:val="auto"/>
        </w:rPr>
      </w:pPr>
    </w:p>
    <w:p>
      <w:pPr>
        <w:ind w:left="1120" w:hanging="217"/>
        <w:spacing w:after="0"/>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aggregate total cash consideration for such Acquisition (including without limitation (A) cash payments of purchase price adjustments and</w:t>
      </w:r>
    </w:p>
    <w:p>
      <w:pPr>
        <w:spacing w:after="0" w:line="38" w:lineRule="exact"/>
        <w:rPr>
          <w:rFonts w:ascii="Arial" w:cs="Arial" w:eastAsia="Arial" w:hAnsi="Arial"/>
          <w:sz w:val="16"/>
          <w:szCs w:val="16"/>
          <w:color w:val="auto"/>
        </w:rPr>
      </w:pPr>
    </w:p>
    <w:p>
      <w:pPr>
        <w:ind w:left="740" w:hanging="27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earn-out payments) shall not exceed $50,000,000;</w:t>
      </w:r>
    </w:p>
    <w:p>
      <w:pPr>
        <w:spacing w:after="0" w:line="83"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Person or business which is the subject of such Acquisition is in a similar or complimentary line of business as those of the Borrower and its Subsidiaries on the Effective Date;</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governmental, corporate and material third-party approvals and consents necessary in connection with such Acquisition shall have been obtained and be in full force and effect;</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96"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acquiring a Person, unless such Person is contemporaneously merged with and into the Borrower or a Subsidiary of the Borrower, such Person becomes a wholly owned direct or indirect Subsidiary of the Borrower and, simultaneously with such Acquisition, a Loan Party to the extent required by Section 5.09, with such Person’s Equity Interests being pledged as Collateral to the extent required by Section 5.09;</w:t>
      </w:r>
    </w:p>
    <w:p>
      <w:pPr>
        <w:spacing w:after="0" w:line="25"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such Acquisition shall be consummated in accordance with the terms of the purchase or acquisition agreement executed in connection therewith and with all other material agreements, instruments and documents implementing such Acquisition and in compliance with applicable law and regulatory approvals;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4" w:right="239" w:bottom="1440" w:gutter="0" w:footer="0" w:header="0"/>
        </w:sectPr>
      </w:pPr>
    </w:p>
    <w:bookmarkStart w:id="58" w:name="page59"/>
    <w:bookmarkEnd w:id="58"/>
    <w:p>
      <w:pPr>
        <w:jc w:val="both"/>
        <w:ind w:left="460" w:right="60" w:firstLine="443"/>
        <w:spacing w:after="0" w:line="256"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Default or Event of Default shall have occurred and be continuing or would result therefrom and all representations and warranties contained in this Agreement shall be true and correct in all material respects on the date of the consummation of such Acquisition, except to the extent that any such representation or warranty specifically refers to an earlier date, in which case they shall be true and correct in all material respects as of such earlier date; and</w:t>
      </w:r>
    </w:p>
    <w:p>
      <w:pPr>
        <w:spacing w:after="0" w:line="62" w:lineRule="exact"/>
        <w:rPr>
          <w:rFonts w:ascii="Arial" w:cs="Arial" w:eastAsia="Arial" w:hAnsi="Arial"/>
          <w:sz w:val="18"/>
          <w:szCs w:val="18"/>
          <w:color w:val="auto"/>
        </w:rPr>
      </w:pPr>
    </w:p>
    <w:p>
      <w:pPr>
        <w:ind w:left="460" w:firstLine="443"/>
        <w:spacing w:after="0" w:line="290" w:lineRule="auto"/>
        <w:tabs>
          <w:tab w:leader="none" w:pos="1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after giving effect to such Acquisition (including the incurrence, assumption or acquisition of any Indebtedness in connection therewith) on a pro forma basis as if such Acquisition had been consummated at the beginning of such period, the Borrower and its Subsidiaries shall be in compliance with all Financial Covenants as of and for the four (4) consecutive fiscal quarter period most recently ended, (ii) the Borrower shall have delivered to the Administrative Agent and the Lenders (A) a certificate of a Financial Officer of the Borrower setting forth reasonably detailed calculations of such compliance, and (B) (1) financial statements of the target of such Acquisition reasonably supporting such calculations or (2) in the case of any Acquisition of the type described in clause (a) in the definition of Acquisition herein for which such financial statements are not available, such other financial information reasonably acceptable to the Administrative Agent supporting such calculations.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w:t>
      </w:r>
    </w:p>
    <w:p>
      <w:pPr>
        <w:spacing w:after="0" w:line="90" w:lineRule="exact"/>
        <w:rPr>
          <w:rFonts w:ascii="Arial" w:cs="Arial" w:eastAsia="Arial" w:hAnsi="Arial"/>
          <w:sz w:val="18"/>
          <w:szCs w:val="18"/>
          <w:color w:val="auto"/>
        </w:rPr>
      </w:pPr>
    </w:p>
    <w:p>
      <w:pPr>
        <w:ind w:left="460" w:right="580" w:firstLine="443"/>
        <w:spacing w:after="0" w:line="332" w:lineRule="auto"/>
        <w:tabs>
          <w:tab w:leader="none" w:pos="1147" w:val="left"/>
        </w:tabs>
        <w:numPr>
          <w:ilvl w:val="1"/>
          <w:numId w:val="23"/>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60 days or are being contested in compliance with Section 5.04;</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any interest or title of a lessor in property leased by the Borrower or any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“Permitted Encumbrances” shall not include any Lien securing Indebtedness.</w:t>
      </w:r>
    </w:p>
    <w:p>
      <w:pPr>
        <w:spacing w:after="0" w:line="171" w:lineRule="exact"/>
        <w:rPr>
          <w:sz w:val="20"/>
          <w:szCs w:val="20"/>
          <w:color w:val="auto"/>
        </w:rPr>
      </w:pPr>
    </w:p>
    <w:p>
      <w:pPr>
        <w:ind w:right="9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Oak Hill Capital Partners, L.P., Oak Hill Capital Management Partners, L.P., Blackrock, Inc., Wellington Management Company, Vikram Talwar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Rohit Kapoor, and (ii) with respect to each Person listed above in clause (i), any Affiliate or subsidiary of such Person.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jc w:val="both"/>
        <w:ind w:left="460" w:right="120" w:firstLine="443"/>
        <w:spacing w:after="0" w:line="259"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commercial paper maturing within one (1) year from the date of acquisition thereof and having, at such date of acquisition, the highest credit rating obtainable from S&amp;P or from Moody’s;</w:t>
      </w:r>
    </w:p>
    <w:p>
      <w:pPr>
        <w:spacing w:after="0" w:line="50" w:lineRule="exact"/>
        <w:rPr>
          <w:rFonts w:ascii="Arial" w:cs="Arial" w:eastAsia="Arial" w:hAnsi="Arial"/>
          <w:sz w:val="18"/>
          <w:szCs w:val="18"/>
          <w:color w:val="auto"/>
        </w:rPr>
      </w:pPr>
    </w:p>
    <w:p>
      <w:pPr>
        <w:ind w:left="460" w:right="40" w:firstLine="443"/>
        <w:spacing w:after="0" w:line="255"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$500,000,000, or (ii) the State Bank of India (U.S. Branch) so long as the aggregate amount of such investments described in this clause (ii) does not at any time exceed $30,000,000;</w:t>
      </w:r>
    </w:p>
    <w:p>
      <w:pPr>
        <w:spacing w:after="0" w:line="61"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50" w:lineRule="exact"/>
        <w:rPr>
          <w:rFonts w:ascii="Arial" w:cs="Arial" w:eastAsia="Arial" w:hAnsi="Arial"/>
          <w:sz w:val="18"/>
          <w:szCs w:val="18"/>
          <w:color w:val="auto"/>
        </w:rPr>
      </w:pPr>
    </w:p>
    <w:p>
      <w:pPr>
        <w:ind w:left="460" w:right="100" w:firstLine="443"/>
        <w:spacing w:after="0" w:line="332" w:lineRule="auto"/>
        <w:tabs>
          <w:tab w:leader="none" w:pos="11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4" w:lineRule="exact"/>
        <w:rPr>
          <w:rFonts w:ascii="Arial" w:cs="Arial" w:eastAsia="Arial" w:hAnsi="Arial"/>
          <w:sz w:val="16"/>
          <w:szCs w:val="16"/>
          <w:color w:val="auto"/>
        </w:rPr>
      </w:pPr>
    </w:p>
    <w:p>
      <w:pPr>
        <w:ind w:left="460" w:right="200" w:firstLine="443"/>
        <w:spacing w:after="0" w:line="259" w:lineRule="auto"/>
        <w:tabs>
          <w:tab w:leader="none" w:pos="11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made by foreign Subsidiaries of the Borrower consistent with the Borrower’s investment guidelines as approved from time to time by the Borrower’s board of directors.</w:t>
      </w:r>
    </w:p>
    <w:p>
      <w:pPr>
        <w:spacing w:after="0" w:line="51" w:lineRule="exact"/>
        <w:rPr>
          <w:sz w:val="20"/>
          <w:szCs w:val="20"/>
          <w:color w:val="auto"/>
        </w:rPr>
      </w:pPr>
    </w:p>
    <w:p>
      <w:pPr>
        <w:ind w:left="460" w:right="4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Omega Acquisition</w:t>
      </w:r>
      <w:r>
        <w:rPr>
          <w:rFonts w:ascii="Arial" w:cs="Arial" w:eastAsia="Arial" w:hAnsi="Arial"/>
          <w:sz w:val="16"/>
          <w:szCs w:val="16"/>
          <w:color w:val="auto"/>
        </w:rPr>
        <w:t>” means the transactions contemplated by that Merger Agreement, dated as of April 29, 2011, by and among the Borrower, F&amp;A BPO Merger Sub, Inc., Business Process Outsourcing, Inc. and Shareholder Representative Services LLC.</w:t>
      </w:r>
    </w:p>
    <w:p>
      <w:pPr>
        <w:spacing w:after="0" w:line="8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0" w:name="page61"/>
    <w:bookmarkEnd w:id="60"/>
    <w:p>
      <w:pPr>
        <w:ind w:right="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per annum publicly announced from time to time by Chase as its prime rate at its offices at 270 Park Avenue in New York City; each change in the Prime Rate shall be effective from and including the date such change is publicly announced as being effective.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assigned to such term in Section 5.01(e).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with respect to any Person that is an investment fund, any other investment fund that invests in securities and that is managed or advised by the same investment advisor as such Person or by an Affiliate of such investment advisor.</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32" w:lineRule="exact"/>
        <w:rPr>
          <w:sz w:val="20"/>
          <w:szCs w:val="20"/>
          <w:color w:val="auto"/>
        </w:rPr>
      </w:pPr>
    </w:p>
    <w:p>
      <w:pPr>
        <w:jc w:val="both"/>
        <w:ind w:right="1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Credit Exposure and unused Commitments representing more than 50% of the sum of the total Credit Exposure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long as there are only two Lenders, Required Lenders shall mean both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so long as there are more than two Lenders who are not Affiliates of each other, at least two Lenders who are not Affiliates of each other shall be necessary to constitute Required Lenders.</w:t>
      </w:r>
    </w:p>
    <w:p>
      <w:pPr>
        <w:spacing w:after="0" w:line="143" w:lineRule="exact"/>
        <w:rPr>
          <w:sz w:val="20"/>
          <w:szCs w:val="20"/>
          <w:color w:val="auto"/>
        </w:rPr>
      </w:pPr>
    </w:p>
    <w:p>
      <w:pPr>
        <w:jc w:val="both"/>
        <w:ind w:right="2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7"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 Hill Companies, Inc.</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all Obligations, together with all (i) Banking Services Obligations and (ii) Swap Obligations owing to any Person that, at the time of entering into such arrangement with such Loan Party, was a Lender or an Affiliate thereof, in each case, with respect to such Swap Obligations, to the extent designated by the Borrower in a written statement to the Administrative Agent as constituting Secured Obligations (such Swap Obligations, “</w:t>
      </w:r>
      <w:r>
        <w:rPr>
          <w:rFonts w:ascii="Arial" w:cs="Arial" w:eastAsia="Arial" w:hAnsi="Arial"/>
          <w:sz w:val="18"/>
          <w:szCs w:val="18"/>
          <w:u w:val="single" w:color="auto"/>
          <w:color w:val="auto"/>
        </w:rPr>
        <w:t>Secured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Swap Obligations</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Administrative Agent, each Lender and each Issuing Bank.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Obligations</w:t>
      </w:r>
      <w:r>
        <w:rPr>
          <w:rFonts w:ascii="Arial" w:cs="Arial" w:eastAsia="Arial" w:hAnsi="Arial"/>
          <w:sz w:val="18"/>
          <w:szCs w:val="18"/>
          <w:color w:val="auto"/>
        </w:rPr>
        <w:t>” has the meaning given to such term in the definition of “Secured Obligations.”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34" w:right="299" w:bottom="1440" w:gutter="0" w:footer="0" w:header="0"/>
        </w:sectPr>
      </w:pPr>
    </w:p>
    <w:bookmarkStart w:id="61" w:name="page62"/>
    <w:bookmarkEnd w:id="61"/>
    <w:p>
      <w:pPr>
        <w:ind w:right="8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Pledge and Security Agreement, dated as of the date hereof, among the Borrower, each Material Domestic Subsidiary of the Borrower, and the Administrative Agent, for the benefit of the Administrative Agent and the Lenders, and any other pledge or security agreement entered into, after the date of this Agreement by any Loan Party (as required by this Agreement or any other Loan Document), as the same may be amended, restated or otherwise modified from time to time.</w:t>
      </w:r>
    </w:p>
    <w:p>
      <w:pPr>
        <w:spacing w:after="0" w:line="143"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 Person means any Indebtedness of such Person the payment of which is at all times subordinated to payment of the Obligations in accordance with the terms set forth on Schedule 1.01.</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by the parent, or (b) that is, as of such date, otherwise Controlled, by the parent or one or more subsidiaries of the parent or by the parent and one or more subsidiaries of the parent.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Borrower or a Loan Party, as applicable.</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43" w:lineRule="exact"/>
        <w:rPr>
          <w:sz w:val="20"/>
          <w:szCs w:val="20"/>
          <w:color w:val="auto"/>
        </w:rPr>
      </w:pPr>
    </w:p>
    <w:p>
      <w:pPr>
        <w:jc w:val="both"/>
        <w:ind w:right="4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Obligations</w:t>
      </w:r>
      <w:r>
        <w:rPr>
          <w:rFonts w:ascii="Arial" w:cs="Arial" w:eastAsia="Arial" w:hAnsi="Arial"/>
          <w:sz w:val="16"/>
          <w:szCs w:val="16"/>
          <w:color w:val="auto"/>
        </w:rPr>
        <w:t>” of a Person means any and all obligations of such Person,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4" w:right="259" w:bottom="1440" w:gutter="0" w:footer="0" w:header="0"/>
        </w:sectPr>
      </w:pPr>
    </w:p>
    <w:bookmarkStart w:id="62" w:name="page63"/>
    <w:bookmarkEnd w:id="6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imposed by any Governmental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165"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Funded Indebtedness</w:t>
      </w:r>
      <w:r>
        <w:rPr>
          <w:rFonts w:ascii="Arial" w:cs="Arial" w:eastAsia="Arial" w:hAnsi="Arial"/>
          <w:sz w:val="18"/>
          <w:szCs w:val="18"/>
          <w:color w:val="auto"/>
        </w:rPr>
        <w:t>” means, at any date, the aggregate principal amount of all Funded Indebtedness of the Borrower and its Subsidiaries at such date, determined on a consolidated basis in accordance with GAAP.</w:t>
      </w:r>
    </w:p>
    <w:p>
      <w:pPr>
        <w:spacing w:after="0" w:line="132"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the borrowing of Loans and other credit extensions, the use of the proceeds thereof and the issuance of Letters of Credit hereunder.</w:t>
      </w:r>
    </w:p>
    <w:p>
      <w:pPr>
        <w:spacing w:after="0" w:line="13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Pricing Transactions</w:t>
      </w:r>
      <w:r>
        <w:rPr>
          <w:rFonts w:ascii="Arial" w:cs="Arial" w:eastAsia="Arial" w:hAnsi="Arial"/>
          <w:sz w:val="18"/>
          <w:szCs w:val="18"/>
          <w:color w:val="auto"/>
        </w:rPr>
        <w:t>” means transactions between the Borrower and/or the Loan Parties and their respective Subsidiaries and Affiliates, pursuant to which the parties to such transactions periodically invoice and remunerate each other for products and services provided to or exchanged among such parties, all upon such terms and prices (and subject to such mark-ups) as are consistent with the Borrower’s and its Subsidiaries’ and their respective Affiliates’ customary transfer pricing methods.</w:t>
      </w:r>
    </w:p>
    <w:p>
      <w:pPr>
        <w:spacing w:after="0" w:line="143"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3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4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“Eurodollar Loan”).</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4" w:right="259" w:bottom="1440" w:gutter="0" w:footer="0" w:header="0"/>
        </w:sectPr>
      </w:pPr>
    </w:p>
    <w:bookmarkStart w:id="63" w:name="page64"/>
    <w:bookmarkEnd w:id="63"/>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words “asset” and “property” shall be construed to have the same meaning and effect and to refer to any and all tangible and intangible assets and properties, including cash, securities, accounts and contract rights.</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it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Commitments</w:t>
      </w:r>
      <w:r>
        <w:rPr>
          <w:rFonts w:ascii="Arial" w:cs="Arial" w:eastAsia="Arial" w:hAnsi="Arial"/>
          <w:sz w:val="16"/>
          <w:szCs w:val="16"/>
          <w:color w:val="auto"/>
        </w:rPr>
        <w:t>. Subject to the terms and conditions set forth herein, each Lender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0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(a) Each Loan shall be made as part of a Borrowing consisting of Loans of the same Type made by the Lenders ratably in accordance with their respective Commitments.</w:t>
      </w:r>
    </w:p>
    <w:p>
      <w:pPr>
        <w:spacing w:after="0" w:line="132" w:lineRule="exact"/>
        <w:rPr>
          <w:sz w:val="20"/>
          <w:szCs w:val="20"/>
          <w:color w:val="auto"/>
        </w:rPr>
      </w:pPr>
    </w:p>
    <w:p>
      <w:pPr>
        <w:jc w:val="both"/>
        <w:ind w:right="60" w:firstLine="921"/>
        <w:spacing w:after="0" w:line="255"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Subject to Section 2.14, each Borrowing shall be comprised entirely of ABR Loans or Eurodollar Loans as the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Borrowings made on the Effective Date must be made as ABR Borrowings but may be converted into Eurodollar Borrowings in accordance with Section 2.08. Each Lender at its option may make any Eurodollar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42" w:lineRule="exact"/>
        <w:rPr>
          <w:rFonts w:ascii="Arial" w:cs="Arial" w:eastAsia="Arial" w:hAnsi="Arial"/>
          <w:sz w:val="18"/>
          <w:szCs w:val="18"/>
          <w:color w:val="auto"/>
        </w:rPr>
      </w:pPr>
    </w:p>
    <w:p>
      <w:pPr>
        <w:ind w:right="100" w:firstLine="921"/>
        <w:spacing w:after="0" w:line="254"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such Borrowing shall be in an aggregate amount that is an integral multiple of $500,000 and not less than $1,000,000. At the time that each ABR Borrowing is made, such Borrowing shall be in an aggregate amount that is an integral multiple of $100,000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Borrowing may be in an aggregate amount that is equal to the entire unused balance of the total Commitments or that is required to finance the reimbursement of an LC Disbursement as contemplated by Section 2.06(e).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five (5) Eurodollar Borrowings outstanding.</w:t>
      </w:r>
    </w:p>
    <w:p>
      <w:pPr>
        <w:spacing w:after="0" w:line="144" w:lineRule="exact"/>
        <w:rPr>
          <w:rFonts w:ascii="Arial" w:cs="Arial" w:eastAsia="Arial" w:hAnsi="Arial"/>
          <w:sz w:val="18"/>
          <w:szCs w:val="18"/>
          <w:color w:val="auto"/>
        </w:rPr>
      </w:pPr>
    </w:p>
    <w:p>
      <w:pPr>
        <w:ind w:right="400" w:firstLine="921"/>
        <w:spacing w:after="0" w:line="268"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64" w:name="page65"/>
    <w:bookmarkEnd w:id="64"/>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the Borrower shall notify the Administrative Agent of such request either in writing (delivered by hand or facsimile) in a form approved by the Administrative Agent and signed by the Borrower or by telephone (a) in the case of a Eurodollar Borrowing, not later than 11:00 a.m., New York City time, three Business Days before the date of the proposed Borrowing or (b) in the case of an ABR Borrowing, not later than 1:00 p.m., New York City time, on the date of the proposed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of an ABR Borrowing to finance the reimbursement of an LC Disbursement as contemplated by Section 2.06(e) may be given not later than 10:00 a.m., New York City time, on the date of the proposed Borrowing. Each such telephonic Borrowing Request shall be irrevocable and shall be confirmed promptly by hand delivery or facsimile to the Administrative Agent of a written Borrowing Request in a form approved by the Administrative Agent and signed by the Borrower. Each such telephonic and written Borrowing Request shall specify the following information in compliance with Section 2.01:</w:t>
      </w:r>
    </w:p>
    <w:p>
      <w:pPr>
        <w:spacing w:after="0" w:line="37" w:lineRule="exact"/>
        <w:rPr>
          <w:sz w:val="20"/>
          <w:szCs w:val="20"/>
          <w:color w:val="auto"/>
        </w:rPr>
      </w:pPr>
    </w:p>
    <w:p>
      <w:pPr>
        <w:ind w:left="1560" w:hanging="219"/>
        <w:spacing w:after="0"/>
        <w:tabs>
          <w:tab w:leader="none" w:pos="1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amount of the requested Borrowing and a breakdown of the separate wires comprising such Borrowing;</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6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“Interest Period.”</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2.04. [Section intentionally omitted].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2.05. [Section intentionally omitted].</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Borrower may request the issuance of Letters of Credit for its own account, in a form 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43" w:lineRule="exact"/>
        <w:rPr>
          <w:sz w:val="20"/>
          <w:szCs w:val="20"/>
          <w:color w:val="auto"/>
        </w:rPr>
      </w:pPr>
    </w:p>
    <w:p>
      <w:pPr>
        <w:ind w:right="160" w:firstLine="921"/>
        <w:spacing w:after="0" w:line="294" w:lineRule="auto"/>
        <w:tabs>
          <w:tab w:leader="none" w:pos="116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Borrower shall hand deliver or facsimile (or transmit by electronic communication, if arrangements for doing so have been approved by the applicable Issuing Bank) to the applicable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4" w:right="239" w:bottom="1440" w:gutter="0" w:footer="0" w:header="0"/>
        </w:sectPr>
      </w:pPr>
    </w:p>
    <w:bookmarkStart w:id="65" w:name="page66"/>
    <w:bookmarkEnd w:id="6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extension (which shall be a Business Day), the date on which such Letter of Credit is to expire (which shall comply with paragraph (c) of this Section)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$10,000,000 and (ii) the Aggregate Credit Exposure shall not exceed the aggregate Commitments of all Lenders.</w:t>
      </w:r>
    </w:p>
    <w:p>
      <w:pPr>
        <w:spacing w:after="0" w:line="118" w:lineRule="exact"/>
        <w:rPr>
          <w:sz w:val="20"/>
          <w:szCs w:val="20"/>
          <w:color w:val="auto"/>
        </w:rPr>
      </w:pPr>
    </w:p>
    <w:p>
      <w:pPr>
        <w:ind w:right="80" w:firstLine="921"/>
        <w:spacing w:after="0" w:line="289" w:lineRule="auto"/>
        <w:tabs>
          <w:tab w:leader="none" w:pos="115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without automatic extension or renewal provisions shall expire at or prior to the close of business on the earlier of (i) the date one year after the date of the issuance of such Letter of Credit (or, in the case of any one-time renewal or extension thereof, one year after such renewal or extension) and (ii) the date that is five (5) Business Days prior to the Maturity Date.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Issuing Bank in accordance with the terms of such Letter of Credit agreed upon at the time such Letter of Credit is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Letter of Credit shall expire at or prior to the close of business on the date that is five (5) Business Days prior to the Maturity Date if not earlier cancelled.</w:t>
      </w:r>
    </w:p>
    <w:p>
      <w:pPr>
        <w:spacing w:after="0" w:line="118" w:lineRule="exact"/>
        <w:rPr>
          <w:rFonts w:ascii="Arial" w:cs="Arial" w:eastAsia="Arial" w:hAnsi="Arial"/>
          <w:sz w:val="16"/>
          <w:szCs w:val="16"/>
          <w:color w:val="auto"/>
        </w:rPr>
      </w:pPr>
    </w:p>
    <w:p>
      <w:pPr>
        <w:ind w:firstLine="921"/>
        <w:spacing w:after="0" w:line="287" w:lineRule="auto"/>
        <w:tabs>
          <w:tab w:leader="none" w:pos="116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22" w:lineRule="exact"/>
        <w:rPr>
          <w:rFonts w:ascii="Arial" w:cs="Arial" w:eastAsia="Arial" w:hAnsi="Arial"/>
          <w:sz w:val="16"/>
          <w:szCs w:val="16"/>
          <w:color w:val="auto"/>
        </w:rPr>
      </w:pPr>
    </w:p>
    <w:p>
      <w:pPr>
        <w:ind w:right="40" w:firstLine="921"/>
        <w:spacing w:after="0" w:line="290" w:lineRule="auto"/>
        <w:tabs>
          <w:tab w:leader="none" w:pos="115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an Issuing Bank shall make any LC Disbursement in respect of a Letter of Credit, the Borrower shall reimburse such LC Disbursement by paying to the Administrative Agent an amount equal to such LC Disbursement not later than 12:00 noon, New York City time, on the first Business Day next succeeding the Business Day on which the Borrower shall have received notice of such LC Disbursement (such day on which notice was received, the “</w:t>
      </w:r>
      <w:r>
        <w:rPr>
          <w:rFonts w:ascii="Arial" w:cs="Arial" w:eastAsia="Arial" w:hAnsi="Arial"/>
          <w:sz w:val="16"/>
          <w:szCs w:val="16"/>
          <w:u w:val="single" w:color="auto"/>
          <w:color w:val="auto"/>
        </w:rPr>
        <w:t>Reference Date</w:t>
      </w:r>
      <w:r>
        <w:rPr>
          <w:rFonts w:ascii="Arial" w:cs="Arial" w:eastAsia="Arial" w:hAnsi="Arial"/>
          <w:sz w:val="16"/>
          <w:szCs w:val="16"/>
          <w:color w:val="auto"/>
        </w:rPr>
        <w:t xml:space="preserve">”), if the Borrower shall have received notice of such LC Disbursement prior to 10:00 a.m., New York City time, on the Reference Date, or, if such notice has not been received by the Borrower prior to such time on the Reference Date, then not later than 12:00 noon, New York City time, on the second Business Day next succeeding the Reference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$500,000, the Borrower may, subject to the conditions to borrowing set forth herein, request in accordance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66" w:name="page67"/>
    <w:bookmarkEnd w:id="6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w:t>
      </w:r>
    </w:p>
    <w:p>
      <w:pPr>
        <w:spacing w:after="0" w:line="127" w:lineRule="exact"/>
        <w:rPr>
          <w:sz w:val="20"/>
          <w:szCs w:val="20"/>
          <w:color w:val="auto"/>
        </w:rPr>
      </w:pPr>
    </w:p>
    <w:p>
      <w:pPr>
        <w:ind w:firstLine="921"/>
        <w:spacing w:after="0" w:line="283" w:lineRule="auto"/>
        <w:tabs>
          <w:tab w:leader="none" w:pos="113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w:t>
      </w:r>
    </w:p>
    <w:p>
      <w:pPr>
        <w:spacing w:after="0" w:line="2" w:lineRule="exact"/>
        <w:rPr>
          <w:rFonts w:ascii="Arial" w:cs="Arial" w:eastAsia="Arial" w:hAnsi="Arial"/>
          <w:sz w:val="16"/>
          <w:szCs w:val="16"/>
          <w:color w:val="auto"/>
        </w:rPr>
      </w:pPr>
    </w:p>
    <w:p>
      <w:pPr>
        <w:ind w:right="20" w:firstLine="8"/>
        <w:spacing w:after="0" w:line="284" w:lineRule="auto"/>
        <w:tabs>
          <w:tab w:leader="none" w:pos="3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67" w:name="page68"/>
    <w:bookmarkEnd w:id="67"/>
    <w:p>
      <w:pPr>
        <w:ind w:left="-40" w:right="100" w:firstLine="921"/>
        <w:spacing w:after="0" w:line="255" w:lineRule="auto"/>
        <w:tabs>
          <w:tab w:leader="none" w:pos="112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facsimile)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Lenders with respect to any such LC Disbursement.</w:t>
      </w:r>
    </w:p>
    <w:p>
      <w:pPr>
        <w:spacing w:after="0" w:line="142" w:lineRule="exact"/>
        <w:rPr>
          <w:rFonts w:ascii="Arial" w:cs="Arial" w:eastAsia="Arial" w:hAnsi="Arial"/>
          <w:sz w:val="18"/>
          <w:szCs w:val="18"/>
          <w:color w:val="auto"/>
        </w:rPr>
      </w:pPr>
    </w:p>
    <w:p>
      <w:pPr>
        <w:ind w:left="-40" w:firstLine="921"/>
        <w:spacing w:after="0" w:line="291" w:lineRule="auto"/>
        <w:tabs>
          <w:tab w:leader="none" w:pos="112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paragraph (e) of this Section, then Section 2.13(c)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20" w:lineRule="exact"/>
        <w:rPr>
          <w:rFonts w:ascii="Arial" w:cs="Arial" w:eastAsia="Arial" w:hAnsi="Arial"/>
          <w:sz w:val="16"/>
          <w:szCs w:val="16"/>
          <w:color w:val="auto"/>
        </w:rPr>
      </w:pPr>
    </w:p>
    <w:p>
      <w:pPr>
        <w:ind w:left="-40" w:firstLine="921"/>
        <w:spacing w:after="0" w:line="310" w:lineRule="auto"/>
        <w:tabs>
          <w:tab w:leader="none" w:pos="108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Replacement of an Issuing Bank</w:t>
      </w:r>
      <w:r>
        <w:rPr>
          <w:rFonts w:ascii="Arial" w:cs="Arial" w:eastAsia="Arial" w:hAnsi="Arial"/>
          <w:sz w:val="15"/>
          <w:szCs w:val="15"/>
          <w:color w:val="auto"/>
        </w:rPr>
        <w:t>.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08" w:lineRule="exact"/>
        <w:rPr>
          <w:rFonts w:ascii="Arial" w:cs="Arial" w:eastAsia="Arial" w:hAnsi="Arial"/>
          <w:sz w:val="15"/>
          <w:szCs w:val="15"/>
          <w:color w:val="auto"/>
        </w:rPr>
      </w:pPr>
    </w:p>
    <w:p>
      <w:pPr>
        <w:ind w:left="-40" w:right="20" w:firstLine="921"/>
        <w:spacing w:after="0" w:line="286" w:lineRule="auto"/>
        <w:tabs>
          <w:tab w:leader="none" w:pos="108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Borrower shall deposit in an account with the Administrative Agent, in the name of the Administrative Agent and for the benefit of the Secured Parties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105% of the LC Exposure as of such date plus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Such deposit shall be held by the Administrative Agent as collateral for the payment and performance of the Secured Obligations.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80" w:top="334" w:right="27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such Defaults have been cured or waived.</w:t>
      </w:r>
    </w:p>
    <w:p>
      <w:pPr>
        <w:spacing w:after="0" w:line="143"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Loans made to finance the reimbursement of an LC Disbursement as provided in Section 2.06(e) shall be remitted by the Administrative Agent to the Issuing Banks.</w:t>
      </w:r>
    </w:p>
    <w:p>
      <w:pPr>
        <w:spacing w:after="0" w:line="120" w:lineRule="exact"/>
        <w:rPr>
          <w:sz w:val="20"/>
          <w:szCs w:val="20"/>
          <w:color w:val="auto"/>
        </w:rPr>
      </w:pPr>
    </w:p>
    <w:p>
      <w:pPr>
        <w:ind w:firstLine="921"/>
        <w:spacing w:after="0" w:line="288"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20"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44" w:lineRule="exact"/>
        <w:rPr>
          <w:sz w:val="20"/>
          <w:szCs w:val="20"/>
          <w:color w:val="auto"/>
        </w:rPr>
      </w:pPr>
    </w:p>
    <w:p>
      <w:pPr>
        <w:ind w:firstLine="921"/>
        <w:spacing w:after="0" w:line="298"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or facsimile to the Administrative Agent of a written Interest Election Request in a form approved by the Administrative Agent and signed by the Borrower.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9" w:name="page70"/>
    <w:bookmarkEnd w:id="69"/>
    <w:p>
      <w:pPr>
        <w:ind w:left="1160" w:hanging="239"/>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telephonic and written Interest Election Request shall specify the following information in compliance with Section 2.02:</w:t>
      </w:r>
    </w:p>
    <w:p>
      <w:pPr>
        <w:spacing w:after="0" w:line="90" w:lineRule="exact"/>
        <w:rPr>
          <w:rFonts w:ascii="Arial" w:cs="Arial" w:eastAsia="Arial" w:hAnsi="Arial"/>
          <w:sz w:val="18"/>
          <w:szCs w:val="18"/>
          <w:color w:val="auto"/>
        </w:rPr>
      </w:pPr>
    </w:p>
    <w:p>
      <w:pPr>
        <w:jc w:val="both"/>
        <w:ind w:left="920" w:right="180" w:firstLine="421"/>
        <w:spacing w:after="0" w:line="259" w:lineRule="auto"/>
        <w:tabs>
          <w:tab w:leader="none" w:pos="15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6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32" w:lineRule="exact"/>
        <w:rPr>
          <w:sz w:val="20"/>
          <w:szCs w:val="20"/>
          <w:color w:val="auto"/>
        </w:rPr>
      </w:pPr>
    </w:p>
    <w:p>
      <w:pPr>
        <w:ind w:right="140" w:firstLine="921"/>
        <w:spacing w:after="0" w:line="268"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31" w:lineRule="exact"/>
        <w:rPr>
          <w:rFonts w:ascii="Arial" w:cs="Arial" w:eastAsia="Arial" w:hAnsi="Arial"/>
          <w:sz w:val="18"/>
          <w:szCs w:val="18"/>
          <w:color w:val="auto"/>
        </w:rPr>
      </w:pPr>
    </w:p>
    <w:p>
      <w:pPr>
        <w:ind w:right="40" w:firstLine="921"/>
        <w:spacing w:after="0" w:line="254"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4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 Increase in Commitments</w:t>
      </w:r>
      <w:r>
        <w:rPr>
          <w:rFonts w:ascii="Arial" w:cs="Arial" w:eastAsia="Arial" w:hAnsi="Arial"/>
          <w:sz w:val="18"/>
          <w:szCs w:val="18"/>
          <w:color w:val="auto"/>
        </w:rPr>
        <w:t>. (a) Unless previously terminated, all Commitments shall terminate on the Maturity Date.</w:t>
      </w:r>
    </w:p>
    <w:p>
      <w:pPr>
        <w:spacing w:after="0" w:line="132" w:lineRule="exact"/>
        <w:rPr>
          <w:sz w:val="20"/>
          <w:szCs w:val="20"/>
          <w:color w:val="auto"/>
        </w:rPr>
      </w:pPr>
    </w:p>
    <w:p>
      <w:pPr>
        <w:ind w:right="60" w:firstLine="921"/>
        <w:spacing w:after="0" w:line="254"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may at any time, without (subject to Section 2.16) premium or penalty,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equal to 105% of the LC Exposure as of such date), (iii) the payment in full of the accrued and unpaid fees, and (iv) the payment in full of all reimbursable expenses and other Obligations together with accrued and unpaid interest thereon.</w:t>
      </w:r>
    </w:p>
    <w:p>
      <w:pPr>
        <w:spacing w:after="0" w:line="144" w:lineRule="exact"/>
        <w:rPr>
          <w:rFonts w:ascii="Arial" w:cs="Arial" w:eastAsia="Arial" w:hAnsi="Arial"/>
          <w:sz w:val="18"/>
          <w:szCs w:val="18"/>
          <w:color w:val="auto"/>
        </w:rPr>
      </w:pPr>
    </w:p>
    <w:p>
      <w:pPr>
        <w:ind w:firstLine="921"/>
        <w:spacing w:after="0" w:line="259"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without (subject to Section 2.16) premium or penalty,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$5,000,000, and (ii) the Borrower shall not reduce the Commitments if, after giving effect to any concurrent prepayment of the Loans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4"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Section 2.10, the Aggregate Credit Exposure would exceed the aggregate Commitments of all Lenders.</w:t>
      </w:r>
    </w:p>
    <w:p>
      <w:pPr>
        <w:spacing w:after="0" w:line="171" w:lineRule="exact"/>
        <w:rPr>
          <w:sz w:val="20"/>
          <w:szCs w:val="20"/>
          <w:color w:val="auto"/>
        </w:rPr>
      </w:pPr>
    </w:p>
    <w:p>
      <w:pPr>
        <w:ind w:right="60" w:firstLine="921"/>
        <w:spacing w:after="0" w:line="290"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of any election to terminate or reduce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18"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Borrower shall have the right to increase the aggregate Commitments by obtaining additional Commitments, either from one or more of the Lenders or, to the extent the existing Lenders have declined to provide such additional Commitments, other lending institutions provided that (i) any such request for an increase shall be in a minimum amount of $10,000,000, (ii) the Borrower, may make a maximum of two (2) such requests, (iii) each existing Lender shall have been given the right to provide its pro rata share of such increase Commitment (calculated based on the ratio of such Lender’s Commitment to the aggregate Commitments of all Lenders, in each case prior to giving effect to the proposed increased), (iv) the Administrative Agent and each Closing Date Lender (so long as such Lender is still a Lender at the time and after giving effect to such increase) have approved the identity of any such new Lender, such approval not to be unreasonably withheld, (v) any such new Lender assumes all of the rights and obligations of a “Lender” hereunder, and (vi) the procedure described in Section 2.09(f) have been satisfied.</w:t>
      </w:r>
    </w:p>
    <w:p>
      <w:pPr>
        <w:spacing w:after="0" w:line="118" w:lineRule="exact"/>
        <w:rPr>
          <w:rFonts w:ascii="Arial" w:cs="Arial" w:eastAsia="Arial" w:hAnsi="Arial"/>
          <w:sz w:val="16"/>
          <w:szCs w:val="16"/>
          <w:color w:val="auto"/>
        </w:rPr>
      </w:pPr>
    </w:p>
    <w:p>
      <w:pPr>
        <w:ind w:firstLine="921"/>
        <w:spacing w:after="0" w:line="288" w:lineRule="auto"/>
        <w:tabs>
          <w:tab w:leader="none" w:pos="11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amendment hereto for such an increase or addition shall be in form and substance reasonably satisfactory to the Administrative Agent and shall only require the written signatures of the Administrative Agent, the Borrower and the Lender(s) being added or increasing their Commitment, subject to the approval of all Lenders only if any such increase would cause the aggregate Commitments of all Lenders to exceed $75,000,000. As a condition precedent to such an increase, Borrower shall deliver to the Administrative Agent a certificate of each Loan Party (in sufficient copies for each Lender) signed by an authorized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Article III and the other Loan Documents are true and correct in all material respects, except to the extent that such representations and warranties specifically refer to an earlier date, in which case they are true and correct in all material respects as of such earlier date, and except that in each case any representation and warranty that is qualified as to “materiality” or “Material Adverse Effect” shall be true and correct in all respects, and (B) no Default exists.</w:t>
      </w:r>
    </w:p>
    <w:p>
      <w:pPr>
        <w:spacing w:after="0" w:line="119" w:lineRule="exact"/>
        <w:rPr>
          <w:rFonts w:ascii="Arial" w:cs="Arial" w:eastAsia="Arial" w:hAnsi="Arial"/>
          <w:sz w:val="16"/>
          <w:szCs w:val="16"/>
          <w:color w:val="auto"/>
        </w:rPr>
      </w:pPr>
    </w:p>
    <w:p>
      <w:pPr>
        <w:ind w:right="100" w:firstLine="921"/>
        <w:spacing w:after="0" w:line="294"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a reasonable time after the effective date of any increase, the Administrative Agent shall, and is hereby authorized and directed to, revise the Commitment Schedule to reflect such increase and shall distribute such revised Commitment Schedule to each of the Lenders and the Borrower, whereupon such revised Commitment Schedule shall replace the old Commitment Schedule and become part of this Agreement. On the Business Day following any such increase, all outstanding ABR Loans shall be reallocated among the Lenders (including any newly added Lenders) in accordance with the Lenders’ respective revised Applicable Percentages. Eurodollar Loans shall not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reallocated among the Lenders prior to the expiration of the applicable Interest Period in effect at the time of any such increase.</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The Borrower hereby unconditionally promises to pay to the Administrative Agent for the account of each Lender the then unpaid principal amount of each Loan on the Maturity Date.</w:t>
      </w:r>
    </w:p>
    <w:p>
      <w:pPr>
        <w:spacing w:after="0" w:line="132" w:lineRule="exact"/>
        <w:rPr>
          <w:sz w:val="20"/>
          <w:szCs w:val="20"/>
          <w:color w:val="auto"/>
        </w:rPr>
      </w:pPr>
    </w:p>
    <w:p>
      <w:pPr>
        <w:ind w:right="300" w:firstLine="921"/>
        <w:spacing w:after="0" w:line="259"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40" w:lineRule="exact"/>
        <w:rPr>
          <w:rFonts w:ascii="Arial" w:cs="Arial" w:eastAsia="Arial" w:hAnsi="Arial"/>
          <w:sz w:val="18"/>
          <w:szCs w:val="18"/>
          <w:color w:val="auto"/>
        </w:rPr>
      </w:pPr>
    </w:p>
    <w:p>
      <w:pPr>
        <w:ind w:right="60" w:firstLine="921"/>
        <w:spacing w:after="0" w:line="306"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06" w:lineRule="exact"/>
        <w:rPr>
          <w:rFonts w:ascii="Arial" w:cs="Arial" w:eastAsia="Arial" w:hAnsi="Arial"/>
          <w:sz w:val="16"/>
          <w:szCs w:val="16"/>
          <w:color w:val="auto"/>
        </w:rPr>
      </w:pPr>
    </w:p>
    <w:p>
      <w:pPr>
        <w:jc w:val="both"/>
        <w:ind w:right="220" w:firstLine="921"/>
        <w:spacing w:after="0" w:line="306" w:lineRule="auto"/>
        <w:tabs>
          <w:tab w:leader="none" w:pos="11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(c) or (d)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06" w:lineRule="exact"/>
        <w:rPr>
          <w:rFonts w:ascii="Arial" w:cs="Arial" w:eastAsia="Arial" w:hAnsi="Arial"/>
          <w:sz w:val="16"/>
          <w:szCs w:val="16"/>
          <w:color w:val="auto"/>
        </w:rPr>
      </w:pPr>
    </w:p>
    <w:p>
      <w:pPr>
        <w:ind w:firstLine="921"/>
        <w:spacing w:after="0" w:line="255"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(each a “</w:t>
      </w:r>
      <w:r>
        <w:rPr>
          <w:rFonts w:ascii="Arial" w:cs="Arial" w:eastAsia="Arial" w:hAnsi="Arial"/>
          <w:sz w:val="18"/>
          <w:szCs w:val="18"/>
          <w:u w:val="single" w:color="auto"/>
          <w:color w:val="auto"/>
        </w:rPr>
        <w:t>Note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In such event, the Borrower shall prepare, execute and deliver to such Lender a Note payable to the order of such Lender (or, if requested by such Lender, to such Lender and its registered assigns) and in a form approved by the Administrative Agent. Thereafter, the Loans evidenced by such Note and interest thereon shall at all times (including after assignment pursuant to Section 9.04) be represented by one or more Notes in such form payable to the order of the payee named therein (or, if such Note is a registered note, to such payee and its registered assigns).</w:t>
      </w:r>
    </w:p>
    <w:p>
      <w:pPr>
        <w:spacing w:after="0" w:line="143"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(a) The Borrower shall have the right at any time and from time to time, without (subject to Section 2.16) premium or penalty, to prepay any Borrowing in whole or in part, subject to prior notice in accordance with paragraph (c) of this Section.</w:t>
      </w:r>
    </w:p>
    <w:p>
      <w:pPr>
        <w:spacing w:after="0" w:line="85" w:lineRule="exact"/>
        <w:rPr>
          <w:sz w:val="20"/>
          <w:szCs w:val="20"/>
          <w:color w:val="auto"/>
        </w:rPr>
      </w:pPr>
    </w:p>
    <w:p>
      <w:pPr>
        <w:ind w:right="280" w:firstLine="921"/>
        <w:spacing w:after="0" w:line="26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and on such occasion that the Aggregate Credit Exposure exceeds the aggregate Commitments of all Lenders, the Borrower shall prepay the Loans and/or cash collateralize the LC Exposure in an aggregate amount equal to such excess.</w:t>
      </w:r>
    </w:p>
    <w:p>
      <w:pPr>
        <w:spacing w:after="0" w:line="131" w:lineRule="exact"/>
        <w:rPr>
          <w:rFonts w:ascii="Arial" w:cs="Arial" w:eastAsia="Arial" w:hAnsi="Arial"/>
          <w:sz w:val="18"/>
          <w:szCs w:val="18"/>
          <w:color w:val="auto"/>
        </w:rPr>
      </w:pPr>
    </w:p>
    <w:p>
      <w:pPr>
        <w:ind w:right="20" w:firstLine="921"/>
        <w:spacing w:after="0" w:line="289"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by telephone (confirmed by facsimile) of any prepayment hereunder (i) in the case of prepayment of a Eurodollar Borrowing, not later than 11:00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72" w:name="page73"/>
    <w:bookmarkEnd w:id="72"/>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advance of a Borrowing of the same Type as provided in Section 2.02. Each prepayment of a Borrowing shall be applied ratably to the Loans included in the prepaid Borrowing. Prepayments shall be accompanied by accrued interest to the extent required by Section 2.13.</w:t>
      </w:r>
    </w:p>
    <w:p>
      <w:pPr>
        <w:spacing w:after="0" w:line="132"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(a) The Borrower agrees to pay to the Administrative Agent for the account of each Lender (other than a Defaulting Lender, subject to Section 2.20) a commitment fee, which shall accrue at the Applicable Rate on the average daily amount of the Available Revolving Commitment of such Lender during the period from and including the Effective Date to but excluding the date on which the Commitments terminate.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44" w:lineRule="exact"/>
        <w:rPr>
          <w:sz w:val="20"/>
          <w:szCs w:val="20"/>
          <w:color w:val="auto"/>
        </w:rPr>
      </w:pPr>
    </w:p>
    <w:p>
      <w:pPr>
        <w:ind w:firstLine="921"/>
        <w:spacing w:after="0" w:line="285"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Administrative Agent for the account of each Lender (other than a Defaulting Lender, subject to Section 2.20) a participation fee with respect to its participations in Letters of Credit, which shall accrue at the same Applicable Rate used to determine the interest rate applicable to Eurodollar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January, April, July and October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w:t>
      </w:r>
    </w:p>
    <w:p>
      <w:pPr>
        <w:spacing w:after="0" w:line="128" w:lineRule="exact"/>
        <w:rPr>
          <w:rFonts w:ascii="Arial" w:cs="Arial" w:eastAsia="Arial" w:hAnsi="Arial"/>
          <w:sz w:val="16"/>
          <w:szCs w:val="16"/>
          <w:color w:val="auto"/>
        </w:rPr>
      </w:pPr>
    </w:p>
    <w:p>
      <w:pPr>
        <w:ind w:right="300" w:firstLine="921"/>
        <w:spacing w:after="0" w:line="268"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31"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Interest</w:t>
      </w:r>
      <w:r>
        <w:rPr>
          <w:rFonts w:ascii="Arial" w:cs="Arial" w:eastAsia="Arial" w:hAnsi="Arial"/>
          <w:sz w:val="16"/>
          <w:szCs w:val="16"/>
          <w:color w:val="auto"/>
        </w:rPr>
        <w:t>. (a) The Loans comprising each ABR Borrowing shall bear interest at the Alternate Base Rate plus the Applicable Rate.</w:t>
      </w:r>
    </w:p>
    <w:p>
      <w:pPr>
        <w:spacing w:after="0" w:line="194" w:lineRule="exact"/>
        <w:rPr>
          <w:sz w:val="20"/>
          <w:szCs w:val="20"/>
          <w:color w:val="auto"/>
        </w:rPr>
      </w:pPr>
    </w:p>
    <w:p>
      <w:pPr>
        <w:ind w:right="660" w:firstLine="921"/>
        <w:spacing w:after="0" w:line="268" w:lineRule="auto"/>
        <w:tabs>
          <w:tab w:leader="none" w:pos="116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Loans comprising each Eurodollar Borrowing shall bear interest at the Adjusted LIBO Rate for the Interest Period in effect for such Borrowing plus the Applicable Rate.</w:t>
      </w:r>
    </w:p>
    <w:p>
      <w:pPr>
        <w:spacing w:after="0" w:line="131" w:lineRule="exact"/>
        <w:rPr>
          <w:rFonts w:ascii="Arial" w:cs="Arial" w:eastAsia="Arial" w:hAnsi="Arial"/>
          <w:sz w:val="18"/>
          <w:szCs w:val="18"/>
          <w:color w:val="auto"/>
        </w:rPr>
      </w:pPr>
    </w:p>
    <w:p>
      <w:pPr>
        <w:ind w:right="200" w:firstLine="921"/>
        <w:spacing w:after="0" w:line="268"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the Borrower hereunder is not paid when due, whether at stated maturity,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73" w:name="page74"/>
    <w:bookmarkEnd w:id="73"/>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40" w:lineRule="exact"/>
        <w:rPr>
          <w:sz w:val="20"/>
          <w:szCs w:val="20"/>
          <w:color w:val="auto"/>
        </w:rPr>
      </w:pPr>
    </w:p>
    <w:p>
      <w:pPr>
        <w:ind w:firstLine="921"/>
        <w:spacing w:after="0" w:line="254"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44" w:lineRule="exact"/>
        <w:rPr>
          <w:rFonts w:ascii="Arial" w:cs="Arial" w:eastAsia="Arial" w:hAnsi="Arial"/>
          <w:sz w:val="18"/>
          <w:szCs w:val="18"/>
          <w:color w:val="auto"/>
        </w:rPr>
      </w:pPr>
    </w:p>
    <w:p>
      <w:pPr>
        <w:ind w:right="60" w:firstLine="921"/>
        <w:spacing w:after="0" w:line="256" w:lineRule="auto"/>
        <w:tabs>
          <w:tab w:leader="none" w:pos="11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The applicable Alternate Base Rate, Adjusted LIBO Rate or LIBO Rate shall be determined by the Administrative Agent, and such determination shall be conclusive absent manifest error.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If prior to the commencement of any Interest Period for a Eurodollar Borrowing:</w:t>
      </w:r>
    </w:p>
    <w:p>
      <w:pPr>
        <w:spacing w:after="0" w:line="171" w:lineRule="exact"/>
        <w:rPr>
          <w:sz w:val="20"/>
          <w:szCs w:val="20"/>
          <w:color w:val="auto"/>
        </w:rPr>
      </w:pPr>
    </w:p>
    <w:p>
      <w:pPr>
        <w:ind w:right="80" w:firstLine="921"/>
        <w:spacing w:after="0" w:line="268"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131" w:lineRule="exact"/>
        <w:rPr>
          <w:rFonts w:ascii="Arial" w:cs="Arial" w:eastAsia="Arial" w:hAnsi="Arial"/>
          <w:sz w:val="18"/>
          <w:szCs w:val="18"/>
          <w:color w:val="auto"/>
        </w:rPr>
      </w:pPr>
    </w:p>
    <w:p>
      <w:pPr>
        <w:ind w:right="140" w:firstLine="921"/>
        <w:spacing w:after="0" w:line="259"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then 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such Borrowing shall be made as an ABR Borrowing.</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90" w:lineRule="exact"/>
        <w:rPr>
          <w:sz w:val="20"/>
          <w:szCs w:val="20"/>
          <w:color w:val="auto"/>
        </w:rPr>
      </w:pPr>
    </w:p>
    <w:p>
      <w:pPr>
        <w:ind w:left="920" w:right="60" w:firstLine="421"/>
        <w:spacing w:after="0" w:line="332" w:lineRule="auto"/>
        <w:tabs>
          <w:tab w:leader="none" w:pos="15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the account of, or credit extended by, any Lender (except any such reserve requirement reflected in the Adjusted LIBO Rate) or any Issuing Bank; or</w:t>
      </w:r>
    </w:p>
    <w:p>
      <w:pPr>
        <w:spacing w:after="0" w:line="4" w:lineRule="exact"/>
        <w:rPr>
          <w:rFonts w:ascii="Arial" w:cs="Arial" w:eastAsia="Arial" w:hAnsi="Arial"/>
          <w:sz w:val="16"/>
          <w:szCs w:val="16"/>
          <w:color w:val="auto"/>
        </w:rPr>
      </w:pPr>
    </w:p>
    <w:p>
      <w:pPr>
        <w:ind w:left="920" w:right="320" w:firstLine="421"/>
        <w:spacing w:after="0" w:line="259" w:lineRule="auto"/>
        <w:tabs>
          <w:tab w:leader="none" w:pos="15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affecting this Agreement or Eurodollar Loans made by such Lender or any Letter of Credit or participation therein (except for Taxes which are covered by Sections 2.17 and 10.09 and changes in the rate of tax on the overall net income of such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74" w:name="page75"/>
    <w:bookmarkEnd w:id="7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result of any of the foregoing shall be to increase the cost to such Lender of making or maintaining any Eurodollar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16" w:lineRule="exact"/>
        <w:rPr>
          <w:sz w:val="20"/>
          <w:szCs w:val="20"/>
          <w:color w:val="auto"/>
        </w:rPr>
      </w:pPr>
    </w:p>
    <w:p>
      <w:pPr>
        <w:ind w:right="140" w:firstLine="921"/>
        <w:spacing w:after="0" w:line="253"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Lender or any Issuing Bank determines that any Change in Law regarding capital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45" w:lineRule="exact"/>
        <w:rPr>
          <w:rFonts w:ascii="Arial" w:cs="Arial" w:eastAsia="Arial" w:hAnsi="Arial"/>
          <w:sz w:val="18"/>
          <w:szCs w:val="18"/>
          <w:color w:val="auto"/>
        </w:rPr>
      </w:pPr>
    </w:p>
    <w:p>
      <w:pPr>
        <w:ind w:firstLine="921"/>
        <w:spacing w:after="0" w:line="303" w:lineRule="auto"/>
        <w:tabs>
          <w:tab w:leader="none" w:pos="1152"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certificate of a Lender or the applicable Issuing Bank setting forth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10 days after receipt thereof.</w:t>
      </w:r>
    </w:p>
    <w:p>
      <w:pPr>
        <w:spacing w:after="0" w:line="164" w:lineRule="exact"/>
        <w:rPr>
          <w:rFonts w:ascii="Arial" w:cs="Arial" w:eastAsia="Arial" w:hAnsi="Arial"/>
          <w:sz w:val="15"/>
          <w:szCs w:val="15"/>
          <w:color w:val="auto"/>
        </w:rPr>
      </w:pPr>
    </w:p>
    <w:p>
      <w:pPr>
        <w:ind w:right="100" w:firstLine="921"/>
        <w:spacing w:after="0" w:line="291"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2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2.09(d)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 expense attributable to such event (which shall not include any loss of margin or Applicable Rate).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4" w:right="239" w:bottom="1440" w:gutter="0" w:footer="0" w:header="0"/>
        </w:sectPr>
      </w:pPr>
    </w:p>
    <w:bookmarkStart w:id="75" w:name="page76"/>
    <w:bookmarkEnd w:id="7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or on account of any obligation of the Borrower hereunder shall be made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20" w:lineRule="exact"/>
        <w:rPr>
          <w:sz w:val="20"/>
          <w:szCs w:val="20"/>
          <w:color w:val="auto"/>
        </w:rPr>
      </w:pPr>
    </w:p>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addition, the Borrower shall pay any Other Taxes to the relevant Governmental Authority in accordance with applicable law.</w:t>
      </w:r>
    </w:p>
    <w:p>
      <w:pPr>
        <w:spacing w:after="0" w:line="171" w:lineRule="exact"/>
        <w:rPr>
          <w:rFonts w:ascii="Arial" w:cs="Arial" w:eastAsia="Arial" w:hAnsi="Arial"/>
          <w:sz w:val="18"/>
          <w:szCs w:val="18"/>
          <w:color w:val="auto"/>
        </w:rPr>
      </w:pPr>
    </w:p>
    <w:p>
      <w:pPr>
        <w:ind w:right="80" w:firstLine="921"/>
        <w:spacing w:after="0" w:line="290"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18" w:lineRule="exact"/>
        <w:rPr>
          <w:rFonts w:ascii="Arial" w:cs="Arial" w:eastAsia="Arial" w:hAnsi="Arial"/>
          <w:sz w:val="16"/>
          <w:szCs w:val="16"/>
          <w:color w:val="auto"/>
        </w:rPr>
      </w:pPr>
    </w:p>
    <w:p>
      <w:pPr>
        <w:ind w:firstLine="921"/>
        <w:spacing w:after="0" w:line="289" w:lineRule="auto"/>
        <w:tabs>
          <w:tab w:leader="none" w:pos="1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Lender and each Issuing Bank shall indemnify the Borrower, the Administrative Agent and the Loan Guarantors, within 10 days after written demand therefor, against any and all Taxes and any and all related losses, claims, liabilities, penalties, interest and reasonable expenses (including the fees, charges and disbursements of any counsel for the Borrower, the Administrative Agent or the Loan Guarantors) incurred by or asserted against the Borrower, the Administrative Agent or the Loan Guarantors by any Governmental Authority as a result of the failure by such Lender or such Issuing Bank, as the case may be, to deliver, or as a result of the inaccuracy, inadequacy or deficiency of, any documentation required to be delivered to the Borrower, the Administrative Agent or the Loan Guarantors pursuant to Section 2.17(f). Each Lender and each Issuing Bank hereby authorizes the Administrative Agent to set off and apply any and all amounts at any time owing to such Lender or such Issuing Bank, as the case may be, under this Agreement or any other Loan Document against any amount due to the Administrative Agent under this Section 2.17(d).</w:t>
      </w:r>
    </w:p>
    <w:p>
      <w:pPr>
        <w:spacing w:after="0" w:line="118" w:lineRule="exact"/>
        <w:rPr>
          <w:rFonts w:ascii="Arial" w:cs="Arial" w:eastAsia="Arial" w:hAnsi="Arial"/>
          <w:sz w:val="16"/>
          <w:szCs w:val="16"/>
          <w:color w:val="auto"/>
        </w:rPr>
      </w:pPr>
    </w:p>
    <w:p>
      <w:pPr>
        <w:ind w:right="100" w:firstLine="921"/>
        <w:spacing w:after="0" w:line="306"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6" w:name="page77"/>
    <w:bookmarkEnd w:id="76"/>
    <w:p>
      <w:pPr>
        <w:ind w:right="80" w:firstLine="921"/>
        <w:spacing w:after="0" w:line="288" w:lineRule="auto"/>
        <w:tabs>
          <w:tab w:leader="none" w:pos="1132"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such properly completed and executed documentation prescribed by applicable law or reasonably requested by the Borrower as will permit such payments to be made without withholding or at a reduced rate. Such documentation shall be delivered by each Foreign Lender on or before the date it becomes a party to this Agreement (or, in the case of any Participant, on or before the date such Participant purchases the related participation). In addition, each Foreign Lender shall deliver such forms promptly upon the obsolescence, expiration, or invalidity of any form previously delivered by such Foreign Lender. Each Foreign Lender shall promptly notify the Borrower at any time it determines that it is no longer in a position to provide any previously delivered certificate to the Borrower (or any other form of certification adopted by the relevant taxing authorities for such purpose).</w:t>
      </w:r>
    </w:p>
    <w:p>
      <w:pPr>
        <w:spacing w:after="0" w:line="119" w:lineRule="exact"/>
        <w:rPr>
          <w:rFonts w:ascii="Arial" w:cs="Arial" w:eastAsia="Arial" w:hAnsi="Arial"/>
          <w:sz w:val="16"/>
          <w:szCs w:val="16"/>
          <w:color w:val="auto"/>
        </w:rPr>
      </w:pPr>
    </w:p>
    <w:p>
      <w:pPr>
        <w:ind w:firstLine="921"/>
        <w:spacing w:after="0" w:line="287"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Administrative Agent or a Lender determines, in its sole discretion, that it has received a refund of any Taxes or Other Taxes as to which it has been indemnified by the Borrower or the Loan Guarantors, or with respect to which the Borrower or the Loan Guarantors have paid additional amounts pursuant to Sections 2.17 or 10.09, it shall within 30 days after such determination pay over such refund to the Borrower (but only to the extent of indemnity payments made, or additional amounts paid, by the Borrower or the Loan Guarantors under Sections 2.17 or 10.09 with respect to the Taxes or Other Taxes giving rise to such refund), net of all out-of-pocket expenses of the Administrative Agent or such Lender and without interest (other than any interest paid by the relevant Governmental Authority with respect to such refund); provided, that the Borrower and the Loan Guarantors, upon the request of the Administrative Agent or such Lender, agree to repay the amount paid over to the Borrower or the Loan Guarantors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Borrower or any other Person.</w:t>
      </w:r>
    </w:p>
    <w:p>
      <w:pPr>
        <w:spacing w:after="0" w:line="12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 (a)The Borrower shall make each payment required to be made by it hereunder (whether of principal, interest, fees or reimbursement of LC Disbursements, or of amounts payable under Section 2.15, 2.16 or 2.17,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22</w:t>
      </w:r>
      <w:r>
        <w:rPr>
          <w:rFonts w:ascii="Arial" w:cs="Arial" w:eastAsia="Arial" w:hAnsi="Arial"/>
          <w:sz w:val="10"/>
          <w:szCs w:val="10"/>
          <w:color w:val="auto"/>
        </w:rPr>
        <w:t>nd</w:t>
      </w:r>
      <w:r>
        <w:rPr>
          <w:rFonts w:ascii="Arial" w:cs="Arial" w:eastAsia="Arial" w:hAnsi="Arial"/>
          <w:sz w:val="16"/>
          <w:szCs w:val="16"/>
          <w:color w:val="auto"/>
        </w:rPr>
        <w:t xml:space="preserve"> Floor, Chicago, Illinois, except payments to be made directly to an Issuing Bank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23" w:lineRule="exact"/>
        <w:rPr>
          <w:sz w:val="20"/>
          <w:szCs w:val="20"/>
          <w:color w:val="auto"/>
        </w:rPr>
      </w:pPr>
    </w:p>
    <w:p>
      <w:pPr>
        <w:ind w:firstLine="921"/>
        <w:spacing w:after="0" w:line="256"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Arial" w:cs="Arial" w:eastAsia="Arial" w:hAnsi="Arial"/>
          <w:sz w:val="18"/>
          <w:szCs w:val="18"/>
          <w:u w:val="single" w:color="auto"/>
          <w:color w:val="auto"/>
        </w:rPr>
        <w:t>first</w:t>
      </w:r>
      <w:r>
        <w:rPr>
          <w:rFonts w:ascii="Arial" w:cs="Arial" w:eastAsia="Arial" w:hAnsi="Arial"/>
          <w:sz w:val="18"/>
          <w:szCs w:val="18"/>
          <w:color w:val="auto"/>
        </w:rPr>
        <w:t>, to pay any fees, indemnities, or expense reimbursements including amounts then due to the Administrative Agent and the Issuing Banks from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4" w:right="239" w:bottom="1440" w:gutter="0" w:footer="0" w:header="0"/>
        </w:sectPr>
      </w:pPr>
    </w:p>
    <w:bookmarkStart w:id="77" w:name="page78"/>
    <w:bookmarkEnd w:id="7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(other than in connection with Banking Services or Secured Swap Obligations),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Borrower (other than in connection with Banking Services or Secured Swap Obligations),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prepay principal on the Loans and unreimbursed LC Disbursements ratably,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pay an amount to the Administrative Agent equal to one hundred five percent (105%) of the aggregate undrawn face amount of all outstanding Letters of Credit, to be held as cash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payment of any amounts owing with respect to Banking Services Obligations and Secured Swap Obligations, and </w:t>
      </w:r>
      <w:r>
        <w:rPr>
          <w:rFonts w:ascii="Arial" w:cs="Arial" w:eastAsia="Arial" w:hAnsi="Arial"/>
          <w:sz w:val="16"/>
          <w:szCs w:val="16"/>
          <w:u w:val="single" w:color="auto"/>
          <w:color w:val="auto"/>
        </w:rPr>
        <w:t>seventh</w:t>
      </w:r>
      <w:r>
        <w:rPr>
          <w:rFonts w:ascii="Arial" w:cs="Arial" w:eastAsia="Arial" w:hAnsi="Arial"/>
          <w:sz w:val="16"/>
          <w:szCs w:val="16"/>
          <w:color w:val="auto"/>
        </w:rPr>
        <w:t>, to the payment of any other Secured Obligation due to the Administrative Agent or any Lender by the Borrower</w:t>
      </w:r>
      <w:r>
        <w:rPr>
          <w:rFonts w:ascii="Arial" w:cs="Arial" w:eastAsia="Arial" w:hAnsi="Arial"/>
          <w:sz w:val="16"/>
          <w:szCs w:val="16"/>
          <w:i w:val="1"/>
          <w:iCs w:val="1"/>
          <w:color w:val="auto"/>
        </w:rPr>
        <w:t>.</w:t>
      </w:r>
      <w:r>
        <w:rPr>
          <w:rFonts w:ascii="Arial" w:cs="Arial" w:eastAsia="Arial" w:hAnsi="Arial"/>
          <w:sz w:val="16"/>
          <w:szCs w:val="16"/>
          <w:color w:val="auto"/>
        </w:rPr>
        <w:t xml:space="preserve"> Notwithstanding anything to the contrary contained in this Agreement, unless so directed by the Borrower, or unless a Default is in existence, neither the Administrative Agent nor any Lender shall apply any payment which it receives to any Eurodollar Loan, except (a) on the expiration date of the Interest Period applicable to any such Eurodollar Loan or (b) in the event, and only to the extent, that there are no outstanding ABR Loans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27" w:lineRule="exact"/>
        <w:rPr>
          <w:sz w:val="20"/>
          <w:szCs w:val="20"/>
          <w:color w:val="auto"/>
        </w:rPr>
      </w:pPr>
    </w:p>
    <w:p>
      <w:pPr>
        <w:jc w:val="both"/>
        <w:ind w:firstLine="921"/>
        <w:spacing w:after="0" w:line="306"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 the election of the Borrower but subject to the conditions set forth in Section 4.02,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following a request by the Borrower pursuant to Section 2.03.</w:t>
      </w:r>
    </w:p>
    <w:p>
      <w:pPr>
        <w:spacing w:after="0" w:line="106"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the Borrower or any Subsidiary (as to which the provisions of this paragraph shall apply) or (B) to the extent such payment is made directly by the Borrower or any Subsidiary (and is not otherwise permitted by this Agreement), any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8" w:lineRule="exact"/>
        <w:rPr>
          <w:rFonts w:ascii="Arial" w:cs="Arial" w:eastAsia="Arial" w:hAnsi="Arial"/>
          <w:sz w:val="16"/>
          <w:szCs w:val="16"/>
          <w:color w:val="auto"/>
        </w:rPr>
      </w:pPr>
    </w:p>
    <w:p>
      <w:pPr>
        <w:ind w:firstLine="921"/>
        <w:spacing w:after="0" w:line="256" w:lineRule="auto"/>
        <w:tabs>
          <w:tab w:leader="none" w:pos="11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78" w:name="page79"/>
    <w:bookmarkEnd w:id="7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13" w:lineRule="exact"/>
        <w:rPr>
          <w:sz w:val="20"/>
          <w:szCs w:val="20"/>
          <w:color w:val="auto"/>
        </w:rPr>
      </w:pPr>
    </w:p>
    <w:p>
      <w:pPr>
        <w:ind w:right="60" w:firstLine="921"/>
        <w:spacing w:after="0" w:line="294" w:lineRule="auto"/>
        <w:tabs>
          <w:tab w:leader="none" w:pos="11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0" w:lineRule="auto"/>
        <w:tabs>
          <w:tab w:leader="none" w:pos="1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2.15, or if the Borrower or the Loan Guarantors are required to pay any additional amount to any Lender or any Governmental Authority for the account of any Lender pursuant to Sections 2.17 or 10.09,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2.17 or 10.09,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18" w:lineRule="exact"/>
        <w:rPr>
          <w:rFonts w:ascii="Arial" w:cs="Arial" w:eastAsia="Arial" w:hAnsi="Arial"/>
          <w:sz w:val="16"/>
          <w:szCs w:val="16"/>
          <w:color w:val="auto"/>
        </w:rPr>
      </w:pPr>
    </w:p>
    <w:p>
      <w:pPr>
        <w:ind w:firstLine="921"/>
        <w:spacing w:after="0" w:line="286"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2.15, or if the Borrower or the Loan Guarantors are required to pay any additional amount to any Lender or any Governmental Authority for the account of any Lender) pursuant to Section 2.17 or Section 10.09,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Sections 2.17 or 10.09,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79" w:name="page80"/>
    <w:bookmarkEnd w:id="79"/>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ind w:left="1160" w:hanging="23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2.12(a);</w:t>
      </w:r>
    </w:p>
    <w:p>
      <w:pPr>
        <w:spacing w:after="0" w:line="171" w:lineRule="exact"/>
        <w:rPr>
          <w:rFonts w:ascii="Arial" w:cs="Arial" w:eastAsia="Arial" w:hAnsi="Arial"/>
          <w:sz w:val="18"/>
          <w:szCs w:val="18"/>
          <w:color w:val="auto"/>
        </w:rPr>
      </w:pPr>
    </w:p>
    <w:p>
      <w:pPr>
        <w:ind w:right="220" w:firstLine="921"/>
        <w:spacing w:after="0" w:line="256"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Commitment and Credit Exposure of such Defaulting Lender shall not be included in determining whether all Lenders or the Required Lenders have taken or may take any action hereunder (including any consent to any amendment or waiver pursuant to Section 9.02), provided that any waiver, amendment or modification requiring the consent of all Lenders or each affected Lender which affects such Defaulting Lender differently than other affected Lenders shall require the consent of such Defaulting Lender;</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any LC Exposure exists at the time a Lender becomes a Defaulting Lender then:</w:t>
      </w:r>
    </w:p>
    <w:p>
      <w:pPr>
        <w:spacing w:after="0" w:line="90" w:lineRule="exact"/>
        <w:rPr>
          <w:rFonts w:ascii="Arial" w:cs="Arial" w:eastAsia="Arial" w:hAnsi="Arial"/>
          <w:sz w:val="18"/>
          <w:szCs w:val="18"/>
          <w:color w:val="auto"/>
        </w:rPr>
      </w:pPr>
    </w:p>
    <w:p>
      <w:pPr>
        <w:ind w:left="920" w:right="240" w:firstLine="421"/>
        <w:spacing w:after="0" w:line="306" w:lineRule="auto"/>
        <w:tabs>
          <w:tab w:leader="none" w:pos="1549"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or any part of the LC Exposure of such Defaulting Lender shall be reallocated among the non-Defaulting Lenders in accordance with their respective Applicable Percentages but only to the extent the sum of all non-Defaulting Lenders’ Credit Exposures plus such Defaulting Lender’s LC Exposure does not exceed the total of all non-Defaulting Lenders’ Commitments; and</w:t>
      </w:r>
    </w:p>
    <w:p>
      <w:pPr>
        <w:spacing w:after="0" w:line="25" w:lineRule="exact"/>
        <w:rPr>
          <w:rFonts w:ascii="Arial" w:cs="Arial" w:eastAsia="Arial" w:hAnsi="Arial"/>
          <w:sz w:val="16"/>
          <w:szCs w:val="16"/>
          <w:color w:val="auto"/>
        </w:rPr>
      </w:pPr>
    </w:p>
    <w:p>
      <w:pPr>
        <w:ind w:left="920" w:right="80" w:firstLine="421"/>
        <w:spacing w:after="0" w:line="298" w:lineRule="auto"/>
        <w:tabs>
          <w:tab w:leader="none" w:pos="1598"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Borrower shall within one Business Day following notice by the Administrative Agent, cash collateralize for the benefit of the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31" w:lineRule="exact"/>
        <w:rPr>
          <w:rFonts w:ascii="Arial" w:cs="Arial" w:eastAsia="Arial" w:hAnsi="Arial"/>
          <w:sz w:val="16"/>
          <w:szCs w:val="16"/>
          <w:color w:val="auto"/>
        </w:rPr>
      </w:pPr>
    </w:p>
    <w:p>
      <w:pPr>
        <w:ind w:left="920" w:right="60" w:firstLine="421"/>
        <w:spacing w:after="0" w:line="259" w:lineRule="auto"/>
        <w:tabs>
          <w:tab w:leader="none" w:pos="16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Borrower cash collateralizes any portion of such Defaulting Lender’s LC Exposure pursuant to Section 2.20(c), the Borrower shall not be required to pay any fees to such Defaulting Lender pursuant to Section 2.12(b) with respect to such Defaulting Lender’s LC Exposure during the period such Defaulting Lender’s LC Exposure is cash collateralized;</w:t>
      </w:r>
    </w:p>
    <w:p>
      <w:pPr>
        <w:spacing w:after="0" w:line="59" w:lineRule="exact"/>
        <w:rPr>
          <w:rFonts w:ascii="Arial" w:cs="Arial" w:eastAsia="Arial" w:hAnsi="Arial"/>
          <w:sz w:val="18"/>
          <w:szCs w:val="18"/>
          <w:color w:val="auto"/>
        </w:rPr>
      </w:pPr>
    </w:p>
    <w:p>
      <w:pPr>
        <w:ind w:left="920" w:right="20" w:firstLine="421"/>
        <w:spacing w:after="0" w:line="332" w:lineRule="auto"/>
        <w:tabs>
          <w:tab w:leader="none" w:pos="16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Section 2.20(c), then the fees payable to the Lenders pursuant to Section 2.12(a) and Section 2.12(b) shall be adjusted in accordance with such non-Defaulting Lenders’ Applicable Percentages; or</w:t>
      </w:r>
    </w:p>
    <w:p>
      <w:pPr>
        <w:spacing w:after="0" w:line="4" w:lineRule="exact"/>
        <w:rPr>
          <w:rFonts w:ascii="Arial" w:cs="Arial" w:eastAsia="Arial" w:hAnsi="Arial"/>
          <w:sz w:val="16"/>
          <w:szCs w:val="16"/>
          <w:color w:val="auto"/>
        </w:rPr>
      </w:pPr>
    </w:p>
    <w:p>
      <w:pPr>
        <w:ind w:left="920" w:firstLine="421"/>
        <w:spacing w:after="0" w:line="294" w:lineRule="auto"/>
        <w:tabs>
          <w:tab w:leader="none" w:pos="1588"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all or any portion of such Defaulting Lender’s LC Exposure is neither cash collateralized nor reallocated pursuant to Section 2.20(c),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Banks until such LC Exposure is cash collateralized and/or reallocated;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334" w:right="299" w:bottom="1440" w:gutter="0" w:footer="0" w:header="0"/>
        </w:sectPr>
      </w:pPr>
    </w:p>
    <w:bookmarkStart w:id="80" w:name="page81"/>
    <w:bookmarkEnd w:id="80"/>
    <w:p>
      <w:pPr>
        <w:ind w:right="120" w:firstLine="921"/>
        <w:spacing w:after="0" w:line="255"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such Lender is a Defaulting Lender,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Section 2.20(c), and participating interests in any such newly issued or increased Letter of Credit shall be allocated among non-Defaulting Lenders in a manner consistent with Section 2.20(c)(i) (and such Defaulting Lender shall not participate therein);</w:t>
      </w:r>
    </w:p>
    <w:p>
      <w:pPr>
        <w:spacing w:after="0" w:line="142"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(i) a Bankruptcy Event with respect to a Parent of any Lender shall occur following the date hereof and for so long as such event shall continue or (ii) an Issuing Bank has a good faith belief that any Lender has defaulted in fulfilling its obligations under one or more other agreements in which such Lender commits to extend credit, such Issuing Bank shall not be required to issue or increase any Letter of Credit unless such Issuing Bank shall have entered into arrangements with the Borrower or such Lender, reasonably satisfactory to such Issuing Bank, as the case may be, to defease any risk to it in respect of such Lender hereunder; and</w:t>
      </w:r>
    </w:p>
    <w:p>
      <w:pPr>
        <w:spacing w:after="0" w:line="142" w:lineRule="exact"/>
        <w:rPr>
          <w:rFonts w:ascii="Arial" w:cs="Arial" w:eastAsia="Arial" w:hAnsi="Arial"/>
          <w:sz w:val="18"/>
          <w:szCs w:val="18"/>
          <w:color w:val="auto"/>
        </w:rPr>
      </w:pPr>
    </w:p>
    <w:p>
      <w:pPr>
        <w:ind w:right="200" w:firstLine="921"/>
        <w:spacing w:after="0" w:line="298" w:lineRule="auto"/>
        <w:tabs>
          <w:tab w:leader="none" w:pos="11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and on the date that each of the Administrative Agent, the Borrower,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w:t>
      </w:r>
    </w:p>
    <w:p>
      <w:pPr>
        <w:spacing w:after="0" w:line="11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Returned Payments</w:t>
      </w:r>
      <w:r>
        <w:rPr>
          <w:rFonts w:ascii="Arial" w:cs="Arial" w:eastAsia="Arial" w:hAnsi="Arial"/>
          <w:sz w:val="16"/>
          <w:szCs w:val="16"/>
          <w:color w:val="auto"/>
        </w:rPr>
        <w:t>. If after receipt of any payment which is applied to the payment of all or any part of the Obligations,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Loan Parties and each of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each Loan Party’s corporate powers and have been duly authorized by all necessary corporate and, if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4" w:right="259" w:bottom="1440" w:gutter="0" w:footer="0" w:header="0"/>
        </w:sectPr>
      </w:pPr>
    </w:p>
    <w:bookmarkStart w:id="81" w:name="page82"/>
    <w:bookmarkEnd w:id="81"/>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action. This Agreement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on the part of any Loan Party or any of its Subsidiaries,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applicable law or regulation or the charter, by-laws or other organizational documents of any Loan Party or any of its Subsidiaries or any order of any Governmental Authority, (c) will not violate or result in a default under, or give rise to a right to require any payment to be made by any Loan Party or any of its Subsidiaries under, (i) any indenture or loan agreement, in each case, evidencing Indebtedness in excess of $1,000,000, (ii) any Swap Agreement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w:t>
      </w:r>
    </w:p>
    <w:p>
      <w:pPr>
        <w:spacing w:after="0" w:line="118"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Borrower has heretofore furnished to the Lenders its consolidated balance sheet and statements of income, stockholders equity and cash flows (i) as of and for the fiscal year ended December 31, 2010, reported on by Ernst &amp; Young LLP, independent public accountants, and (ii) as of and for the fiscal quarter and the portion of the fiscal year ended March 31, 2011, certified by its chief financial officer.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 No event, change or condition has occurred that has had, or could reasonably be expected to have, a Material Adverse Effect, since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65"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Properties</w:t>
      </w:r>
      <w:r>
        <w:rPr>
          <w:rFonts w:ascii="Arial" w:cs="Arial" w:eastAsia="Arial" w:hAnsi="Arial"/>
          <w:sz w:val="16"/>
          <w:szCs w:val="16"/>
          <w:color w:val="auto"/>
        </w:rPr>
        <w:t>. (a) Each of the Loan Parties and its Subsidiaries has good title to, or valid leasehold interests in, all its real and personal property, except for defects in title that, individually or in the aggregate, could not reasonably be expected to result in a Material Adverse Effect.</w:t>
      </w:r>
    </w:p>
    <w:p>
      <w:pPr>
        <w:spacing w:after="0" w:line="85" w:lineRule="exact"/>
        <w:rPr>
          <w:sz w:val="20"/>
          <w:szCs w:val="20"/>
          <w:color w:val="auto"/>
        </w:rPr>
      </w:pPr>
    </w:p>
    <w:p>
      <w:pPr>
        <w:ind w:right="100" w:firstLine="921"/>
        <w:spacing w:after="0" w:line="306" w:lineRule="auto"/>
        <w:tabs>
          <w:tab w:leader="none" w:pos="11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07"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any Loan Party, threatened against or affecting the Loan Parties or any of its Subsidiaries (i) that could reasonably be expected, individually or in the aggregate, to result in a Material Adverse Effect or (ii) that involve this Agreement or the Transactions.</w:t>
      </w:r>
    </w:p>
    <w:p>
      <w:pPr>
        <w:spacing w:after="0" w:line="107" w:lineRule="exact"/>
        <w:rPr>
          <w:sz w:val="20"/>
          <w:szCs w:val="20"/>
          <w:color w:val="auto"/>
        </w:rPr>
      </w:pPr>
    </w:p>
    <w:p>
      <w:pPr>
        <w:ind w:right="40" w:firstLine="921"/>
        <w:spacing w:after="0" w:line="268"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Loan Party nor any of its Subsidiaries (i) has failed to comply with any Environmental Law or to obtain, maintain or comply with any permit, license or other approval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82" w:name="page83"/>
    <w:bookmarkEnd w:id="82"/>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any Environmental Law, (ii) has become subject to any Environmental Liability, (iii) 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4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No Loan Party nor any of its Subsidiaries is subject to regulation under the Investment Company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1940.</w:t>
      </w:r>
    </w:p>
    <w:p>
      <w:pPr>
        <w:spacing w:after="0" w:line="16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4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44"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information (other than any projected financial information or other forward-looking information or information of a general economic or general industry specific nature)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2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Capitalization and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as of the date hereof, (a) a correct and complete list of the name and relationship to the Borrower of each and all of the Borrower’s Subsidiaries, (b) the type of entity and jurisdiction of organization of the Borrower and each of its Subsidiaries, and (c) which of the Borrower’s Subsidiaries are Material Domestic Subsidiaries and Material Foreign Subsidiaries. All of the issued and outstanding Equity Interests owned by any Loan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280" w:right="299" w:bottom="1440" w:gutter="0" w:footer="0" w:header="0"/>
        </w:sectPr>
      </w:pPr>
    </w:p>
    <w:bookmarkStart w:id="83" w:name="page84"/>
    <w:bookmarkEnd w:id="8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has been (to the extent such concepts are relevant with respect to such ownership interests) duly authorized and issued and is fully paid and non-assessable.</w:t>
      </w:r>
    </w:p>
    <w:p>
      <w:pPr>
        <w:spacing w:after="0" w:line="206" w:lineRule="exact"/>
        <w:rPr>
          <w:sz w:val="20"/>
          <w:szCs w:val="20"/>
          <w:color w:val="auto"/>
        </w:rPr>
      </w:pPr>
    </w:p>
    <w:p>
      <w:pPr>
        <w:jc w:val="both"/>
        <w:ind w:right="160" w:firstLine="913"/>
        <w:spacing w:after="0" w:line="290"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The provisions of this Agreement and the other Loan Documents create legal and valid Liens on all the Collateral located within the United States of America in favor of the Administrative Agent, for the benefit of the Secured Parties, and such Liens constitute perfected and continuing Liens on such Collateral in which a security interest can be perfected by filing the applicable financing statement in the Loan Parties’ applicable jurisdiction of organization, securing the Secured Obligations, enforceable against the applicable Loan Party, and having priority over all other Liens on such Collateral except in the case of (a) Liens permitted pursuant to Section 6.02, to the extent any such Liens would have priority over the Liens in favor of the Administrative Agent and (b) Liens perfected only by possession (including possession of any certificate of title) to the extent the Administrative Agent has not obtained or does not maintain possession of such Collateral.</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Common Enterprise</w:t>
      </w:r>
      <w:r>
        <w:rPr>
          <w:rFonts w:ascii="Arial" w:cs="Arial" w:eastAsia="Arial" w:hAnsi="Arial"/>
          <w:sz w:val="16"/>
          <w:szCs w:val="16"/>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85" w:lineRule="exact"/>
        <w:rPr>
          <w:sz w:val="20"/>
          <w:szCs w:val="20"/>
          <w:color w:val="auto"/>
        </w:rPr>
      </w:pPr>
    </w:p>
    <w:p>
      <w:pPr>
        <w:ind w:right="60" w:firstLine="921"/>
        <w:spacing w:after="0" w:line="290"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The Administrative Agent (or its counsel) shall have received (i) from each party hereto either (A) a counterpart of this Agreement signed on behalf of such party or (B) written evidence satisfactory to the Administrative Agent (which may include facsimile or emailed .pdf transmission of a signed signature page of this Agreement) that such party has signed a counterpart of this Agreement (with original counterparts to follow promptly thereafter) and (ii) duly executed copies of the Loan Documents and such other certificates, documents, instruments and agreements as the Administrative Agent shall reasonably request in connection with the transactions contemplated by this Agreement and the other Loan Documents, including any Notes requested by a Lender pursuant to Section 2.10 payable to the order of each such requesting Lender and a written opinion of the Loan Parties’ counsel, addressed to the Administrative Agent, the Issuing Banks and the Lenders and in form and substance reasonably satisfactory to the Administrative Agent.</w:t>
      </w:r>
    </w:p>
    <w:p>
      <w:pPr>
        <w:spacing w:after="0" w:line="118" w:lineRule="exact"/>
        <w:rPr>
          <w:rFonts w:ascii="Arial" w:cs="Arial" w:eastAsia="Arial" w:hAnsi="Arial"/>
          <w:sz w:val="16"/>
          <w:szCs w:val="16"/>
          <w:color w:val="auto"/>
        </w:rPr>
      </w:pPr>
    </w:p>
    <w:p>
      <w:pPr>
        <w:ind w:right="460" w:firstLine="921"/>
        <w:spacing w:after="0" w:line="332" w:lineRule="auto"/>
        <w:tabs>
          <w:tab w:leader="none" w:pos="116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Financial Statements and Projections</w:t>
      </w:r>
      <w:r>
        <w:rPr>
          <w:rFonts w:ascii="Arial" w:cs="Arial" w:eastAsia="Arial" w:hAnsi="Arial"/>
          <w:sz w:val="16"/>
          <w:szCs w:val="16"/>
          <w:color w:val="auto"/>
        </w:rPr>
        <w:t>. The Lenders shall have received (i) audited consolidated financial statements of the Borrower and its Subsidiaries for the 2008, 2009 and 2010 fiscal years, (ii) unaudited interim consolidated financial statements of the Borrower and its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84" w:name="page85"/>
    <w:bookmarkEnd w:id="8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for each fiscal quarter ended after the date of the latest applicable financial statements delivered pursuant to clause (i) of this paragraph as to which such financial statements are available, and (iii) projections through 2014.</w:t>
      </w:r>
    </w:p>
    <w:p>
      <w:pPr>
        <w:spacing w:after="0" w:line="132" w:lineRule="exact"/>
        <w:rPr>
          <w:sz w:val="20"/>
          <w:szCs w:val="20"/>
          <w:color w:val="auto"/>
        </w:rPr>
      </w:pPr>
    </w:p>
    <w:p>
      <w:pPr>
        <w:ind w:firstLine="921"/>
        <w:spacing w:after="0" w:line="283" w:lineRule="auto"/>
        <w:tabs>
          <w:tab w:leader="none" w:pos="1152"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Closing Certificates; Certified Certificate of Incorporation; Good Standing Certificates</w:t>
      </w:r>
      <w:r>
        <w:rPr>
          <w:rFonts w:ascii="Arial" w:cs="Arial" w:eastAsia="Arial" w:hAnsi="Arial"/>
          <w:sz w:val="16"/>
          <w:szCs w:val="16"/>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w:t>
      </w:r>
    </w:p>
    <w:p>
      <w:pPr>
        <w:spacing w:after="0" w:line="2" w:lineRule="exact"/>
        <w:rPr>
          <w:rFonts w:ascii="Arial" w:cs="Arial" w:eastAsia="Arial" w:hAnsi="Arial"/>
          <w:sz w:val="16"/>
          <w:szCs w:val="16"/>
          <w:color w:val="auto"/>
        </w:rPr>
      </w:pPr>
    </w:p>
    <w:p>
      <w:pPr>
        <w:jc w:val="both"/>
        <w:ind w:right="80" w:firstLine="8"/>
        <w:spacing w:after="0" w:line="255" w:lineRule="auto"/>
        <w:tabs>
          <w:tab w:leader="none" w:pos="2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and (ii) a long form good standing certificate for each Loan Party from its jurisdiction of organization.</w:t>
      </w:r>
    </w:p>
    <w:p>
      <w:pPr>
        <w:spacing w:after="0" w:line="144" w:lineRule="exact"/>
        <w:rPr>
          <w:rFonts w:ascii="Arial" w:cs="Arial" w:eastAsia="Arial" w:hAnsi="Arial"/>
          <w:sz w:val="18"/>
          <w:szCs w:val="18"/>
          <w:color w:val="auto"/>
        </w:rPr>
      </w:pPr>
    </w:p>
    <w:p>
      <w:pPr>
        <w:ind w:firstLine="921"/>
        <w:spacing w:after="0" w:line="298" w:lineRule="auto"/>
        <w:tabs>
          <w:tab w:leader="none" w:pos="1161"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No Default Certificate</w:t>
      </w:r>
      <w:r>
        <w:rPr>
          <w:rFonts w:ascii="Arial" w:cs="Arial" w:eastAsia="Arial" w:hAnsi="Arial"/>
          <w:sz w:val="16"/>
          <w:szCs w:val="16"/>
          <w:color w:val="auto"/>
        </w:rPr>
        <w:t>. The Administrative Agent shall have received a certificate, signed by the chief financial officer of the Borrower on the initial Borrowing date (i) stating that no Default has occurred and is continuing, (ii) stating that the representations and warranties contained in Article III are true and correct in all material respects as of such date except that any representation and warranty that is qualified as to “materiality” or “Material Adverse Effect” shall be true and correct in all respects, and (iii) certifying any other factual matters as may be reasonably requested by the Administrative Agent.</w:t>
      </w:r>
    </w:p>
    <w:p>
      <w:pPr>
        <w:spacing w:after="0" w:line="112" w:lineRule="exact"/>
        <w:rPr>
          <w:rFonts w:ascii="Arial" w:cs="Arial" w:eastAsia="Arial" w:hAnsi="Arial"/>
          <w:sz w:val="16"/>
          <w:szCs w:val="16"/>
          <w:color w:val="auto"/>
        </w:rPr>
      </w:pPr>
    </w:p>
    <w:p>
      <w:pPr>
        <w:jc w:val="both"/>
        <w:ind w:right="100" w:firstLine="921"/>
        <w:spacing w:after="0" w:line="256" w:lineRule="auto"/>
        <w:tabs>
          <w:tab w:leader="none" w:pos="115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and all expenses for which invoices have been presented (including the reasonable fees and expenses of outside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43" w:lineRule="exact"/>
        <w:rPr>
          <w:rFonts w:ascii="Arial" w:cs="Arial" w:eastAsia="Arial" w:hAnsi="Arial"/>
          <w:sz w:val="18"/>
          <w:szCs w:val="18"/>
          <w:color w:val="auto"/>
        </w:rPr>
      </w:pPr>
    </w:p>
    <w:p>
      <w:pPr>
        <w:ind w:right="20" w:firstLine="921"/>
        <w:spacing w:after="0" w:line="306" w:lineRule="auto"/>
        <w:tabs>
          <w:tab w:leader="none" w:pos="113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Administrative Agent shall have received the results of a recent lien search in each of the jurisdictions where assets of the Loan Parties are located, and such search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106" w:lineRule="exact"/>
        <w:rPr>
          <w:rFonts w:ascii="Arial" w:cs="Arial" w:eastAsia="Arial" w:hAnsi="Arial"/>
          <w:sz w:val="16"/>
          <w:szCs w:val="16"/>
          <w:color w:val="auto"/>
        </w:rPr>
      </w:pPr>
    </w:p>
    <w:p>
      <w:pPr>
        <w:ind w:right="60" w:firstLine="921"/>
        <w:spacing w:after="0" w:line="298" w:lineRule="auto"/>
        <w:tabs>
          <w:tab w:leader="none" w:pos="1161"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Pledged Stock; Stock Powers; Pledged Notes</w:t>
      </w:r>
      <w:r>
        <w:rPr>
          <w:rFonts w:ascii="Arial" w:cs="Arial" w:eastAsia="Arial" w:hAnsi="Arial"/>
          <w:sz w:val="16"/>
          <w:szCs w:val="16"/>
          <w:color w:val="auto"/>
        </w:rPr>
        <w:t>. The Administrative Agent shall have received (i) the certificates representing the shares of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12" w:lineRule="exact"/>
        <w:rPr>
          <w:rFonts w:ascii="Arial" w:cs="Arial" w:eastAsia="Arial" w:hAnsi="Arial"/>
          <w:sz w:val="16"/>
          <w:szCs w:val="16"/>
          <w:color w:val="auto"/>
        </w:rPr>
      </w:pPr>
    </w:p>
    <w:p>
      <w:pPr>
        <w:ind w:firstLine="921"/>
        <w:spacing w:after="0" w:line="298" w:lineRule="auto"/>
        <w:tabs>
          <w:tab w:leader="none" w:pos="1161"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(but only to the extent required therein), prior and superior in right to any other Person (other than with respect to Liens expressly permitted by Section 6.02), shall be in proper form for filing, registration or recordation.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85" w:name="page86"/>
    <w:bookmarkEnd w:id="85"/>
    <w:p>
      <w:pPr>
        <w:ind w:right="80" w:firstLine="921"/>
        <w:spacing w:after="0" w:line="332" w:lineRule="auto"/>
        <w:tabs>
          <w:tab w:leader="none" w:pos="112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6"/>
          <w:szCs w:val="16"/>
          <w:color w:val="auto"/>
        </w:rPr>
        <w:t>. The Administrative Agent shall have received evidence of insurance coverage in form, scope, and substance reasonably satisfactory to the Administrative Agent and otherwise in compliance with the terms of Section 5.05 and Section 4.10 of the Security Agreement.</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The Administrative Agent shall have received a solvency certificate from a Financial Officer substantially in the form attached hereto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Exhibit D.</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Administrative Agent shall have received a properly completed and signed IRS Form W-8 or W-9, as applicable, for each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Borrower and the Lenders of the Effective Date, and such notice shall be conclusive and binding.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any Loan, and of the Issuing Banks to issue or increase any Letter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Credit, is subject to the satisfaction of the following conditions:</w:t>
      </w:r>
    </w:p>
    <w:p>
      <w:pPr>
        <w:spacing w:after="0" w:line="165" w:lineRule="exact"/>
        <w:rPr>
          <w:sz w:val="20"/>
          <w:szCs w:val="20"/>
          <w:color w:val="auto"/>
        </w:rPr>
      </w:pPr>
    </w:p>
    <w:p>
      <w:pPr>
        <w:jc w:val="both"/>
        <w:ind w:right="200" w:firstLine="921"/>
        <w:spacing w:after="0" w:line="298" w:lineRule="auto"/>
        <w:tabs>
          <w:tab w:leader="none" w:pos="11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(ii) any representation and warranty that is qualified as to “materiality” or “Material Adverse Effect” shall be true and correct in all respects.</w:t>
      </w:r>
    </w:p>
    <w:p>
      <w:pPr>
        <w:spacing w:after="0" w:line="112" w:lineRule="exact"/>
        <w:rPr>
          <w:rFonts w:ascii="Arial" w:cs="Arial" w:eastAsia="Arial" w:hAnsi="Arial"/>
          <w:sz w:val="16"/>
          <w:szCs w:val="16"/>
          <w:color w:val="auto"/>
        </w:rPr>
      </w:pPr>
    </w:p>
    <w:p>
      <w:pPr>
        <w:ind w:firstLine="921"/>
        <w:spacing w:after="0" w:line="268"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or increase of such Letter of Credit, as applicable, no Default shall have occurred and be continuing.</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Each Loan and each issuance or increase of a Letter of Credit shall be deemed to constitute a representation and warranty by the Borrower on the date thereof as to the matters specified in paragraphs (a) and (b) of this Section.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payable hereunder shall have been paid in full and all Letters of Credit shall have expired or terminated or been cash collateralized and all LC Disbursements shall have been reimbursed, each Loan Party executing this Agreement covenants and agrees, jointly and severally with all of the Loan Parties, with the Lenders that: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and each Lender:</w:t>
      </w:r>
    </w:p>
    <w:p>
      <w:pPr>
        <w:spacing w:after="0" w:line="194" w:lineRule="exact"/>
        <w:rPr>
          <w:sz w:val="20"/>
          <w:szCs w:val="20"/>
          <w:color w:val="auto"/>
        </w:rPr>
      </w:pPr>
    </w:p>
    <w:p>
      <w:pPr>
        <w:ind w:right="240" w:firstLine="921"/>
        <w:spacing w:after="0" w:line="294"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the Borrower, (i)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4" w:right="239" w:bottom="1440" w:gutter="0" w:footer="0" w:header="0"/>
        </w:sectPr>
      </w:pPr>
    </w:p>
    <w:bookmarkStart w:id="86" w:name="page87"/>
    <w:bookmarkEnd w:id="8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and its consolidated Subsidiaries on a consolidated basis in accordance with GAAP consistently applied, and (ii) unaudited consolidating balance sheets and related statements of operations, stockholders’ equity and cash flows as of the end of and for such year, certified by one of the Borrower’s Financial Officers as presenting fairly in all material respects the financial condition and results of operations of the Borrower and its consolidated Subsidiaries on a consolidating basis in accordance with GAAP;</w:t>
      </w:r>
    </w:p>
    <w:p>
      <w:pPr>
        <w:spacing w:after="0" w:line="143" w:lineRule="exact"/>
        <w:rPr>
          <w:sz w:val="20"/>
          <w:szCs w:val="20"/>
          <w:color w:val="auto"/>
        </w:rPr>
      </w:pPr>
    </w:p>
    <w:p>
      <w:pPr>
        <w:ind w:right="60" w:firstLine="921"/>
        <w:spacing w:after="0" w:line="254"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44" w:lineRule="exact"/>
        <w:rPr>
          <w:rFonts w:ascii="Arial" w:cs="Arial" w:eastAsia="Arial" w:hAnsi="Arial"/>
          <w:sz w:val="18"/>
          <w:szCs w:val="18"/>
          <w:color w:val="auto"/>
        </w:rPr>
      </w:pPr>
    </w:p>
    <w:p>
      <w:pPr>
        <w:ind w:firstLine="921"/>
        <w:spacing w:after="0" w:line="291"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clause (a) or (b) above, a certificate of a Financial Officer of the Borrower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and compliance with Sections 6.04(c) and (d), and (iii) stating whether any change in GAAP or in the application thereof has occurred since the later of December 31, 2010 and the end date of the financial statements most recently delivered pursuant to Section 5.01(a) and, if any such change has occurred, specifying the effect of such change on the financial statements accompanying such certificate;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380" w:firstLine="921"/>
        <w:spacing w:after="0" w:line="259"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soon as available, but in any event within sixty (60) days after the start of each fiscal year of the Borrower, a copy of the plan and forecast (including a projected consolidated balance sheet, income statement and funds flow statement) of the Borrower for each month of such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w:t>
      </w:r>
    </w:p>
    <w:p>
      <w:pPr>
        <w:spacing w:after="0" w:line="140" w:lineRule="exact"/>
        <w:rPr>
          <w:rFonts w:ascii="Arial" w:cs="Arial" w:eastAsia="Arial" w:hAnsi="Arial"/>
          <w:sz w:val="18"/>
          <w:szCs w:val="18"/>
          <w:color w:val="auto"/>
        </w:rPr>
      </w:pPr>
    </w:p>
    <w:p>
      <w:pPr>
        <w:jc w:val="both"/>
        <w:ind w:right="400" w:firstLine="921"/>
        <w:spacing w:after="0" w:line="306" w:lineRule="auto"/>
        <w:tabs>
          <w:tab w:leader="none" w:pos="11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by the Borrower to its shareholders generally, as the case may be; and</w:t>
      </w:r>
    </w:p>
    <w:p>
      <w:pPr>
        <w:spacing w:after="0" w:line="106" w:lineRule="exact"/>
        <w:rPr>
          <w:rFonts w:ascii="Arial" w:cs="Arial" w:eastAsia="Arial" w:hAnsi="Arial"/>
          <w:sz w:val="16"/>
          <w:szCs w:val="16"/>
          <w:color w:val="auto"/>
        </w:rPr>
      </w:pPr>
    </w:p>
    <w:p>
      <w:pPr>
        <w:ind w:firstLine="921"/>
        <w:spacing w:after="0" w:line="332"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the Borrower or any Subsidiary, or compliance with the terms of this Agreement, as the Administrative Agent or any Lender may reasonably request.</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anything to the contrary in this Section 5.01, (x) the Borrower shall be deemed to have complied with the terms of Sections 5.01(a) and (b), as applicable, with respect to the financial statements required to be delivered pursuant thereto if the Borrower delivers to the Administrative Agent and the Lenders, within the same time frame required under the Securities Act and the rules and regulations of the Securities Exchange Commission its annual report on Form 10-K for the applicable fiscal year or its quarterly report in Form 10-Q for the applicable fiscal quarter, respectively, that it has filed with the Securities and Exchange Commission, and (y) any documents required to be delivered pursuant to Sections 5.01(a), (b) and (f) shall be deemed to have been delivered on the date on which the Borrower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87" w:name="page88"/>
    <w:bookmarkEnd w:id="8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provides notice to the Administrative Agent that such information has been posted on the Borrower’s website on the Internet (with such notice containing the link thereto), or posted on Borrower’s behalf on IntraLinks/IntraAgency or another relevant website, if any, to which each Lender and the Administrative Agent have access (whether a commercial, third-party website or whether sponsored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71" w:lineRule="exact"/>
        <w:rPr>
          <w:rFonts w:ascii="Arial" w:cs="Arial" w:eastAsia="Arial" w:hAnsi="Arial"/>
          <w:sz w:val="18"/>
          <w:szCs w:val="18"/>
          <w:color w:val="auto"/>
        </w:rPr>
      </w:pPr>
    </w:p>
    <w:p>
      <w:pPr>
        <w:ind w:right="440" w:firstLine="921"/>
        <w:spacing w:after="0" w:line="332" w:lineRule="auto"/>
        <w:tabs>
          <w:tab w:leader="none" w:pos="116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85" w:lineRule="exact"/>
        <w:rPr>
          <w:rFonts w:ascii="Arial" w:cs="Arial" w:eastAsia="Arial" w:hAnsi="Arial"/>
          <w:sz w:val="16"/>
          <w:szCs w:val="16"/>
          <w:color w:val="auto"/>
        </w:rPr>
      </w:pPr>
    </w:p>
    <w:p>
      <w:pPr>
        <w:ind w:right="340" w:firstLine="921"/>
        <w:spacing w:after="0" w:line="268" w:lineRule="auto"/>
        <w:tabs>
          <w:tab w:leader="none" w:pos="11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$2,500,000;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8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 or in fields which are, in the good faith judgment of the Board of Directors, similar, complimentary or substantially related thereto or are reasonable extensions thereof.</w:t>
      </w:r>
    </w:p>
    <w:p>
      <w:pPr>
        <w:spacing w:after="0" w:line="120" w:lineRule="exact"/>
        <w:rPr>
          <w:sz w:val="20"/>
          <w:szCs w:val="20"/>
          <w:color w:val="auto"/>
        </w:rPr>
      </w:pPr>
    </w:p>
    <w:p>
      <w:pPr>
        <w:jc w:val="both"/>
        <w:ind w:firstLine="913"/>
        <w:spacing w:after="0" w:line="323"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u w:val="single" w:color="auto"/>
          <w:color w:val="auto"/>
        </w:rPr>
        <w:t>Payment of Obligations</w:t>
      </w:r>
      <w:r>
        <w:rPr>
          <w:rFonts w:ascii="Arial" w:cs="Arial" w:eastAsia="Arial" w:hAnsi="Arial"/>
          <w:sz w:val="15"/>
          <w:szCs w:val="15"/>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 Casualty and Condemnation</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335" w:lineRule="auto"/>
        <w:tabs>
          <w:tab w:leader="none" w:pos="1152"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88" w:name="page89"/>
    <w:bookmarkEnd w:id="88"/>
    <w:p>
      <w:pPr>
        <w:ind w:right="320" w:firstLine="921"/>
        <w:spacing w:after="0" w:line="259"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4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any Lender (including employees of the Administrative Agent, any Lender or any consultants, accountants, lawyers, appraisers and field examiners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the Borrower shall not be required to reimburse the Administrative Agent or any Lender for the cost of more than one such visit during any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12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8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only for working capital and general corporate purposes including Permitted Acquisitions. No part of the proceeds of any Loan and no Letter of Credit will be used, whether directly or indirectly, for any purpose that entails a violation of any of the Regulations of the Board, including Regulations T, U and X.</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Additional Collateral; Further Assurances</w:t>
      </w:r>
      <w:r>
        <w:rPr>
          <w:rFonts w:ascii="Arial" w:cs="Arial" w:eastAsia="Arial" w:hAnsi="Arial"/>
          <w:sz w:val="18"/>
          <w:szCs w:val="18"/>
          <w:color w:val="auto"/>
        </w:rPr>
        <w:t xml:space="preserve">. (a) Subject to applicable law, the Borrower and each other Loan Party shall cause each of its domestic Subsidiaries formed or acquired after the date of this Agreement in accordance with the terms of this Agreement to become a Loan Party, within 30 days after the date of such formation or acquisition, by executing the Joinder Agreement set forth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Upon execution and delivery thereof, each such Person shall automatically become a Loan Guarantor hereunder and thereupon shall have all of the rights, benefits, duties, and obligations in such capacity under the Loan Documents.</w:t>
      </w:r>
    </w:p>
    <w:p>
      <w:pPr>
        <w:spacing w:after="0" w:line="143" w:lineRule="exact"/>
        <w:rPr>
          <w:sz w:val="20"/>
          <w:szCs w:val="20"/>
          <w:color w:val="auto"/>
        </w:rPr>
      </w:pPr>
    </w:p>
    <w:p>
      <w:pPr>
        <w:ind w:right="40" w:firstLine="921"/>
        <w:spacing w:after="0" w:line="294"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Subject to applicable law, the Borrower and other Loan Party shall cause each of its Material Domestic Subsidiaries formed or acquired after the date of this Agreement in accordance with the terms of this Agreement and each Subsidiary who hereafter becomes a Material Domestic Subsidiary, in each case, within 30 days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15" w:lineRule="exact"/>
        <w:rPr>
          <w:rFonts w:ascii="Arial" w:cs="Arial" w:eastAsia="Arial" w:hAnsi="Arial"/>
          <w:sz w:val="16"/>
          <w:szCs w:val="16"/>
          <w:color w:val="auto"/>
        </w:rPr>
      </w:pPr>
    </w:p>
    <w:p>
      <w:pPr>
        <w:ind w:right="160" w:firstLine="921"/>
        <w:spacing w:after="0" w:line="259"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the foregoing clauses (a) and (b), the Borrower and each other Material Domestic Subsidiary will cause (i) 100% of the issued and outstanding Equity Interests of each of its domestic Subsidiaries and (ii) 65% of the issued and outstanding Equity Interests entitled to vote (within the meaning of Treas. Reg. Section 1.956-2(c)(2)) and 100% of the issued and outstanding Equity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34" w:right="259" w:bottom="1440" w:gutter="0" w:footer="0" w:header="0"/>
        </w:sectPr>
      </w:pPr>
    </w:p>
    <w:bookmarkStart w:id="89" w:name="page90"/>
    <w:bookmarkEnd w:id="8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not entitled to vote (within the meaning of Treas. Reg. Section 1.956-2(c)(2)) in each Material Foreign Subsidiary (including any Subsidiary who becomes a Material Foreign Subsidiary after the Effective Date) directly owned by the Borrower or any Material Domestic Subsidiary to be subject at all times to a first priority, perfected Lien in favor of the Administrative Agent pursuant to the terms and conditions of the Loan Documents or other security documents as the Administrative Agent shall reasonably request.</w:t>
      </w:r>
    </w:p>
    <w:p>
      <w:pPr>
        <w:spacing w:after="0" w:line="143" w:lineRule="exact"/>
        <w:rPr>
          <w:sz w:val="20"/>
          <w:szCs w:val="20"/>
          <w:color w:val="auto"/>
        </w:rPr>
      </w:pPr>
    </w:p>
    <w:p>
      <w:pPr>
        <w:ind w:firstLine="921"/>
        <w:spacing w:after="0" w:line="291" w:lineRule="auto"/>
        <w:tabs>
          <w:tab w:leader="none" w:pos="11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expenses and other amounts payable under any Loan Document have been paid in full and all Letters of Credit have expired or terminated or been cash collateralized and all LC Disbursements shall have been reimbursed, the Loan Parties covenant and agree, jointly and severally, with the Lenders that: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No Loan Party will, nor will it permit any Subsidiary to, create, incur or suffer to exist any Indebtedness, except:</w:t>
      </w:r>
    </w:p>
    <w:p>
      <w:pPr>
        <w:spacing w:after="0" w:line="194" w:lineRule="exact"/>
        <w:rPr>
          <w:sz w:val="20"/>
          <w:szCs w:val="20"/>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Secured Obligations;</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extensions, renewals and replacements of any such Indebtedness that do not increase the outstanding principal amount thereof;</w:t>
      </w:r>
    </w:p>
    <w:p>
      <w:pPr>
        <w:spacing w:after="0" w:line="131" w:lineRule="exact"/>
        <w:rPr>
          <w:rFonts w:ascii="Arial" w:cs="Arial" w:eastAsia="Arial" w:hAnsi="Arial"/>
          <w:sz w:val="18"/>
          <w:szCs w:val="18"/>
          <w:color w:val="auto"/>
        </w:rPr>
      </w:pPr>
    </w:p>
    <w:p>
      <w:pPr>
        <w:ind w:right="80" w:firstLine="921"/>
        <w:spacing w:after="0" w:line="298"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Indebtedness of the Borrower to any Subsidiary and of any Subsidiary to the Borrower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Indebtedness of any Subsidiary that is not a Loan Party to the Borrower or any Subsidiary that is a Loan Party shall be subject to Section 6.04 and (ii) Indebtedness of the Borrower to any Subsidiary and Indebtedness of any Subsidiary that is a Loan Party to any Subsidiary that is not a Loan Party shall be subordinated to the Secured Obligations in accordance with the terms set forth on Schedule 1.01 or otherwise on terms reasonably satisfactory to the Administrative Agent;</w:t>
      </w:r>
    </w:p>
    <w:p>
      <w:pPr>
        <w:spacing w:after="0" w:line="112" w:lineRule="exact"/>
        <w:rPr>
          <w:rFonts w:ascii="Arial" w:cs="Arial" w:eastAsia="Arial" w:hAnsi="Arial"/>
          <w:sz w:val="16"/>
          <w:szCs w:val="16"/>
          <w:color w:val="auto"/>
        </w:rPr>
      </w:pPr>
    </w:p>
    <w:p>
      <w:pPr>
        <w:jc w:val="both"/>
        <w:ind w:right="140" w:firstLine="921"/>
        <w:spacing w:after="0" w:line="25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Guarantees by the Borrower of Indebtedness of any Subsidiary and by any Subsidiary of Indebtedness of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Indebtedness so Guaranteed is permitted by this Section 6.01, and (ii) Guarantees by the Borrower or any Subsidiary that is a Loan Party of Indebtedness of any Subsidiary that is not a Loan Party shall be subject to Section 6.04;</w:t>
      </w:r>
    </w:p>
    <w:p>
      <w:pPr>
        <w:spacing w:after="0" w:line="140" w:lineRule="exact"/>
        <w:rPr>
          <w:rFonts w:ascii="Arial" w:cs="Arial" w:eastAsia="Arial" w:hAnsi="Arial"/>
          <w:sz w:val="18"/>
          <w:szCs w:val="18"/>
          <w:color w:val="auto"/>
        </w:rPr>
      </w:pPr>
    </w:p>
    <w:p>
      <w:pPr>
        <w:ind w:right="240" w:firstLine="921"/>
        <w:spacing w:after="0" w:line="268"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Indebtedness of the Borrower or any Subsidiary incurred to finance the acquisition, construction or improvement of any fixed or capital assets (whether or not constituting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90" w:name="page91"/>
    <w:bookmarkEnd w:id="90"/>
    <w:p>
      <w:pPr>
        <w:ind w:right="1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money Indebtedness), including Capital Lease Obligations and any Indebtedness assumed in connection with the acquisition (including by way of any Permitted Acquisition) of any such assets or secured by a Lien on any such assets prior to the acquisition thereof, and extensions, renewals and replacements of any such Indebtedness in accordance with clause (f)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other than with respect to any such Indebtedness attaching to assets or Persons acquired in connection with the Permitted Omega Acquisition (including any refinancing thereof permitted by clause (f)), (i) such Indebtedness is incurred prior to or within 90 days after such acquisition or the completion of such construction or improvement and (ii) the aggregate principal amount of Indebtedness permitted by this clause (e) (including any refinancing thereof permitted by clause (f)) shall not exceed $5,000,000 at any time outstanding;</w:t>
      </w:r>
    </w:p>
    <w:p>
      <w:pPr>
        <w:spacing w:after="0" w:line="105" w:lineRule="exact"/>
        <w:rPr>
          <w:sz w:val="20"/>
          <w:szCs w:val="20"/>
          <w:color w:val="auto"/>
        </w:rPr>
      </w:pPr>
    </w:p>
    <w:p>
      <w:pPr>
        <w:ind w:firstLine="921"/>
        <w:spacing w:after="0" w:line="288" w:lineRule="auto"/>
        <w:tabs>
          <w:tab w:leader="none" w:pos="113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Indebtedness which represents an extension, refinancing, or renewal of any of the Indebtedness described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hereof; provided that, (i) the aggregate principal amount of such Indebtedness is not increased,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119" w:lineRule="exact"/>
        <w:rPr>
          <w:rFonts w:ascii="Arial" w:cs="Arial" w:eastAsia="Arial" w:hAnsi="Arial"/>
          <w:sz w:val="16"/>
          <w:szCs w:val="16"/>
          <w:color w:val="auto"/>
        </w:rPr>
      </w:pPr>
    </w:p>
    <w:p>
      <w:pPr>
        <w:ind w:right="40" w:firstLine="921"/>
        <w:spacing w:after="0" w:line="332"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85"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respect of performance bonds, bid bonds, appeal bonds, surety bonds and similar obligations, in each case provided in the ordinary course of business;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Subordinated Indebtedness of any Loan Party in an aggregate principal amount not exceeding $25,000,000 at any time outstanding;</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Indebtedness or Guarantees of the Borrower or any Subsidiary in connection with any Swap Agreement permitted under Section 6.06;</w:t>
      </w:r>
    </w:p>
    <w:p>
      <w:pPr>
        <w:spacing w:after="0" w:line="194" w:lineRule="exact"/>
        <w:rPr>
          <w:rFonts w:ascii="Arial" w:cs="Arial" w:eastAsia="Arial" w:hAnsi="Arial"/>
          <w:sz w:val="16"/>
          <w:szCs w:val="16"/>
          <w:color w:val="auto"/>
        </w:rPr>
      </w:pPr>
    </w:p>
    <w:p>
      <w:pPr>
        <w:ind w:firstLine="921"/>
        <w:spacing w:after="0" w:line="332"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Judgments entered against the Borrower or any Subsidiary to the extent not constituting an Event of Default;</w:t>
      </w:r>
    </w:p>
    <w:p>
      <w:pPr>
        <w:spacing w:after="0" w:line="171" w:lineRule="exact"/>
        <w:rPr>
          <w:rFonts w:ascii="Arial" w:cs="Arial" w:eastAsia="Arial" w:hAnsi="Arial"/>
          <w:sz w:val="18"/>
          <w:szCs w:val="18"/>
          <w:color w:val="auto"/>
        </w:rPr>
      </w:pPr>
    </w:p>
    <w:p>
      <w:pPr>
        <w:ind w:right="740" w:firstLine="921"/>
        <w:spacing w:after="0" w:line="370" w:lineRule="auto"/>
        <w:tabs>
          <w:tab w:leader="none" w:pos="121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Indebtedness or Guarantees incurred in the ordinary course of business in connection with cash pooling, netting and cash management arrangements consisting of overdrafts or similar arrangements, providing that any such Indebtedness does not consist of Indebtedness for borrowed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91" w:name="page92"/>
    <w:bookmarkEnd w:id="9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money and is owed to the financial institutions providing such arrangements and such Indebtedness is extinguished within five (5) Business Days following the Borrower or any Subsidiary becoming aware of the incurrence thereof;</w:t>
      </w:r>
    </w:p>
    <w:p>
      <w:pPr>
        <w:spacing w:after="0" w:line="132" w:lineRule="exact"/>
        <w:rPr>
          <w:sz w:val="20"/>
          <w:szCs w:val="20"/>
          <w:color w:val="auto"/>
        </w:rPr>
      </w:pPr>
    </w:p>
    <w:p>
      <w:pPr>
        <w:ind w:right="220" w:firstLine="921"/>
        <w:spacing w:after="0" w:line="268"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of foreign Subsidiaries to finance the working capital needs of such foreign Subsidiaries, provided that the aggregate outstanding principal amount of such Indebtedness shall not exceed $5,000,000 (or the equivalent thereof) at any time;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owed to sellers constituting consideration for Permitted Acquisitions;</w:t>
      </w:r>
    </w:p>
    <w:p>
      <w:pPr>
        <w:spacing w:after="0" w:line="171" w:lineRule="exact"/>
        <w:rPr>
          <w:rFonts w:ascii="Arial" w:cs="Arial" w:eastAsia="Arial" w:hAnsi="Arial"/>
          <w:sz w:val="18"/>
          <w:szCs w:val="18"/>
          <w:color w:val="auto"/>
        </w:rPr>
      </w:pPr>
    </w:p>
    <w:p>
      <w:pPr>
        <w:ind w:firstLine="921"/>
        <w:spacing w:after="0" w:line="306"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Indebtedness of a Person or Indebtedness attaching to assets of a Person that, in either case, becomes a Subsidiary or Indebtedness attaching to assets that are acquired by Borrower or any of its Subsidiaries, in each case as the result of a Permitted Acquisition; provided that such Indebtedness existed at the time such Person became a Subsidiary or at the time such assets were acquired and, in each case, was not created in anticipation thereof;</w:t>
      </w:r>
    </w:p>
    <w:p>
      <w:pPr>
        <w:spacing w:after="0" w:line="106" w:lineRule="exact"/>
        <w:rPr>
          <w:rFonts w:ascii="Arial" w:cs="Arial" w:eastAsia="Arial" w:hAnsi="Arial"/>
          <w:sz w:val="16"/>
          <w:szCs w:val="16"/>
          <w:color w:val="auto"/>
        </w:rPr>
      </w:pPr>
    </w:p>
    <w:p>
      <w:pPr>
        <w:ind w:right="180" w:firstLine="921"/>
        <w:spacing w:after="0" w:line="332"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Indebtedness or Guarantees in an aggregate amount not exceeding $500,000, consisting of reimbursement obligations owed to banks providing the Borrower or any of its Subsidiaries with backstop, letter of credit, guarantee or equivalent services in connection with its leased properties;</w:t>
      </w:r>
    </w:p>
    <w:p>
      <w:pPr>
        <w:spacing w:after="0" w:line="85" w:lineRule="exact"/>
        <w:rPr>
          <w:rFonts w:ascii="Arial" w:cs="Arial" w:eastAsia="Arial" w:hAnsi="Arial"/>
          <w:sz w:val="16"/>
          <w:szCs w:val="16"/>
          <w:color w:val="auto"/>
        </w:rPr>
      </w:pPr>
    </w:p>
    <w:p>
      <w:pPr>
        <w:ind w:right="240" w:firstLine="921"/>
        <w:spacing w:after="0" w:line="259" w:lineRule="auto"/>
        <w:tabs>
          <w:tab w:leader="none" w:pos="11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40" w:lineRule="exact"/>
        <w:rPr>
          <w:rFonts w:ascii="Arial" w:cs="Arial" w:eastAsia="Arial" w:hAnsi="Arial"/>
          <w:sz w:val="18"/>
          <w:szCs w:val="18"/>
          <w:color w:val="auto"/>
        </w:rPr>
      </w:pPr>
    </w:p>
    <w:p>
      <w:pPr>
        <w:ind w:right="460" w:firstLine="921"/>
        <w:spacing w:after="0" w:line="332" w:lineRule="auto"/>
        <w:tabs>
          <w:tab w:leader="none" w:pos="11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Indebtedness of the Borrower or any Subsidiary owed to sublessees in respect of security deposits or advances held by the Borrower or any Subsidiary in connection with the subletting to such sublessees of any leasehold interests of the Borrower or any Subsidiary;</w:t>
      </w:r>
    </w:p>
    <w:p>
      <w:pPr>
        <w:spacing w:after="0" w:line="85" w:lineRule="exact"/>
        <w:rPr>
          <w:rFonts w:ascii="Arial" w:cs="Arial" w:eastAsia="Arial" w:hAnsi="Arial"/>
          <w:sz w:val="16"/>
          <w:szCs w:val="16"/>
          <w:color w:val="auto"/>
        </w:rPr>
      </w:pPr>
    </w:p>
    <w:p>
      <w:pPr>
        <w:ind w:right="160" w:firstLine="921"/>
        <w:spacing w:after="0" w:line="268" w:lineRule="auto"/>
        <w:tabs>
          <w:tab w:leader="none" w:pos="112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of the Borrower or any Subsidiary in respect of Capital Lease Obligations incurred in connection with employee vehicle financing arrangements in India;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exceeding $7,500,000 at any time outstanding.</w:t>
      </w:r>
    </w:p>
    <w:p>
      <w:pPr>
        <w:spacing w:after="0" w:line="171"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85" w:lineRule="exact"/>
        <w:rPr>
          <w:sz w:val="20"/>
          <w:szCs w:val="20"/>
          <w:color w:val="auto"/>
        </w:rPr>
      </w:pPr>
    </w:p>
    <w:p>
      <w:pPr>
        <w:ind w:left="1160" w:hanging="239"/>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or any Subsidiary existing on the date hereof and set forth in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rFonts w:ascii="Arial" w:cs="Arial" w:eastAsia="Arial" w:hAnsi="Arial"/>
          <w:sz w:val="16"/>
          <w:szCs w:val="16"/>
          <w:color w:val="auto"/>
        </w:rPr>
      </w:pPr>
    </w:p>
    <w:p>
      <w:pPr>
        <w:ind w:right="440" w:firstLine="8"/>
        <w:spacing w:after="0" w:line="323" w:lineRule="auto"/>
        <w:tabs>
          <w:tab w:leader="none" w:pos="21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Lien shall not apply to any other property or asset of the Borrower or such Subsidiary and (ii) such Lien shall secure only those obligations which it secures on the date hereof and extensions, renewals and replacements thereof that do not increase the outstanding principal amount thereof;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92" w:name="page93"/>
    <w:bookmarkEnd w:id="92"/>
    <w:p>
      <w:pPr>
        <w:ind w:right="40" w:firstLine="921"/>
        <w:spacing w:after="0" w:line="291"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Lien existing on any property or asset prior to the acquisition thereof (including by way of any Permitted Acquisition) by the Borrower or any Subsidiary or existing on any property or asset of any Person that becomes a Subsidiary after the date hereof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20" w:lineRule="exact"/>
        <w:rPr>
          <w:rFonts w:ascii="Arial" w:cs="Arial" w:eastAsia="Arial" w:hAnsi="Arial"/>
          <w:sz w:val="16"/>
          <w:szCs w:val="16"/>
          <w:color w:val="auto"/>
        </w:rPr>
      </w:pPr>
    </w:p>
    <w:p>
      <w:pPr>
        <w:ind w:right="140" w:firstLine="921"/>
        <w:spacing w:after="0" w:line="255"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Indebtedness permitted by clause (e) or clause (t) of Section 6.01, (ii) such security interests and the Indebtedness secured thereby are incurred prior to or within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42" w:lineRule="exact"/>
        <w:rPr>
          <w:rFonts w:ascii="Arial" w:cs="Arial" w:eastAsia="Arial" w:hAnsi="Arial"/>
          <w:sz w:val="18"/>
          <w:szCs w:val="18"/>
          <w:color w:val="auto"/>
        </w:rPr>
      </w:pPr>
    </w:p>
    <w:p>
      <w:pPr>
        <w:ind w:right="580" w:firstLine="921"/>
        <w:spacing w:after="0" w:line="268" w:lineRule="auto"/>
        <w:tabs>
          <w:tab w:leader="none" w:pos="11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granted by a Subsidiary that is not a Loan Party in favor of the Borrower or another Loan Party in respect of Indebtedness owed by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arising by operation of law under Article 2 of the Uniform Commercial Code in favor of a reclaiming seller of goods or buyer of goods;</w:t>
      </w:r>
    </w:p>
    <w:p>
      <w:pPr>
        <w:spacing w:after="0" w:line="194" w:lineRule="exact"/>
        <w:rPr>
          <w:rFonts w:ascii="Arial" w:cs="Arial" w:eastAsia="Arial" w:hAnsi="Arial"/>
          <w:sz w:val="16"/>
          <w:szCs w:val="16"/>
          <w:color w:val="auto"/>
        </w:rPr>
      </w:pPr>
    </w:p>
    <w:p>
      <w:pPr>
        <w:ind w:right="40" w:firstLine="921"/>
        <w:spacing w:after="0" w:line="298" w:lineRule="auto"/>
        <w:tabs>
          <w:tab w:leader="none" w:pos="1123" w:val="left"/>
        </w:tabs>
        <w:numPr>
          <w:ilvl w:val="0"/>
          <w:numId w:val="74"/>
        </w:numPr>
        <w:rPr>
          <w:rFonts w:ascii="Arial" w:cs="Arial" w:eastAsia="Arial" w:hAnsi="Arial"/>
          <w:sz w:val="16"/>
          <w:szCs w:val="16"/>
          <w:color w:val="auto"/>
        </w:rPr>
      </w:pPr>
      <w:r>
        <w:rPr>
          <w:rFonts w:ascii="Arial" w:cs="Arial" w:eastAsia="Arial" w:hAnsi="Arial"/>
          <w:sz w:val="16"/>
          <w:szCs w:val="16"/>
          <w:color w:val="auto"/>
        </w:rPr>
        <w:t>broker’s Liens, bankers’ Liens, rights of setoff and other similar Liens existing solely with respect to cash and Permitted Investments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w:t>
      </w:r>
    </w:p>
    <w:p>
      <w:pPr>
        <w:spacing w:after="0" w:line="112" w:lineRule="exact"/>
        <w:rPr>
          <w:rFonts w:ascii="Arial" w:cs="Arial" w:eastAsia="Arial" w:hAnsi="Arial"/>
          <w:sz w:val="16"/>
          <w:szCs w:val="16"/>
          <w:color w:val="auto"/>
        </w:rPr>
      </w:pPr>
    </w:p>
    <w:p>
      <w:pPr>
        <w:ind w:right="140" w:firstLine="921"/>
        <w:spacing w:after="0" w:line="332" w:lineRule="auto"/>
        <w:tabs>
          <w:tab w:leader="none" w:pos="1123"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on assets of foreign Subsidiaries to secure Indebtedness of such foreign Subsidiaries permitted under Section 6.01(n);</w:t>
      </w:r>
    </w:p>
    <w:p>
      <w:pPr>
        <w:spacing w:after="0" w:line="171" w:lineRule="exact"/>
        <w:rPr>
          <w:rFonts w:ascii="Arial" w:cs="Arial" w:eastAsia="Arial" w:hAnsi="Arial"/>
          <w:sz w:val="18"/>
          <w:szCs w:val="18"/>
          <w:color w:val="auto"/>
        </w:rPr>
      </w:pPr>
    </w:p>
    <w:p>
      <w:pPr>
        <w:ind w:firstLine="921"/>
        <w:spacing w:after="0" w:line="268" w:lineRule="auto"/>
        <w:tabs>
          <w:tab w:leader="none" w:pos="11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on cash or Permitted Investments constituting earnest money deposits made by the Borrower or any Subsidiary in connection with any letter of intent or purchase agreement for a Permitted Acquisition;</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on cash collateral securing the Indebtedness described in Section 6.01(q);</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on cash collateral of foreign Subsidiaries securing the Indebtedness described in Section 6.01(r);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4" w:right="239" w:bottom="1440" w:gutter="0" w:footer="0" w:header="0"/>
        </w:sectPr>
      </w:pPr>
    </w:p>
    <w:bookmarkStart w:id="93" w:name="page94"/>
    <w:bookmarkEnd w:id="93"/>
    <w:p>
      <w:pPr>
        <w:ind w:right="260" w:firstLine="921"/>
        <w:spacing w:after="0" w:line="268"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cash collateral to secure any Swap Agreement permitted under Section 6.06, so long as the aggregate amount of such cash collateral does not, as of any date of determination, exceed $20,000,000.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No Loan Party will, nor will it permit any Subsidiary to, merge into or consolidate with any other Person, or permit any other Person to merge into or consolidate with it,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a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so long as, in the case of a merger involving any Loan Party or Material Foreign Subsidiary, such Loan Party or Material Foreign Subsidiary is the surviving entity, (iv) any Subsidiary may sell, transfer, lease or otherwise dispose of its assets to the Borrower or to another Subsidiary and (v)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involving a Person that is not a wholly owned Subsidiary immediately prior to such merger shall not be permitted unless also permitted by Section 6.04.</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Section 6.03 at a future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shall be conditioned on (i) obtaining requisite approvals permitting the respective transaction (and any related financing or other transactions) in accordance with the requirements of Section 9.02 or (ii) the satisfaction and discharge of all outstanding Obligations under this Agreement and the other Loan Documents;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agreement shall (x) not contain any provision imposing fees or damages on any Loan Party or its Subsidiary for failure to meet the conditions set forth above and</w:t>
      </w:r>
    </w:p>
    <w:p>
      <w:pPr>
        <w:spacing w:after="0" w:line="2" w:lineRule="exact"/>
        <w:rPr>
          <w:sz w:val="20"/>
          <w:szCs w:val="20"/>
          <w:color w:val="auto"/>
        </w:rPr>
      </w:pPr>
    </w:p>
    <w:p>
      <w:pPr>
        <w:ind w:right="16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contain termination provisions which will provide for the termination of the agreement within a reasonable time if the conditions described in the preceding proviso have not been satisfied by such time.</w:t>
      </w:r>
    </w:p>
    <w:p>
      <w:pPr>
        <w:spacing w:after="0" w:line="137" w:lineRule="exact"/>
        <w:rPr>
          <w:rFonts w:ascii="Arial" w:cs="Arial" w:eastAsia="Arial" w:hAnsi="Arial"/>
          <w:sz w:val="18"/>
          <w:szCs w:val="18"/>
          <w:color w:val="auto"/>
        </w:rPr>
      </w:pPr>
    </w:p>
    <w:p>
      <w:pPr>
        <w:ind w:right="100" w:firstLine="921"/>
        <w:spacing w:after="0" w:line="306" w:lineRule="auto"/>
        <w:tabs>
          <w:tab w:leader="none" w:pos="1162"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Board of Directors, similar, complimentary or substantially related thereto or are reasonable extensions thereof.</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Borrower will not change its fiscal year which currently ends on December 31 of each year.</w:t>
      </w:r>
    </w:p>
    <w:p>
      <w:pPr>
        <w:spacing w:after="0" w:line="171"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334" w:right="29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or otherwise acquire (in one transaction or a series of transactions) any assets of any other Person constituting a business unit, except:</w:t>
      </w:r>
    </w:p>
    <w:p>
      <w:pPr>
        <w:spacing w:after="0" w:line="194"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investments in existence on the date of this Agreement and described in </w:t>
      </w:r>
      <w:r>
        <w:rPr>
          <w:rFonts w:ascii="Arial" w:cs="Arial" w:eastAsia="Arial" w:hAnsi="Arial"/>
          <w:sz w:val="18"/>
          <w:szCs w:val="18"/>
          <w:u w:val="single" w:color="auto"/>
          <w:color w:val="auto"/>
        </w:rPr>
        <w:t>Schedule 6.04</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91"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investments by the Borrower and its Subsidiaries in the capital stock of their respective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investments, as of any date of determination, made by the Borrower or the other Loan Parties in the capital stock of their respective Subsidiaries who are not Loan Parties does not at any time exceed an amount equal to 50% of the EBITDA for the period of four consecutive fiscal quarters having most recently ended prior to such date of determination and for which financial statements are available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20" w:lineRule="exact"/>
        <w:rPr>
          <w:rFonts w:ascii="Arial" w:cs="Arial" w:eastAsia="Arial" w:hAnsi="Arial"/>
          <w:sz w:val="16"/>
          <w:szCs w:val="16"/>
          <w:color w:val="auto"/>
        </w:rPr>
      </w:pPr>
    </w:p>
    <w:p>
      <w:pPr>
        <w:ind w:right="180" w:firstLine="921"/>
        <w:spacing w:after="0" w:line="256"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loans or advances made by the Borrower or any of its Subsidiaries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loans and advances made by the Borrower or the other Loan Parties to Subsidiaries who are not Loan Parties that are at any time outstanding does not, as of any date of determination, exceed an amount equal to 50% of the EBITDA for the period of four consecutive fiscal quarters having most recently ended prior to such date of determination and for which financial statements are available;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Guarantees constituting Indebtedness permitted by Section 6.01;</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71" w:lineRule="exact"/>
        <w:rPr>
          <w:rFonts w:ascii="Arial" w:cs="Arial" w:eastAsia="Arial" w:hAnsi="Arial"/>
          <w:sz w:val="18"/>
          <w:szCs w:val="18"/>
          <w:color w:val="auto"/>
        </w:rPr>
      </w:pPr>
    </w:p>
    <w:p>
      <w:pPr>
        <w:jc w:val="both"/>
        <w:ind w:right="140" w:firstLine="921"/>
        <w:spacing w:after="0" w:line="25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loans and advances to employees of the Borrower or any Subsidiaries in the ordinary course of business (including for travel, entertainment and relocation expenses and to finance the purchase of Equity Interests of the Borrower) in an aggregate amount for the Borrower and its Subsidiaries not to exceed $2,500,000 at any time outstanding;</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any Person or in settlement of obligations of, or disputes with, any Person arising in the ordinary course of business;</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Swap Agreements permitted by Section 6.06;</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Transfer Pricing Transactions;</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w:t>
      </w:r>
    </w:p>
    <w:p>
      <w:pPr>
        <w:spacing w:after="0" w:line="131" w:lineRule="exact"/>
        <w:rPr>
          <w:rFonts w:ascii="Arial" w:cs="Arial" w:eastAsia="Arial" w:hAnsi="Arial"/>
          <w:sz w:val="18"/>
          <w:szCs w:val="18"/>
          <w:color w:val="auto"/>
        </w:rPr>
      </w:pPr>
    </w:p>
    <w:p>
      <w:pPr>
        <w:ind w:right="780" w:firstLine="921"/>
        <w:spacing w:after="0" w:line="332" w:lineRule="auto"/>
        <w:tabs>
          <w:tab w:leader="none" w:pos="1123"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to investments otherwise expressly permitted by this Section, investments, loans and advances by the Borrower or any of its Subsidiaries in an aggregate amount (valued at cost) not to exceed $10,000,000 during the term of this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95" w:name="page96"/>
    <w:bookmarkEnd w:id="9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Asset Dispositions; Sale and Leaseback Transactions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make any Disposition except: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(including non-exclusive licenses) of inventory in the ordinary course of business;</w:t>
      </w:r>
    </w:p>
    <w:p>
      <w:pPr>
        <w:spacing w:after="0" w:line="90" w:lineRule="exact"/>
        <w:rPr>
          <w:rFonts w:ascii="Arial" w:cs="Arial" w:eastAsia="Arial" w:hAnsi="Arial"/>
          <w:sz w:val="18"/>
          <w:szCs w:val="18"/>
          <w:color w:val="auto"/>
        </w:rPr>
      </w:pPr>
    </w:p>
    <w:p>
      <w:pPr>
        <w:ind w:left="920" w:right="20" w:firstLine="421"/>
        <w:spacing w:after="0" w:line="332" w:lineRule="auto"/>
        <w:tabs>
          <w:tab w:leader="none" w:pos="16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4" w:lineRule="exact"/>
        <w:rPr>
          <w:rFonts w:ascii="Arial" w:cs="Arial" w:eastAsia="Arial" w:hAnsi="Arial"/>
          <w:sz w:val="16"/>
          <w:szCs w:val="16"/>
          <w:color w:val="auto"/>
        </w:rPr>
      </w:pPr>
    </w:p>
    <w:p>
      <w:pPr>
        <w:ind w:left="920" w:right="120" w:firstLine="421"/>
        <w:spacing w:after="0" w:line="259" w:lineRule="auto"/>
        <w:tabs>
          <w:tab w:leader="none" w:pos="163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Dispositions of property by Borrower to any Subsidiary and by any Subsidiary to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property is subject to any Lien under any Collateral Document prior to any such Disposition, such property shall remain subject to valid and perfected Liens under the Collateral Documents after such Disposition;</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permitted by Sections 6.03, 6.04, 6.05(b), 6.07 and 6.08;</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of overdue accounts receivable solely in connection with the collection or compromise thereof;</w:t>
      </w:r>
    </w:p>
    <w:p>
      <w:pPr>
        <w:spacing w:after="0" w:line="90" w:lineRule="exact"/>
        <w:rPr>
          <w:rFonts w:ascii="Arial" w:cs="Arial" w:eastAsia="Arial" w:hAnsi="Arial"/>
          <w:sz w:val="18"/>
          <w:szCs w:val="18"/>
          <w:color w:val="auto"/>
        </w:rPr>
      </w:pPr>
    </w:p>
    <w:p>
      <w:pPr>
        <w:ind w:left="920" w:right="120" w:firstLine="421"/>
        <w:spacing w:after="0" w:line="268" w:lineRule="auto"/>
        <w:tabs>
          <w:tab w:leader="none" w:pos="168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pursuant to operating leases (not in connection with any sale and leaseback transactions or other Capital Lease Obligations) entered into in the ordinary course of business;</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of property and assets subject to condemnation and casualty events;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of cash and cash equivalents in the ordinary course of business;</w:t>
      </w:r>
    </w:p>
    <w:p>
      <w:pPr>
        <w:spacing w:after="0" w:line="90" w:lineRule="exact"/>
        <w:rPr>
          <w:rFonts w:ascii="Arial" w:cs="Arial" w:eastAsia="Arial" w:hAnsi="Arial"/>
          <w:sz w:val="18"/>
          <w:szCs w:val="18"/>
          <w:color w:val="auto"/>
        </w:rPr>
      </w:pPr>
    </w:p>
    <w:p>
      <w:pPr>
        <w:jc w:val="both"/>
        <w:ind w:left="920" w:right="180" w:firstLine="421"/>
        <w:spacing w:after="0" w:line="256" w:lineRule="auto"/>
        <w:tabs>
          <w:tab w:leader="none" w:pos="15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Dispositions by Borrower and any Subsidiary not otherwise permitted under this Section 6.05(a);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at the time of such Disposition, no Default shall exist or would result from such Disposition, and (B) the aggregate fair market value of all property Disposed of in reliance on this subclause (x) in any fiscal year (or in the case of any Disposition for which the fair market value cannot reasonably be determined, the aggregate purchase price therefor) shall not exceed $5,000,000;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Dispositions pursuant to any Transfer Pricing Transactions;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Disposition pursuant to Section 6.05(a)(i) through (a)(iii), Section 6.05(a)(v) (except insofar as it relates to any transaction solely between the Borrower and any Subsidiary or Section 6.07), Section 6.05(a)(vi) (except to the extent determined by the applicable Person making such Disposition in good faith to be appropriate in accordance with its usual practice), Section 6.05(a)(vii) and Section 6.05(a)(x) shall be for fair market value (or, in respect of Section 6.05(a)(x), where the fair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34"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value cannot reasonably be determined, such disposition shall otherwise be in accordance with the terms of Section 6.05(a)(x)).</w:t>
      </w:r>
    </w:p>
    <w:p>
      <w:pPr>
        <w:spacing w:after="0" w:line="171" w:lineRule="exact"/>
        <w:rPr>
          <w:sz w:val="20"/>
          <w:szCs w:val="20"/>
          <w:color w:val="auto"/>
        </w:rPr>
      </w:pPr>
    </w:p>
    <w:p>
      <w:pPr>
        <w:ind w:right="20" w:firstLine="921"/>
        <w:spacing w:after="0" w:line="294" w:lineRule="auto"/>
        <w:tabs>
          <w:tab w:leader="none" w:pos="11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any Borrower or any Subsidiary that is made for cash consideration in an amount not less than the fair market value of such fixed or capital asset and is consummated within 90 days after such Borrower or such Subsidiary acquires or completes the construction of such fixed or capital asset.</w:t>
      </w:r>
    </w:p>
    <w:p>
      <w:pPr>
        <w:spacing w:after="0" w:line="11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Swap Agreements</w:t>
      </w:r>
      <w:r>
        <w:rPr>
          <w:rFonts w:ascii="Arial" w:cs="Arial" w:eastAsia="Arial" w:hAnsi="Arial"/>
          <w:sz w:val="16"/>
          <w:szCs w:val="16"/>
          <w:color w:val="auto"/>
        </w:rPr>
        <w:t>. No Loan Party will, nor will it permit any Subsidiary to, enter into any Swap Agreement, except (a) 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1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No Loan Party will, nor will it permit any Subsidiary to, declare or make, or agree to pay or make, directly or indirectly, any Restricted Payment, or incur any obligation (contingent or otherwise) to do so, except:</w:t>
      </w:r>
    </w:p>
    <w:p>
      <w:pPr>
        <w:spacing w:after="0" w:line="132" w:lineRule="exact"/>
        <w:rPr>
          <w:sz w:val="20"/>
          <w:szCs w:val="20"/>
          <w:color w:val="auto"/>
        </w:rPr>
      </w:pPr>
    </w:p>
    <w:p>
      <w:pPr>
        <w:ind w:firstLine="921"/>
        <w:spacing w:after="0" w:line="259"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may declare and pay dividends with respect to its common stock payable solely in additional shares of its common stock, and, with respect to its preferred stock, payable solely in additional shares of such preferred stock or in shares of its common stock, and (ii) Subsidiaries may declare and pay dividends ratably with respect to their Equity Interests;</w:t>
      </w:r>
    </w:p>
    <w:p>
      <w:pPr>
        <w:spacing w:after="0" w:line="140"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 long as the Leverage Ratio is less than 1.5:1.0 after giving effect thereto, and no Event of Default has occurred and is continuing, other Restricted Payments paid to shareholders of the Borrower;</w:t>
      </w:r>
    </w:p>
    <w:p>
      <w:pPr>
        <w:spacing w:after="0" w:line="131" w:lineRule="exact"/>
        <w:rPr>
          <w:rFonts w:ascii="Arial" w:cs="Arial" w:eastAsia="Arial" w:hAnsi="Arial"/>
          <w:sz w:val="18"/>
          <w:szCs w:val="18"/>
          <w:color w:val="auto"/>
        </w:rPr>
      </w:pPr>
    </w:p>
    <w:p>
      <w:pPr>
        <w:ind w:right="340" w:firstLine="921"/>
        <w:spacing w:after="0" w:line="259"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Restricted Payments paid in cash to shareholders of the Borrower, whether in connection with a share buyback plan or otherwise, in an aggregate annual amount after the Effective Date not to exceed 50% of the previous fiscal year’s EBITDA for any fiscal year;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issuances of Equity Interests to sellers of Permitted Acquisitions in satisfaction of obligations of the type described in Section 6.01(k); and</w:t>
      </w:r>
    </w:p>
    <w:p>
      <w:pPr>
        <w:spacing w:after="0" w:line="194" w:lineRule="exact"/>
        <w:rPr>
          <w:rFonts w:ascii="Arial" w:cs="Arial" w:eastAsia="Arial" w:hAnsi="Arial"/>
          <w:sz w:val="16"/>
          <w:szCs w:val="16"/>
          <w:color w:val="auto"/>
        </w:rPr>
      </w:pPr>
    </w:p>
    <w:p>
      <w:pPr>
        <w:ind w:right="180" w:firstLine="921"/>
        <w:spacing w:after="0" w:line="259"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may repurchase, redeem, retire or otherwise acquire for value Equity Interests (including any stock appreciation rights in respect thereof) of the Borrower from current or former employees or directors, provided that the aggregate annual cash payments in respect of such repurchases, redemptions, retirements and acquisitions shall not exceed $5,000,000.</w:t>
      </w:r>
    </w:p>
    <w:p>
      <w:pPr>
        <w:spacing w:after="0" w:line="14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w:t>
      </w:r>
    </w:p>
    <w:p>
      <w:pPr>
        <w:ind w:right="400" w:firstLine="8"/>
        <w:spacing w:after="0" w:line="261" w:lineRule="auto"/>
        <w:tabs>
          <w:tab w:leader="none" w:pos="2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transactions that (i) are in the ordinary course of business and (ii) are at prices and on terms and conditions not less favorable to such Loan Party or such Subsidiary than could be obtained</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280"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 arm’s-length basis from unrelated third parties, (b) transactions between or among the Borrower and any Subsidiary not involving any other Affiliate,</w:t>
      </w:r>
    </w:p>
    <w:p>
      <w:pPr>
        <w:spacing w:after="0" w:line="38" w:lineRule="exact"/>
        <w:rPr>
          <w:sz w:val="20"/>
          <w:szCs w:val="20"/>
          <w:color w:val="auto"/>
        </w:rPr>
      </w:pPr>
    </w:p>
    <w:p>
      <w:pPr>
        <w:ind w:right="140" w:firstLine="8"/>
        <w:spacing w:after="0" w:line="281"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Restricted Payment permitted by Section 6.07, (d) reasonable and customary director, officer and employee compensation (including bonuses) and other benefits (including retirement, health, stock option and other benefit plans) and indemnification arrangements, (e) Transfer Pricing Transactions, and</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transactions described in </w:t>
      </w:r>
      <w:r>
        <w:rPr>
          <w:rFonts w:ascii="Arial" w:cs="Arial" w:eastAsia="Arial" w:hAnsi="Arial"/>
          <w:sz w:val="18"/>
          <w:szCs w:val="18"/>
          <w:u w:val="single" w:color="auto"/>
          <w:color w:val="auto"/>
        </w:rPr>
        <w:t>Schedule 6.08</w:t>
      </w:r>
      <w:r>
        <w:rPr>
          <w:rFonts w:ascii="Arial" w:cs="Arial" w:eastAsia="Arial" w:hAnsi="Arial"/>
          <w:sz w:val="18"/>
          <w:szCs w:val="18"/>
          <w:color w:val="auto"/>
        </w:rPr>
        <w:t>.</w:t>
      </w:r>
    </w:p>
    <w:p>
      <w:pPr>
        <w:spacing w:after="0" w:line="165" w:lineRule="exact"/>
        <w:rPr>
          <w:sz w:val="20"/>
          <w:szCs w:val="20"/>
          <w:color w:val="auto"/>
        </w:rPr>
      </w:pPr>
    </w:p>
    <w:p>
      <w:pPr>
        <w:ind w:firstLine="913"/>
        <w:spacing w:after="0" w:line="304"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u w:val="single" w:color="auto"/>
          <w:color w:val="auto"/>
        </w:rPr>
        <w:t>Restrictive Agreements</w:t>
      </w:r>
      <w:r>
        <w:rPr>
          <w:rFonts w:ascii="Arial" w:cs="Arial" w:eastAsia="Arial" w:hAnsi="Arial"/>
          <w:sz w:val="15"/>
          <w:szCs w:val="15"/>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except for: (i) such encumbrances or restrictions existing under or by reason of applicable law or any Loan Document; (ii) restrictions and conditions existing on the date hereof identified on </w:t>
      </w:r>
      <w:r>
        <w:rPr>
          <w:rFonts w:ascii="Arial" w:cs="Arial" w:eastAsia="Arial" w:hAnsi="Arial"/>
          <w:sz w:val="15"/>
          <w:szCs w:val="15"/>
          <w:u w:val="single" w:color="auto"/>
          <w:color w:val="auto"/>
        </w:rPr>
        <w:t>Schedule 6.09</w:t>
      </w:r>
      <w:r>
        <w:rPr>
          <w:rFonts w:ascii="Arial" w:cs="Arial" w:eastAsia="Arial" w:hAnsi="Arial"/>
          <w:sz w:val="15"/>
          <w:szCs w:val="15"/>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Section 5.09,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Section 6.02 restricting the transfer of the property subject thereto; (x) without affecting the Loan Parties’ obligations under Section 5.09,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or (xii) without affecting the Loan Parties’ obligations under Section 5.09, restrictions imposed solely on foreign Subsidiaries pursuant to any Swap Agreement entered into by the Borrower or any Subsidiary and permitted pursuant to Section 6.06.</w:t>
      </w:r>
    </w:p>
    <w:p>
      <w:pPr>
        <w:spacing w:after="0" w:line="330"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xml:space="preserve">. No Loan Party will, nor will it permit any Subsidiary to, amend, modify or waive any of its rights under its certificate of incorporation, by-laws, operating, management or partnership agreement or other organizational documents, to the extent any such amendment, modification or waiver would be materially adverse to the Lenders as reasonably determined by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the “BPO Conversion” described on Schedule 6.10 hereto shall be permitted hereunder.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98" w:name="page99"/>
    <w:bookmarkEnd w:id="98"/>
    <w:p>
      <w:pPr>
        <w:ind w:left="-60" w:firstLine="921"/>
        <w:spacing w:after="0" w:line="268" w:lineRule="auto"/>
        <w:tabs>
          <w:tab w:leader="none" w:pos="109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Fixed Charge Coverage Ratio</w:t>
      </w:r>
      <w:r>
        <w:rPr>
          <w:rFonts w:ascii="Arial" w:cs="Arial" w:eastAsia="Arial" w:hAnsi="Arial"/>
          <w:sz w:val="18"/>
          <w:szCs w:val="18"/>
          <w:color w:val="auto"/>
        </w:rPr>
        <w:t>. The Borrower will not permit the Fixed Charge Coverage Ratio, determined for the four consecutive fiscal quarter period ending on the last day of each fiscal quarter, to be less than 1.50 to 1.00.</w:t>
      </w:r>
    </w:p>
    <w:p>
      <w:pPr>
        <w:spacing w:after="0" w:line="131" w:lineRule="exact"/>
        <w:rPr>
          <w:rFonts w:ascii="Arial" w:cs="Arial" w:eastAsia="Arial" w:hAnsi="Arial"/>
          <w:sz w:val="18"/>
          <w:szCs w:val="18"/>
          <w:color w:val="auto"/>
        </w:rPr>
      </w:pPr>
    </w:p>
    <w:p>
      <w:pPr>
        <w:ind w:left="-60" w:right="220" w:firstLine="921"/>
        <w:spacing w:after="0" w:line="268" w:lineRule="auto"/>
        <w:tabs>
          <w:tab w:leader="none" w:pos="110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Leverage Ratio</w:t>
      </w:r>
      <w:r>
        <w:rPr>
          <w:rFonts w:ascii="Arial" w:cs="Arial" w:eastAsia="Arial" w:hAnsi="Arial"/>
          <w:sz w:val="18"/>
          <w:szCs w:val="18"/>
          <w:color w:val="auto"/>
        </w:rPr>
        <w:t>. The Borrower will not permit the Leverage Ratio, determined for the four consecutive fiscal quarter period ending on the last day of each fiscal quarter, to be greater than 2.25 to 1.00.</w:t>
      </w:r>
    </w:p>
    <w:p>
      <w:pPr>
        <w:spacing w:after="0" w:line="29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w:t>
      </w:r>
    </w:p>
    <w:p>
      <w:pPr>
        <w:spacing w:after="0" w:line="171" w:lineRule="exact"/>
        <w:rPr>
          <w:sz w:val="20"/>
          <w:szCs w:val="20"/>
          <w:color w:val="auto"/>
        </w:rPr>
      </w:pPr>
    </w:p>
    <w:p>
      <w:pPr>
        <w:ind w:left="-60" w:right="280" w:firstLine="921"/>
        <w:spacing w:after="0" w:line="332" w:lineRule="auto"/>
        <w:tabs>
          <w:tab w:leader="none" w:pos="10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85" w:lineRule="exact"/>
        <w:rPr>
          <w:rFonts w:ascii="Arial" w:cs="Arial" w:eastAsia="Arial" w:hAnsi="Arial"/>
          <w:sz w:val="16"/>
          <w:szCs w:val="16"/>
          <w:color w:val="auto"/>
        </w:rPr>
      </w:pPr>
    </w:p>
    <w:p>
      <w:pPr>
        <w:jc w:val="both"/>
        <w:ind w:left="-60" w:right="380" w:firstLine="921"/>
        <w:spacing w:after="0" w:line="259" w:lineRule="auto"/>
        <w:tabs>
          <w:tab w:leader="none" w:pos="110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Business Days;</w:t>
      </w:r>
    </w:p>
    <w:p>
      <w:pPr>
        <w:spacing w:after="0" w:line="140" w:lineRule="exact"/>
        <w:rPr>
          <w:rFonts w:ascii="Arial" w:cs="Arial" w:eastAsia="Arial" w:hAnsi="Arial"/>
          <w:sz w:val="18"/>
          <w:szCs w:val="18"/>
          <w:color w:val="auto"/>
        </w:rPr>
      </w:pPr>
    </w:p>
    <w:p>
      <w:pPr>
        <w:ind w:left="-60" w:right="220" w:firstLine="921"/>
        <w:spacing w:after="0" w:line="254" w:lineRule="auto"/>
        <w:tabs>
          <w:tab w:leader="none" w:pos="10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 (unless, in the case of any such representation and warranty made pursuant to Section 3.13 of this Agreement or Section 3.1 of the Security Agreement, such misstatement was made with respect to Collateral having a book value not exceeding $1,000,000);</w:t>
      </w:r>
    </w:p>
    <w:p>
      <w:pPr>
        <w:spacing w:after="0" w:line="144" w:lineRule="exact"/>
        <w:rPr>
          <w:rFonts w:ascii="Arial" w:cs="Arial" w:eastAsia="Arial" w:hAnsi="Arial"/>
          <w:sz w:val="18"/>
          <w:szCs w:val="18"/>
          <w:color w:val="auto"/>
        </w:rPr>
      </w:pPr>
    </w:p>
    <w:p>
      <w:pPr>
        <w:ind w:left="-60" w:right="640" w:firstLine="921"/>
        <w:spacing w:after="0" w:line="268" w:lineRule="auto"/>
        <w:tabs>
          <w:tab w:leader="none" w:pos="110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Section 5.02(a), 5.03 (with respect to maintaining a Loan Party’s existence), 5.08, 5.09(a) or 5.09(b) or in Article VI;</w:t>
      </w:r>
    </w:p>
    <w:p>
      <w:pPr>
        <w:spacing w:after="0" w:line="131" w:lineRule="exact"/>
        <w:rPr>
          <w:rFonts w:ascii="Arial" w:cs="Arial" w:eastAsia="Arial" w:hAnsi="Arial"/>
          <w:sz w:val="18"/>
          <w:szCs w:val="18"/>
          <w:color w:val="auto"/>
        </w:rPr>
      </w:pPr>
    </w:p>
    <w:p>
      <w:pPr>
        <w:ind w:left="-60" w:right="80" w:firstLine="921"/>
        <w:spacing w:after="0" w:line="256" w:lineRule="auto"/>
        <w:tabs>
          <w:tab w:leader="none" w:pos="10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this Agreement (other than those which constitute a default under another Section of this Article), and such failure shall continue unremedied for a period of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43" w:lineRule="exact"/>
        <w:rPr>
          <w:rFonts w:ascii="Arial" w:cs="Arial" w:eastAsia="Arial" w:hAnsi="Arial"/>
          <w:sz w:val="18"/>
          <w:szCs w:val="18"/>
          <w:color w:val="auto"/>
        </w:rPr>
      </w:pPr>
    </w:p>
    <w:p>
      <w:pPr>
        <w:ind w:left="-60" w:right="300" w:firstLine="921"/>
        <w:spacing w:after="0" w:line="268" w:lineRule="auto"/>
        <w:tabs>
          <w:tab w:leader="none" w:pos="10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Loan Party or any Subsidiary shall fail to make any payment (whether of principal or interest and regardless of amount) in respect of any Material Indebtedness, when and as the same shall become due and payable;</w:t>
      </w:r>
    </w:p>
    <w:p>
      <w:pPr>
        <w:spacing w:after="0" w:line="131" w:lineRule="exact"/>
        <w:rPr>
          <w:rFonts w:ascii="Arial" w:cs="Arial" w:eastAsia="Arial" w:hAnsi="Arial"/>
          <w:sz w:val="18"/>
          <w:szCs w:val="18"/>
          <w:color w:val="auto"/>
        </w:rPr>
      </w:pPr>
    </w:p>
    <w:p>
      <w:pPr>
        <w:ind w:left="-60" w:right="200" w:firstLine="921"/>
        <w:spacing w:after="0" w:line="332" w:lineRule="auto"/>
        <w:tabs>
          <w:tab w:leader="none" w:pos="1102"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300" w:top="334" w:right="299" w:bottom="1440" w:gutter="0" w:footer="0" w:header="0"/>
        </w:sectPr>
      </w:pPr>
    </w:p>
    <w:bookmarkStart w:id="99" w:name="page100"/>
    <w:bookmarkEnd w:id="9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secured Indebtedness that becomes due as a result of the voluntary sale or transfer of the property or assets securing such Indebtedness;</w:t>
      </w:r>
    </w:p>
    <w:p>
      <w:pPr>
        <w:spacing w:after="0" w:line="140" w:lineRule="exact"/>
        <w:rPr>
          <w:sz w:val="20"/>
          <w:szCs w:val="20"/>
          <w:color w:val="auto"/>
        </w:rPr>
      </w:pPr>
    </w:p>
    <w:p>
      <w:pPr>
        <w:ind w:right="200" w:firstLine="921"/>
        <w:spacing w:after="0" w:line="294"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a Loan Party or any Subsidiary of any Loan Party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of any Loan Party or for a substantial part of its assets, and, in any such case, such proceeding or petition shall continue undismissed for 60 days or an order or decree approving or ordering any of the foregoing shall be entered;</w:t>
      </w:r>
    </w:p>
    <w:p>
      <w:pPr>
        <w:spacing w:after="0" w:line="115" w:lineRule="exact"/>
        <w:rPr>
          <w:rFonts w:ascii="Arial" w:cs="Arial" w:eastAsia="Arial" w:hAnsi="Arial"/>
          <w:sz w:val="16"/>
          <w:szCs w:val="16"/>
          <w:color w:val="auto"/>
        </w:rPr>
      </w:pPr>
    </w:p>
    <w:p>
      <w:pPr>
        <w:ind w:right="100" w:firstLine="921"/>
        <w:spacing w:after="0" w:line="291" w:lineRule="auto"/>
        <w:tabs>
          <w:tab w:leader="none" w:pos="112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Loan Party or any Subsidiary of any Loan Party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20" w:lineRule="exact"/>
        <w:rPr>
          <w:rFonts w:ascii="Arial" w:cs="Arial" w:eastAsia="Arial" w:hAnsi="Arial"/>
          <w:sz w:val="16"/>
          <w:szCs w:val="16"/>
          <w:color w:val="auto"/>
        </w:rPr>
      </w:pPr>
    </w:p>
    <w:p>
      <w:pPr>
        <w:ind w:left="1140" w:hanging="219"/>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Loan Party or any Subsidiary of any Loan Party shall become unable, admit in writing its inability or fail generally to pay its debts as they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become due;</w:t>
      </w:r>
    </w:p>
    <w:p>
      <w:pPr>
        <w:spacing w:after="0" w:line="164" w:lineRule="exact"/>
        <w:rPr>
          <w:rFonts w:ascii="Arial" w:cs="Arial" w:eastAsia="Arial" w:hAnsi="Arial"/>
          <w:sz w:val="16"/>
          <w:szCs w:val="16"/>
          <w:color w:val="auto"/>
        </w:rPr>
      </w:pPr>
    </w:p>
    <w:p>
      <w:pPr>
        <w:ind w:firstLine="921"/>
        <w:spacing w:after="0" w:line="255"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$5,000,000 (not paid or fully covered by insurance company as to which the relevant insurance company has acknowledged coverage) shall be rendered against any Loan Party, any Subsidiary of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or any Subsidiary of any Loan Party to enforce any such judgment;</w:t>
      </w:r>
    </w:p>
    <w:p>
      <w:pPr>
        <w:spacing w:after="0" w:line="142" w:lineRule="exact"/>
        <w:rPr>
          <w:rFonts w:ascii="Arial" w:cs="Arial" w:eastAsia="Arial" w:hAnsi="Arial"/>
          <w:sz w:val="18"/>
          <w:szCs w:val="18"/>
          <w:color w:val="auto"/>
        </w:rPr>
      </w:pPr>
    </w:p>
    <w:p>
      <w:pPr>
        <w:ind w:right="100" w:firstLine="921"/>
        <w:spacing w:after="0" w:line="268" w:lineRule="auto"/>
        <w:tabs>
          <w:tab w:leader="none" w:pos="112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aggregate liability of the Borrower and its Subsidiaries in excess of $5,000,000;</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rFonts w:ascii="Arial" w:cs="Arial" w:eastAsia="Arial" w:hAnsi="Arial"/>
          <w:sz w:val="18"/>
          <w:szCs w:val="18"/>
          <w:color w:val="auto"/>
        </w:rPr>
      </w:pPr>
    </w:p>
    <w:p>
      <w:pPr>
        <w:ind w:right="40" w:firstLine="921"/>
        <w:spacing w:after="0" w:line="332" w:lineRule="auto"/>
        <w:tabs>
          <w:tab w:leader="none" w:pos="11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85" w:lineRule="exact"/>
        <w:rPr>
          <w:rFonts w:ascii="Arial" w:cs="Arial" w:eastAsia="Arial" w:hAnsi="Arial"/>
          <w:sz w:val="16"/>
          <w:szCs w:val="16"/>
          <w:color w:val="auto"/>
        </w:rPr>
      </w:pPr>
    </w:p>
    <w:p>
      <w:pPr>
        <w:ind w:right="220" w:firstLine="921"/>
        <w:spacing w:after="0" w:line="259"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Loan Guaranty shall fail to remain in full force or effect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80" w:right="299" w:bottom="1440" w:gutter="0" w:footer="0" w:header="0"/>
        </w:sectPr>
      </w:pPr>
    </w:p>
    <w:bookmarkStart w:id="100" w:name="page101"/>
    <w:bookmarkEnd w:id="100"/>
    <w:p>
      <w:pPr>
        <w:ind w:right="40" w:firstLine="921"/>
        <w:spacing w:after="0" w:line="254"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Collateral Document shall for any reason fail to create a valid and perfected first priority security interest in any Collateral purported to be covered thereby (other than with respect to Collateral having a book value not exceeding $1,000,000), except (A) as permitted by the terms of any Collateral Document or other Loan Document or (B) as a result of the Administrative Agent’s failure to (1) maintain possession of any stock certificates, promissory notes or other instruments delivered to it under the Collateral Documents, or (2) file Uniform Commercial Code continuation statements, (ii) any material provision of any Collateral Document shall fail to remain in full force or effect or (iii) any action shall be taken to discontinue or to assert the invalidity or unenforceability of any Collateral Document; or</w:t>
      </w:r>
    </w:p>
    <w:p>
      <w:pPr>
        <w:spacing w:after="0" w:line="144" w:lineRule="exact"/>
        <w:rPr>
          <w:rFonts w:ascii="Arial" w:cs="Arial" w:eastAsia="Arial" w:hAnsi="Arial"/>
          <w:sz w:val="18"/>
          <w:szCs w:val="18"/>
          <w:color w:val="auto"/>
        </w:rPr>
      </w:pPr>
    </w:p>
    <w:p>
      <w:pPr>
        <w:jc w:val="both"/>
        <w:ind w:right="300" w:firstLine="921"/>
        <w:spacing w:after="0" w:line="306"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clause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07"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4" w:right="239" w:bottom="1440" w:gutter="0" w:footer="0" w:header="0"/>
        </w:sectPr>
      </w:pPr>
    </w:p>
    <w:bookmarkStart w:id="101" w:name="page102"/>
    <w:bookmarkEnd w:id="101"/>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24"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4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commercial bank or an Affiliate of any such commercial bank. Upon the acceptance of its appointment as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4" w:right="239" w:bottom="1440" w:gutter="0" w:footer="0" w:header="0"/>
        </w:sectPr>
      </w:pPr>
    </w:p>
    <w:bookmarkStart w:id="102" w:name="page103"/>
    <w:bookmarkEnd w:id="10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Section 2.17(d)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1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Co-Lead Arrangers shall not have any right, power, obligation, liability, responsibility or duty under this Agreement other than those applicable to all Lenders as such.</w:t>
      </w: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as follows:</w:t>
      </w:r>
    </w:p>
    <w:p>
      <w:pPr>
        <w:spacing w:after="0" w:line="59" w:lineRule="exact"/>
        <w:rPr>
          <w:sz w:val="20"/>
          <w:szCs w:val="20"/>
          <w:color w:val="auto"/>
        </w:rPr>
      </w:pPr>
    </w:p>
    <w:p>
      <w:pPr>
        <w:ind w:left="1920" w:hanging="440"/>
        <w:spacing w:after="0"/>
        <w:tabs>
          <w:tab w:leader="none" w:pos="1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to any Loan Party, to the Borrower at:</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Jarrod Yahes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212-277-7111</w:t>
      </w:r>
    </w:p>
    <w:p>
      <w:pPr>
        <w:spacing w:after="0" w:line="205"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to the Administrative Agent or to Chase, in its capacity as Issuing Bank, to JPMorgan Chase Bank, N.A. at:</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270 Park Avenue, 41st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Jalima McNally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646-534-2237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03" w:name="page104"/>
    <w:bookmarkEnd w:id="103"/>
    <w:p>
      <w:pPr>
        <w:ind w:left="1920" w:hanging="440"/>
        <w:spacing w:after="0"/>
        <w:tabs>
          <w:tab w:leader="none" w:pos="1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Citibank, N.A. in its capacity as Issuing Bank at:</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601 Lexington Avenue, 4th Floor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Jorge Guigou</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Facsimile No: 212-793-9008</w:t>
      </w:r>
    </w:p>
    <w:p>
      <w:pPr>
        <w:spacing w:after="0" w:line="205" w:lineRule="exact"/>
        <w:rPr>
          <w:sz w:val="20"/>
          <w:szCs w:val="20"/>
          <w:color w:val="auto"/>
        </w:rPr>
      </w:pPr>
    </w:p>
    <w:p>
      <w:pPr>
        <w:ind w:left="1920" w:hanging="440"/>
        <w:spacing w:after="0"/>
        <w:tabs>
          <w:tab w:leader="none" w:pos="1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any other Lender, to it at its address or facsimile number set forth in its Administrative Questionnaire.</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All such notices and other communications (i) sent by hand or overnight courier service, or mailed by certified or registered mail, shall be deemed to have been given when received or (ii) sent by facsimile shall be deemed to have been given when 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normal business hours for the recipient, shall be deemed to have been given at the opening of business on the next Business Day for the recipient.</w:t>
      </w:r>
    </w:p>
    <w:p>
      <w:pPr>
        <w:spacing w:after="0" w:line="107" w:lineRule="exact"/>
        <w:rPr>
          <w:sz w:val="20"/>
          <w:szCs w:val="20"/>
          <w:color w:val="auto"/>
        </w:rPr>
      </w:pPr>
    </w:p>
    <w:p>
      <w:pPr>
        <w:ind w:right="20" w:firstLine="921"/>
        <w:spacing w:after="0" w:line="286" w:lineRule="auto"/>
        <w:tabs>
          <w:tab w:leader="none" w:pos="11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Article II or to compliance and no Event of Default certificates delivered pursuant to Section 5.01(c) unless otherwise agreed by the Administrative Agent and the applicable Lender. The Administrative Agent or the Borrower (on behalf of the Loan Parties)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party hereto may change its address or facsimile number for notices and other communications hereunder by notice to the other parties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6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any Lender or any Issuing Bank may have had notice or knowledge of such Default at the time.</w:t>
      </w:r>
    </w:p>
    <w:p>
      <w:pPr>
        <w:spacing w:after="0" w:line="171" w:lineRule="exact"/>
        <w:rPr>
          <w:sz w:val="20"/>
          <w:szCs w:val="20"/>
          <w:color w:val="auto"/>
        </w:rPr>
      </w:pPr>
    </w:p>
    <w:p>
      <w:pPr>
        <w:ind w:right="20" w:firstLine="921"/>
        <w:spacing w:after="0" w:line="301" w:lineRule="auto"/>
        <w:tabs>
          <w:tab w:leader="none" w:pos="1162" w:val="left"/>
        </w:tabs>
        <w:numPr>
          <w:ilvl w:val="1"/>
          <w:numId w:val="94"/>
        </w:numPr>
        <w:rPr>
          <w:rFonts w:ascii="Arial" w:cs="Arial" w:eastAsia="Arial" w:hAnsi="Arial"/>
          <w:sz w:val="15"/>
          <w:szCs w:val="15"/>
          <w:color w:val="auto"/>
        </w:rPr>
      </w:pPr>
      <w:r>
        <w:rPr>
          <w:rFonts w:ascii="Arial" w:cs="Arial" w:eastAsia="Arial" w:hAnsi="Arial"/>
          <w:sz w:val="15"/>
          <w:szCs w:val="15"/>
          <w:color w:val="auto"/>
        </w:rPr>
        <w:t xml:space="preserve">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 (i) increase the Commitment of any Lender without the written consent of such Lender, (ii) reduce or forgive the principal amount of any Loan or LC Disbursement or reduce the rate of interest thereon, or reduce or forgive any interest or fees payable hereunder, without the written consent of each Lender directly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(iv) change Section 2.18(b) or (d) in a manner that would alter the manner in which payments are shared, without the written consent of each Lender,</w:t>
      </w:r>
    </w:p>
    <w:p>
      <w:pPr>
        <w:spacing w:after="0" w:line="4" w:lineRule="exact"/>
        <w:rPr>
          <w:rFonts w:ascii="Arial" w:cs="Arial" w:eastAsia="Arial" w:hAnsi="Arial"/>
          <w:sz w:val="15"/>
          <w:szCs w:val="15"/>
          <w:color w:val="auto"/>
        </w:rPr>
      </w:pPr>
    </w:p>
    <w:p>
      <w:pPr>
        <w:ind w:right="140" w:firstLine="8"/>
        <w:spacing w:after="0" w:line="300" w:lineRule="auto"/>
        <w:tabs>
          <w:tab w:leader="none" w:pos="249" w:val="left"/>
        </w:tabs>
        <w:numPr>
          <w:ilvl w:val="0"/>
          <w:numId w:val="95"/>
        </w:numPr>
        <w:rPr>
          <w:rFonts w:ascii="Arial" w:cs="Arial" w:eastAsia="Arial" w:hAnsi="Arial"/>
          <w:sz w:val="15"/>
          <w:szCs w:val="15"/>
          <w:color w:val="auto"/>
        </w:rPr>
      </w:pPr>
      <w:r>
        <w:rPr>
          <w:rFonts w:ascii="Arial" w:cs="Arial" w:eastAsia="Arial" w:hAnsi="Arial"/>
          <w:sz w:val="15"/>
          <w:szCs w:val="15"/>
          <w:color w:val="auto"/>
        </w:rPr>
        <w:t>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(vi) change Section 2.20, without the consent of each Lender (other than any Defaulting Lender), (vii) release any Loan Guarantor from its obligation under its Loan Guaranty (except as otherwise permitted herein or in the other Loan Documents), without the written consent of each Lender,</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provided in clauses (d) and (e) of this Section or in any Collateral Document, release all or substantially all of the Collateral, without the written</w:t>
      </w:r>
    </w:p>
    <w:p>
      <w:pPr>
        <w:spacing w:after="0" w:line="3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consent of each Lender, or (x) increase the aggregate Commitments in excess of $75,000,000, without the 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agreement shall amend, modify or otherwise affect the rights or duties of the Administrative Agent or the Issuing Banks hereunder without the prior written consent of the Administrative Agent or the Issuing Banks, as the case may be (it being understood that any change to Section 2.20 shall require the consent of the Administrative Agent and the Issuing Banks).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w:t>
      </w:r>
    </w:p>
    <w:p>
      <w:pPr>
        <w:spacing w:after="0" w:line="145" w:lineRule="exact"/>
        <w:rPr>
          <w:rFonts w:ascii="Arial" w:cs="Arial" w:eastAsia="Arial" w:hAnsi="Arial"/>
          <w:sz w:val="16"/>
          <w:szCs w:val="16"/>
          <w:color w:val="auto"/>
        </w:rPr>
      </w:pPr>
    </w:p>
    <w:p>
      <w:pPr>
        <w:ind w:firstLine="921"/>
        <w:spacing w:after="0" w:line="286" w:lineRule="auto"/>
        <w:tabs>
          <w:tab w:leader="none" w:pos="1152"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discretion, release its Liens on Collateral valued in the aggregate not in excess of $500,000 during any calendar year without the prior written authorization of the Required Lenders. Any such release shall not in any manner discharge, affect, or impair the Obligations or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05" w:name="page106"/>
    <w:bookmarkEnd w:id="10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(other than those expressly being released) upon (or obligations of the Loan Parties in respect of) all interests retained by the Loan Parties, including the proceeds of any sale, all of which shall continue to constitute part of the Collateral.</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Borrower shall pay (i) all reasonable and documented out-of-pocket expenses incurred by the Administrative Agent and its Affiliates, including the reasonable fees, charges and disbursements of outside counsel for the Administrative Agent, in connection with the syndication and distribution (including, without limitation, via the internet or through a service such as Intralinks)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any Issuing Bank or any Lender, including the fees, charges and disbursements of any outside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Borrower under this Section include, without limiting the generality of the foregoing, costs and expenses incurred in connection with:</w:t>
      </w:r>
    </w:p>
    <w:p>
      <w:pPr>
        <w:spacing w:after="0" w:line="43" w:lineRule="exact"/>
        <w:rPr>
          <w:sz w:val="20"/>
          <w:szCs w:val="20"/>
          <w:color w:val="auto"/>
        </w:rPr>
      </w:pPr>
    </w:p>
    <w:p>
      <w:pPr>
        <w:ind w:left="920" w:right="520" w:firstLine="421"/>
        <w:spacing w:after="0" w:line="268" w:lineRule="auto"/>
        <w:tabs>
          <w:tab w:leader="none" w:pos="15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taxes, fees and other charges for (A) lien searches and (B) filing financing statements and continuations, and other actions to perfect, protect, and continue the Administrative Agent’s Liens;</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sums paid or incurred to take any action required of any Loan Party under the Loan Documents that such Loan Party fails to pay or take;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920" w:right="680" w:firstLine="421"/>
        <w:spacing w:after="0" w:line="268" w:lineRule="auto"/>
        <w:tabs>
          <w:tab w:leader="none" w:pos="16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forwarding loan proceeds, collecting checks and other items of payment, and costs and expenses of preserving and protecting the Collateral.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All of the foregoing costs and expenses may be charged to the Borrower as Loans or to another deposit account, all as described in Section 2.18(c).</w:t>
      </w:r>
    </w:p>
    <w:p>
      <w:pPr>
        <w:spacing w:after="0" w:line="194" w:lineRule="exact"/>
        <w:rPr>
          <w:sz w:val="20"/>
          <w:szCs w:val="20"/>
          <w:color w:val="auto"/>
        </w:rPr>
      </w:pPr>
    </w:p>
    <w:p>
      <w:pPr>
        <w:ind w:firstLine="921"/>
        <w:spacing w:after="0" w:line="286" w:lineRule="auto"/>
        <w:tabs>
          <w:tab w:leader="none" w:pos="116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penalties, liabilities and related expenses (except for taxes, which shall be covered by Sections 2.17 and 10.09),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Section 2.17,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80" w:right="279" w:bottom="1440" w:gutter="0" w:footer="0" w:header="0"/>
        </w:sectPr>
      </w:pPr>
    </w:p>
    <w:bookmarkStart w:id="106" w:name="page107"/>
    <w:bookmarkEnd w:id="106"/>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(v)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(y) result from a claim brought by the Borrower or any of its Subsidiaries against an Indemnitee for breach in bad faith of such Indemnitee’s obligations hereunder or under any other Loan Document, if the Borrower or such Subsidiary has obtained a final and non-appealable judgment in its favor on such claim as determined by a court of competent jurisdiction.</w:t>
      </w:r>
    </w:p>
    <w:p>
      <w:pPr>
        <w:spacing w:after="0" w:line="120" w:lineRule="exact"/>
        <w:rPr>
          <w:sz w:val="20"/>
          <w:szCs w:val="20"/>
          <w:color w:val="auto"/>
        </w:rPr>
      </w:pPr>
    </w:p>
    <w:p>
      <w:pPr>
        <w:ind w:left="1160" w:hanging="239"/>
        <w:spacing w:after="0"/>
        <w:tabs>
          <w:tab w:leader="none" w:pos="1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To the extent that the Borrower fails to pay any amount required to be paid by it to the Administrative Agent or any Issuing Bank under paragraph</w:t>
      </w:r>
    </w:p>
    <w:p>
      <w:pPr>
        <w:spacing w:after="0" w:line="38" w:lineRule="exact"/>
        <w:rPr>
          <w:rFonts w:ascii="Arial" w:cs="Arial" w:eastAsia="Arial" w:hAnsi="Arial"/>
          <w:sz w:val="16"/>
          <w:szCs w:val="16"/>
          <w:color w:val="auto"/>
        </w:rPr>
      </w:pPr>
    </w:p>
    <w:p>
      <w:pPr>
        <w:ind w:right="300" w:firstLine="8"/>
        <w:spacing w:after="0" w:line="254" w:lineRule="auto"/>
        <w:tabs>
          <w:tab w:leader="none" w:pos="2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or (b)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penalty, liability or related expense, as the case may be, was incurred by or asserted against the Administrative Agent or such Issuing Bank in its capacity as such.</w:t>
      </w:r>
    </w:p>
    <w:p>
      <w:pPr>
        <w:spacing w:after="0" w:line="143" w:lineRule="exact"/>
        <w:rPr>
          <w:rFonts w:ascii="Arial" w:cs="Arial" w:eastAsia="Arial" w:hAnsi="Arial"/>
          <w:sz w:val="18"/>
          <w:szCs w:val="18"/>
          <w:color w:val="auto"/>
        </w:rPr>
      </w:pPr>
    </w:p>
    <w:p>
      <w:pPr>
        <w:ind w:right="180" w:firstLine="921"/>
        <w:spacing w:after="0" w:line="335" w:lineRule="auto"/>
        <w:tabs>
          <w:tab w:leader="none" w:pos="1162"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To the extent permitted by applicable law, no Loan Party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88" w:lineRule="exact"/>
        <w:rPr>
          <w:rFonts w:ascii="Arial" w:cs="Arial" w:eastAsia="Arial" w:hAnsi="Arial"/>
          <w:sz w:val="15"/>
          <w:szCs w:val="15"/>
          <w:color w:val="auto"/>
        </w:rPr>
      </w:pPr>
    </w:p>
    <w:p>
      <w:pPr>
        <w:ind w:left="1160" w:hanging="239"/>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18" w:lineRule="exact"/>
        <w:rPr>
          <w:sz w:val="20"/>
          <w:szCs w:val="20"/>
          <w:color w:val="auto"/>
        </w:rPr>
      </w:pPr>
    </w:p>
    <w:p>
      <w:pPr>
        <w:ind w:right="40" w:firstLine="921"/>
        <w:spacing w:after="0" w:line="259"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of:</w:t>
      </w:r>
    </w:p>
    <w:p>
      <w:pPr>
        <w:spacing w:after="0" w:line="59" w:lineRule="exact"/>
        <w:rPr>
          <w:rFonts w:ascii="Arial" w:cs="Arial" w:eastAsia="Arial" w:hAnsi="Arial"/>
          <w:sz w:val="18"/>
          <w:szCs w:val="18"/>
          <w:color w:val="auto"/>
        </w:rPr>
      </w:pPr>
    </w:p>
    <w:p>
      <w:pPr>
        <w:ind w:left="920" w:firstLine="421"/>
        <w:spacing w:after="0" w:line="268" w:lineRule="auto"/>
        <w:tabs>
          <w:tab w:leader="none" w:pos="162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Borrower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or, if an Event of Default has occurred and is continuing, any other assignee;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07" w:name="page108"/>
    <w:bookmarkEnd w:id="107"/>
    <w:p>
      <w:pPr>
        <w:ind w:left="1620" w:hanging="279"/>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and the Required Lenders; and</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Issuing Banks.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920" w:right="280" w:firstLine="421"/>
        <w:spacing w:after="0" w:line="294" w:lineRule="auto"/>
        <w:tabs>
          <w:tab w:leader="none" w:pos="162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the Administrative Agent and the Required Lenders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34" w:lineRule="exact"/>
        <w:rPr>
          <w:rFonts w:ascii="Arial" w:cs="Arial" w:eastAsia="Arial" w:hAnsi="Arial"/>
          <w:sz w:val="16"/>
          <w:szCs w:val="16"/>
          <w:color w:val="auto"/>
        </w:rPr>
      </w:pPr>
    </w:p>
    <w:p>
      <w:pPr>
        <w:ind w:left="920" w:right="240" w:firstLine="421"/>
        <w:spacing w:after="0" w:line="268" w:lineRule="auto"/>
        <w:tabs>
          <w:tab w:leader="none" w:pos="16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50" w:lineRule="exact"/>
        <w:rPr>
          <w:rFonts w:ascii="Arial" w:cs="Arial" w:eastAsia="Arial" w:hAnsi="Arial"/>
          <w:sz w:val="18"/>
          <w:szCs w:val="18"/>
          <w:color w:val="auto"/>
        </w:rPr>
      </w:pPr>
    </w:p>
    <w:p>
      <w:pPr>
        <w:ind w:left="920" w:right="480" w:firstLine="421"/>
        <w:spacing w:after="0" w:line="268" w:lineRule="auto"/>
        <w:tabs>
          <w:tab w:leader="none" w:pos="16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50" w:lineRule="exact"/>
        <w:rPr>
          <w:rFonts w:ascii="Arial" w:cs="Arial" w:eastAsia="Arial" w:hAnsi="Arial"/>
          <w:sz w:val="18"/>
          <w:szCs w:val="18"/>
          <w:color w:val="auto"/>
        </w:rPr>
      </w:pPr>
    </w:p>
    <w:p>
      <w:pPr>
        <w:ind w:left="920" w:right="180" w:firstLine="421"/>
        <w:spacing w:after="0" w:line="298" w:lineRule="auto"/>
        <w:tabs>
          <w:tab w:leader="none" w:pos="162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purposes of this Section 9.04(b), the term “</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following meaning:</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59" w:lineRule="exact"/>
        <w:rPr>
          <w:sz w:val="20"/>
          <w:szCs w:val="20"/>
          <w:color w:val="auto"/>
        </w:rPr>
      </w:pPr>
    </w:p>
    <w:p>
      <w:pPr>
        <w:ind w:left="920" w:firstLine="421"/>
        <w:spacing w:after="0" w:line="291" w:lineRule="auto"/>
        <w:tabs>
          <w:tab w:leader="none" w:pos="16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of this Section, from and after the effective date specified in each Assignment and Assumption (A) the assignee thereunder shall be a party hereto and, to the extent of the interest assigned by such Assignment and Assumption, have the rights and obligations of a Lender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assignee (including an assignee that is already a Lender hereunder at the time of the assignment) shall be entitled to receive any greater amount pursuant to Sections 2.17 or 10.09 than that to which the assignor would have been entitled to receive had no such assignment occurred, and (B) the assigning Lender thereunder shall, to the extent of the interest assigned by such Assignment and Assumption, be released from its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08" w:name="page109"/>
    <w:bookmarkEnd w:id="108"/>
    <w:p>
      <w:pPr>
        <w:ind w:left="900"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62" w:lineRule="exact"/>
        <w:rPr>
          <w:sz w:val="20"/>
          <w:szCs w:val="20"/>
          <w:color w:val="auto"/>
        </w:rPr>
      </w:pPr>
    </w:p>
    <w:p>
      <w:pPr>
        <w:ind w:left="900" w:firstLine="421"/>
        <w:spacing w:after="0" w:line="290" w:lineRule="auto"/>
        <w:tabs>
          <w:tab w:leader="none" w:pos="161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37" w:lineRule="exact"/>
        <w:rPr>
          <w:rFonts w:ascii="Arial" w:cs="Arial" w:eastAsia="Arial" w:hAnsi="Arial"/>
          <w:sz w:val="16"/>
          <w:szCs w:val="16"/>
          <w:color w:val="auto"/>
        </w:rPr>
      </w:pPr>
    </w:p>
    <w:p>
      <w:pPr>
        <w:ind w:left="900" w:right="60" w:firstLine="421"/>
        <w:spacing w:after="0" w:line="289" w:lineRule="auto"/>
        <w:tabs>
          <w:tab w:leader="none" w:pos="156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18" w:lineRule="exact"/>
        <w:rPr>
          <w:rFonts w:ascii="Arial" w:cs="Arial" w:eastAsia="Arial" w:hAnsi="Arial"/>
          <w:sz w:val="16"/>
          <w:szCs w:val="16"/>
          <w:color w:val="auto"/>
        </w:rPr>
      </w:pPr>
    </w:p>
    <w:p>
      <w:pPr>
        <w:ind w:left="-20" w:right="20" w:firstLine="921"/>
        <w:spacing w:after="0" w:line="286" w:lineRule="auto"/>
        <w:tabs>
          <w:tab w:leader="none" w:pos="11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Administrative Agent or any Issuing Bank,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2.18(c) as though it were a Lender.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60" w:top="280" w:right="239" w:bottom="1440" w:gutter="0" w:footer="0" w:header="0"/>
        </w:sectPr>
      </w:pPr>
    </w:p>
    <w:bookmarkStart w:id="109" w:name="page110"/>
    <w:bookmarkEnd w:id="109"/>
    <w:p>
      <w:pPr>
        <w:ind w:left="920" w:right="60" w:firstLine="421"/>
        <w:spacing w:after="0" w:line="294" w:lineRule="auto"/>
        <w:tabs>
          <w:tab w:leader="none" w:pos="1598" w:val="left"/>
        </w:tabs>
        <w:numPr>
          <w:ilvl w:val="1"/>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shall not be entitled to receive any greater payment under Section 2.15, 2.17 or 10.09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Sections 2.17 or 10.09 unless the Borrower is notified of the participation sold to such Participant and such Participant agrees, for the benefit of the Borrower, to comply with Section 2.17(f) as though it were a Lender.</w:t>
      </w:r>
    </w:p>
    <w:p>
      <w:pPr>
        <w:spacing w:after="0" w:line="34" w:lineRule="exact"/>
        <w:rPr>
          <w:rFonts w:ascii="Arial" w:cs="Arial" w:eastAsia="Arial" w:hAnsi="Arial"/>
          <w:sz w:val="16"/>
          <w:szCs w:val="16"/>
          <w:color w:val="auto"/>
        </w:rPr>
      </w:pPr>
    </w:p>
    <w:p>
      <w:pPr>
        <w:ind w:left="920" w:right="40" w:firstLine="421"/>
        <w:spacing w:after="0" w:line="287" w:lineRule="auto"/>
        <w:tabs>
          <w:tab w:leader="none" w:pos="164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In the event a Lender sells participations, the Borrower hereby designates the Lender to serve as the Borrower’s agent, solely for purposes of this Section 9.04(c)(iii), to maintain (or cause to be maintained) a Participant register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on which it shall record the name and address of all Participants (and the principal amount (and stated interest thereon) of the portion of such Lender’s rights and obligations under this Agreement that is subject to such participations). Failure to make any such recordation, or any error in such recordation, shall not affect the Borrower’s obligations in respect of such participated Loans. A participation shall not be effective until such participation is recorded on the Participant Register. The registration of any participation shall be recorded by the Lender on the Participant Register only upon the receipt and acceptance by the Lender of a properly executed and delivered participation agreement. The entries in the Participant Register shall be conclusive in the absence of manifest error and the Borrower, the Administrative Agent and the Lender may treat each Person whose name is recorded in the Participant Register as the owner of such participation interest for all purposes of this Agreement. The Participant Register shall be available for inspection by the Borrower, at any reasonable time and from time to time upon reasonable prior notice.</w:t>
      </w:r>
    </w:p>
    <w:p>
      <w:pPr>
        <w:spacing w:after="0" w:line="122" w:lineRule="exact"/>
        <w:rPr>
          <w:rFonts w:ascii="Arial" w:cs="Arial" w:eastAsia="Arial" w:hAnsi="Arial"/>
          <w:sz w:val="16"/>
          <w:szCs w:val="16"/>
          <w:color w:val="auto"/>
        </w:rPr>
      </w:pPr>
    </w:p>
    <w:p>
      <w:pPr>
        <w:ind w:right="100" w:firstLine="921"/>
        <w:spacing w:after="0" w:line="298" w:lineRule="auto"/>
        <w:tabs>
          <w:tab w:leader="none" w:pos="11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1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20"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on different counterparts), each of which shall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280" w:right="279" w:bottom="1440" w:gutter="0" w:footer="0" w:header="0"/>
        </w:sectPr>
      </w:pPr>
    </w:p>
    <w:bookmarkStart w:id="110" w:name="page111"/>
    <w:bookmarkEnd w:id="110"/>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shall be effective as delivery of a manually executed counterpart of this Agreement.</w:t>
      </w:r>
    </w:p>
    <w:p>
      <w:pPr>
        <w:spacing w:after="0" w:line="118"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0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145"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 (a) The Loan Documents (other than those containing a contrary express choice of law provision) shall be governed by and construed in accordance with the laws of the State of New York.</w:t>
      </w:r>
    </w:p>
    <w:p>
      <w:pPr>
        <w:spacing w:after="0" w:line="85" w:lineRule="exact"/>
        <w:rPr>
          <w:sz w:val="20"/>
          <w:szCs w:val="20"/>
          <w:color w:val="auto"/>
        </w:rPr>
      </w:pPr>
    </w:p>
    <w:p>
      <w:pPr>
        <w:ind w:right="40" w:firstLine="921"/>
        <w:spacing w:after="0" w:line="253" w:lineRule="auto"/>
        <w:tabs>
          <w:tab w:leader="none" w:pos="11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submits, for itself and its property, to the nonexclusive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45" w:lineRule="exact"/>
        <w:rPr>
          <w:rFonts w:ascii="Arial" w:cs="Arial" w:eastAsia="Arial" w:hAnsi="Arial"/>
          <w:sz w:val="18"/>
          <w:szCs w:val="18"/>
          <w:color w:val="auto"/>
        </w:rPr>
      </w:pPr>
    </w:p>
    <w:p>
      <w:pPr>
        <w:ind w:firstLine="921"/>
        <w:spacing w:after="0" w:line="259" w:lineRule="auto"/>
        <w:tabs>
          <w:tab w:leader="none" w:pos="11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80" w:right="27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irrevocably waives, to the fullest extent permitted by law, the defense of an inconvenient forum to the maintenance of such action or proceeding in any such court.</w:t>
      </w:r>
    </w:p>
    <w:p>
      <w:pPr>
        <w:spacing w:after="0" w:line="206" w:lineRule="exact"/>
        <w:rPr>
          <w:sz w:val="20"/>
          <w:szCs w:val="20"/>
          <w:color w:val="auto"/>
        </w:rPr>
      </w:pPr>
    </w:p>
    <w:p>
      <w:pPr>
        <w:ind w:right="500" w:firstLine="921"/>
        <w:spacing w:after="0" w:line="332" w:lineRule="auto"/>
        <w:tabs>
          <w:tab w:leader="none" w:pos="116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85"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Requirement of Laws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w:t>
      </w:r>
    </w:p>
    <w:p>
      <w:pPr>
        <w:spacing w:after="0" w:line="1" w:lineRule="exact"/>
        <w:rPr>
          <w:sz w:val="20"/>
          <w:szCs w:val="20"/>
          <w:color w:val="auto"/>
        </w:rPr>
      </w:pPr>
    </w:p>
    <w:p>
      <w:pPr>
        <w:ind w:right="140" w:firstLine="8"/>
        <w:spacing w:after="0" w:line="286" w:lineRule="auto"/>
        <w:tabs>
          <w:tab w:leader="none" w:pos="21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or (h) to the extent such Information (i) becomes publicly available other than as a result of a breach of this Section or (ii) becomes available to the Administrative Agent, any Issuing Bank or any Lender on a non-confidential basis from a source other than the Borrower.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8"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EACH LENDER ACKNOWLEDGES THAT INFORMATION AS DEFINED IN SECTION 9.12 FURNISHED TO IT PURSUANT TO THIS AGREEMENT MAY INCLUDE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112" w:name="page113"/>
    <w:bookmarkEnd w:id="112"/>
    <w:p>
      <w:pPr>
        <w:ind w:right="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3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19"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Several Obligations; Nonreliance; Violation of Law</w:t>
      </w:r>
      <w:r>
        <w:rPr>
          <w:rFonts w:ascii="Arial" w:cs="Arial" w:eastAsia="Arial" w:hAnsi="Arial"/>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no Issuing Bank nor any Lender shall be obligated to extend credit to the Borrower in violation of any Requirement of Law.</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“Act”) hereby notifies the Borrower that pursuant to the requirements of the Act, it is required to obtain, verify and record information that identifies the Borrower, which information includes the names and addresses of the Borrower and other information that will allow such Lender to identify the Borrower in accordance with the Act.</w:t>
      </w:r>
    </w:p>
    <w:p>
      <w:pPr>
        <w:spacing w:after="0" w:line="14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Disclosure</w:t>
      </w:r>
      <w:r>
        <w:rPr>
          <w:rFonts w:ascii="Arial" w:cs="Arial" w:eastAsia="Arial" w:hAnsi="Arial"/>
          <w:sz w:val="16"/>
          <w:szCs w:val="16"/>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each other Lender as its agent for the purpose of perfecting Liens, for the benefit of the Secured Parties,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43"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113" w:name="page114"/>
    <w:bookmarkEnd w:id="1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Loan Guaranty</w:t>
      </w:r>
    </w:p>
    <w:p>
      <w:pPr>
        <w:spacing w:after="0" w:line="17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Guaranty</w:t>
      </w:r>
      <w:r>
        <w:rPr>
          <w:rFonts w:ascii="Arial" w:cs="Arial" w:eastAsia="Arial" w:hAnsi="Arial"/>
          <w:sz w:val="16"/>
          <w:szCs w:val="16"/>
          <w:color w:val="auto"/>
        </w:rPr>
        <w:t>. Each Loan Guarantor (other than those that have delivered a separate Guaranty) hereby agrees that it is jointly and severally liable for, and absolutely and unconditionally guarantees to the Lenders,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Arial" w:cs="Arial" w:eastAsia="Arial" w:hAnsi="Arial"/>
          <w:sz w:val="16"/>
          <w:szCs w:val="16"/>
          <w:u w:val="single" w:color="auto"/>
          <w:color w:val="auto"/>
        </w:rPr>
        <w:t>Guaranteed</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2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Arial" w:cs="Arial" w:eastAsia="Arial" w:hAnsi="Arial"/>
          <w:sz w:val="18"/>
          <w:szCs w:val="18"/>
          <w:u w:val="single" w:color="auto"/>
          <w:color w:val="auto"/>
        </w:rPr>
        <w:t>Obligated Party</w:t>
      </w:r>
      <w:r>
        <w:rPr>
          <w:rFonts w:ascii="Arial" w:cs="Arial" w:eastAsia="Arial" w:hAnsi="Arial"/>
          <w:sz w:val="18"/>
          <w:szCs w:val="18"/>
          <w:color w:val="auto"/>
        </w:rPr>
        <w:t>”), or otherwise to enforce its payment against any collateral securing all or any part of the Guaranteed Obligations.</w:t>
      </w:r>
    </w:p>
    <w:p>
      <w:pPr>
        <w:spacing w:after="0" w:line="143" w:lineRule="exact"/>
        <w:rPr>
          <w:sz w:val="20"/>
          <w:szCs w:val="20"/>
          <w:color w:val="auto"/>
        </w:rPr>
      </w:pPr>
    </w:p>
    <w:p>
      <w:pPr>
        <w:ind w:right="200" w:firstLine="913"/>
        <w:spacing w:after="0" w:line="288"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No Discharge or Diminishment of Loan Guaranty</w:t>
      </w:r>
      <w:r>
        <w:rPr>
          <w:rFonts w:ascii="Arial" w:cs="Arial" w:eastAsia="Arial" w:hAnsi="Arial"/>
          <w:sz w:val="16"/>
          <w:szCs w:val="16"/>
          <w:color w:val="auto"/>
        </w:rPr>
        <w:t>. (a) Except as otherwise provided for herein, the obligations of each Loan Guarantor hereunder are unconditional and absolute and not subject to any reduction, limitation, impairment or termination for any reason (other than the payment in full in cash of the Guaranteed Obligations (other than Unliquidated Obligations), and the cash collateralization of all Unliquidated Obligations in a manner satisfactory to each affected Lender), including: (i) any claim of waiver, release, extension, renewal, settlement, surrender, alteration, or compromise of any of the Guaranteed Obligations, by operation of law or otherwise; (ii) any change in the corporate existence, structure or ownership of the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14" w:name="page115"/>
    <w:bookmarkEnd w:id="114"/>
    <w:p>
      <w:pPr>
        <w:ind w:right="80" w:firstLine="921"/>
        <w:spacing w:after="0" w:line="306"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06" w:lineRule="exact"/>
        <w:rPr>
          <w:rFonts w:ascii="Arial" w:cs="Arial" w:eastAsia="Arial" w:hAnsi="Arial"/>
          <w:sz w:val="16"/>
          <w:szCs w:val="16"/>
          <w:color w:val="auto"/>
        </w:rPr>
      </w:pPr>
    </w:p>
    <w:p>
      <w:pPr>
        <w:ind w:right="20" w:firstLine="921"/>
        <w:spacing w:after="0" w:line="288"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Further,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guarantor of or other person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Defenses Waived</w:t>
      </w:r>
      <w:r>
        <w:rPr>
          <w:rFonts w:ascii="Arial" w:cs="Arial" w:eastAsia="Arial" w:hAnsi="Arial"/>
          <w:sz w:val="16"/>
          <w:szCs w:val="16"/>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or any Loan Guarantor,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Banks and the Lenders.</w:t>
      </w:r>
    </w:p>
    <w:p>
      <w:pPr>
        <w:spacing w:after="0" w:line="14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If at any time any payment of any portion of the Guaranteed Obligations is rescinded or must otherwise be restored or returned upon the insolvency, bankruptcy, or reorganization of the Borrower or otherwise, each Loan Guarantor’s obligations under this Loan Guaranty with respect to that payment shall be reinstated at such time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4" w:right="239" w:bottom="1440" w:gutter="0" w:footer="0" w:header="0"/>
        </w:sectPr>
      </w:pPr>
    </w:p>
    <w:bookmarkStart w:id="115" w:name="page116"/>
    <w:bookmarkEnd w:id="1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Lender.</w:t>
      </w:r>
    </w:p>
    <w:p>
      <w:pPr>
        <w:spacing w:after="0" w:line="143"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Information</w:t>
      </w:r>
      <w:r>
        <w:rPr>
          <w:rFonts w:ascii="Arial" w:cs="Arial" w:eastAsia="Arial" w:hAnsi="Arial"/>
          <w:sz w:val="16"/>
          <w:szCs w:val="16"/>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1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Termination</w:t>
      </w:r>
      <w:r>
        <w:rPr>
          <w:rFonts w:ascii="Arial" w:cs="Arial" w:eastAsia="Arial" w:hAnsi="Arial"/>
          <w:sz w:val="16"/>
          <w:szCs w:val="16"/>
          <w:color w:val="auto"/>
        </w:rPr>
        <w:t>. The Lenders may continue to make loans or extend credit to the Borrower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w:t>
      </w:r>
    </w:p>
    <w:p>
      <w:pPr>
        <w:spacing w:after="0" w:line="113"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All payments of the Guaranteed Obligations will be made by each Loan Guarantor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Loan Guarantor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Loan Guarantor shall make such deductions and (iii) such Loan Guarantor shall pay the full amount deducted to the relevant Governmental Authority in accordance with applicable law.</w:t>
      </w:r>
    </w:p>
    <w:p>
      <w:pPr>
        <w:spacing w:after="0" w:line="12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Maximum Liability</w:t>
      </w:r>
      <w:r>
        <w:rPr>
          <w:rFonts w:ascii="Arial" w:cs="Arial" w:eastAsia="Arial" w:hAnsi="Arial"/>
          <w:sz w:val="16"/>
          <w:szCs w:val="16"/>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Lenders, be automatically limited and reduced to the highest amount that is valid and enforceable as determined in such action or proceeding (such highest amount determined hereunder being the relevant Loan Guarantor’s “</w:t>
      </w:r>
      <w:r>
        <w:rPr>
          <w:rFonts w:ascii="Arial" w:cs="Arial" w:eastAsia="Arial" w:hAnsi="Arial"/>
          <w:sz w:val="16"/>
          <w:szCs w:val="16"/>
          <w:u w:val="single" w:color="auto"/>
          <w:color w:val="auto"/>
        </w:rPr>
        <w:t>Maximum Liability</w:t>
      </w:r>
      <w:r>
        <w:rPr>
          <w:rFonts w:ascii="Arial" w:cs="Arial" w:eastAsia="Arial" w:hAnsi="Arial"/>
          <w:sz w:val="16"/>
          <w:szCs w:val="16"/>
          <w:color w:val="auto"/>
        </w:rPr>
        <w:t xml:space="preserve">”. This Section with respect to the Maximum Liability of each Loan Guarantor is intended solely to preserve the rights of the Lenders to the maximum extent not subject to avoidance under applicable law, and no Loan Guarantor nor any other person or entity shall have any right or claim under this Section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Lenders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sentence shall be construed to increase any Loan Guarantor’s obligations hereunder beyond its Maximum Liability.</w:t>
      </w:r>
    </w:p>
    <w:p>
      <w:pPr>
        <w:spacing w:after="0" w:line="124"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Contribution</w:t>
      </w:r>
      <w:r>
        <w:rPr>
          <w:rFonts w:ascii="Arial" w:cs="Arial" w:eastAsia="Arial" w:hAnsi="Arial"/>
          <w:sz w:val="18"/>
          <w:szCs w:val="18"/>
          <w:color w:val="auto"/>
        </w:rPr>
        <w:t>. In the event any Loan Guarantor (a “</w:t>
      </w:r>
      <w:r>
        <w:rPr>
          <w:rFonts w:ascii="Arial" w:cs="Arial" w:eastAsia="Arial" w:hAnsi="Arial"/>
          <w:sz w:val="18"/>
          <w:szCs w:val="18"/>
          <w:u w:val="single" w:color="auto"/>
          <w:color w:val="auto"/>
        </w:rPr>
        <w:t>Paying Guarantor</w:t>
      </w:r>
      <w:r>
        <w:rPr>
          <w:rFonts w:ascii="Arial" w:cs="Arial" w:eastAsia="Arial" w:hAnsi="Arial"/>
          <w:sz w:val="18"/>
          <w:szCs w:val="18"/>
          <w:color w:val="auto"/>
        </w:rPr>
        <w:t>”) shall make any payment or payments under this Loan Guaranty or shall suffer any loss as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116" w:name="page117"/>
    <w:bookmarkEnd w:id="1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any realization upon any collateral granted by it to secure its obligations under this Loan Guaranty, each other Loan Guarantor (each a “</w:t>
      </w:r>
      <w:r>
        <w:rPr>
          <w:rFonts w:ascii="Arial" w:cs="Arial" w:eastAsia="Arial" w:hAnsi="Arial"/>
          <w:sz w:val="16"/>
          <w:szCs w:val="16"/>
          <w:u w:val="single" w:color="auto"/>
          <w:color w:val="auto"/>
        </w:rPr>
        <w:t>Non-Paying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w:t>
      </w:r>
      <w:r>
        <w:rPr>
          <w:rFonts w:ascii="Arial" w:cs="Arial" w:eastAsia="Arial" w:hAnsi="Arial"/>
          <w:sz w:val="16"/>
          <w:szCs w:val="16"/>
          <w:color w:val="auto"/>
        </w:rPr>
        <w:t>”) shall contribute to such Paying Guarantor an amount equal to such Non-Paying Guarantor’s “Applicable Percentage” of such payment or payments made, or losses suffered, by such Paying Guarantor. For purposes of this Article X, each Non-Paying Guarantor’s Applicable Percentage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the Borrower after the date hereof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the Borrower after the date hereof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both the Administrative Agent, the Issuing Banks, the Lenders and the Loan Guarantors and may be enforced by any one, or more, or all of them in accordance with the terms hereof.</w:t>
      </w:r>
    </w:p>
    <w:p>
      <w:pPr>
        <w:spacing w:after="0" w:line="12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Liability Cumulative</w:t>
      </w:r>
      <w:r>
        <w:rPr>
          <w:rFonts w:ascii="Arial" w:cs="Arial" w:eastAsia="Arial" w:hAnsi="Arial"/>
          <w:sz w:val="16"/>
          <w:szCs w:val="16"/>
          <w:color w:val="auto"/>
        </w:rPr>
        <w:t>. The liability of each Loan Party as a Loan Guarantor under this Article X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17" w:name="page118"/>
    <w:bookmarkEnd w:id="117"/>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BORROWER: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8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Rohit Kapoor</w:t>
            </w:r>
          </w:p>
        </w:tc>
      </w:tr>
      <w:tr>
        <w:trPr>
          <w:trHeight w:val="216"/>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3400" w:type="dxa"/>
            <w:vAlign w:val="bottom"/>
          </w:tcPr>
          <w:p>
            <w:pPr>
              <w:jc w:val="center"/>
              <w:ind w:right="192"/>
              <w:spacing w:after="0"/>
              <w:rPr>
                <w:sz w:val="20"/>
                <w:szCs w:val="20"/>
                <w:color w:val="auto"/>
              </w:rPr>
            </w:pPr>
            <w:r>
              <w:rPr>
                <w:rFonts w:ascii="Arial" w:cs="Arial" w:eastAsia="Arial" w:hAnsi="Arial"/>
                <w:sz w:val="18"/>
                <w:szCs w:val="18"/>
                <w:color w:val="auto"/>
                <w:w w:val="91"/>
              </w:rPr>
              <w:t>Rohit Kapoor</w:t>
            </w:r>
          </w:p>
        </w:tc>
      </w:tr>
      <w:tr>
        <w:trPr>
          <w:trHeight w:val="222"/>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3400" w:type="dxa"/>
            <w:vAlign w:val="bottom"/>
          </w:tcPr>
          <w:p>
            <w:pPr>
              <w:jc w:val="center"/>
              <w:ind w:right="192"/>
              <w:spacing w:after="0"/>
              <w:rPr>
                <w:sz w:val="20"/>
                <w:szCs w:val="20"/>
                <w:color w:val="auto"/>
              </w:rPr>
            </w:pPr>
            <w:r>
              <w:rPr>
                <w:rFonts w:ascii="Arial" w:cs="Arial" w:eastAsia="Arial" w:hAnsi="Arial"/>
                <w:sz w:val="18"/>
                <w:szCs w:val="18"/>
                <w:color w:val="auto"/>
                <w:w w:val="90"/>
              </w:rPr>
              <w:t>President &amp; CEO</w:t>
            </w:r>
          </w:p>
        </w:tc>
      </w:tr>
      <w:tr>
        <w:trPr>
          <w:trHeight w:val="378"/>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tcPr>
          <w:p>
            <w:pPr>
              <w:ind w:left="188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REDIT</w:t>
            </w:r>
            <w:r>
              <w:rPr>
                <w:rFonts w:ascii="Arial" w:cs="Arial" w:eastAsia="Arial" w:hAnsi="Arial"/>
                <w:sz w:val="18"/>
                <w:szCs w:val="18"/>
                <w:color w:val="auto"/>
                <w:w w:val="99"/>
              </w:rPr>
              <w:t xml:space="preserve"> A</w:t>
            </w:r>
            <w:r>
              <w:rPr>
                <w:rFonts w:ascii="Arial" w:cs="Arial" w:eastAsia="Arial" w:hAnsi="Arial"/>
                <w:sz w:val="14"/>
                <w:szCs w:val="14"/>
                <w:color w:val="auto"/>
                <w:w w:val="99"/>
              </w:rPr>
              <w:t>GREEMENT</w:t>
            </w:r>
          </w:p>
        </w:tc>
      </w:tr>
    </w:tbl>
    <w:p>
      <w:pPr>
        <w:sectPr>
          <w:pgSz w:w="11900" w:h="16838" w:orient="portrait"/>
          <w:cols w:equalWidth="0" w:num="1">
            <w:col w:w="11420"/>
          </w:cols>
          <w:pgMar w:left="240" w:top="280" w:right="23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GUARANTORS:</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EXLSERVICE.COM,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4"/>
              </w:rPr>
              <w:t>/s/</w:t>
            </w:r>
          </w:p>
        </w:tc>
        <w:tc>
          <w:tcPr>
            <w:tcW w:w="2760" w:type="dxa"/>
            <w:vAlign w:val="bottom"/>
            <w:tcBorders>
              <w:bottom w:val="single" w:sz="8" w:color="auto"/>
            </w:tcBorders>
          </w:tcPr>
          <w:p>
            <w:pPr>
              <w:jc w:val="center"/>
              <w:ind w:right="1432"/>
              <w:spacing w:after="0"/>
              <w:rPr>
                <w:sz w:val="20"/>
                <w:szCs w:val="20"/>
                <w:color w:val="auto"/>
              </w:rPr>
            </w:pPr>
            <w:r>
              <w:rPr>
                <w:rFonts w:ascii="Arial" w:cs="Arial" w:eastAsia="Arial" w:hAnsi="Arial"/>
                <w:sz w:val="18"/>
                <w:szCs w:val="18"/>
                <w:color w:val="auto"/>
                <w:w w:val="91"/>
              </w:rPr>
              <w:t>Rohit Kapoor</w:t>
            </w:r>
          </w:p>
        </w:tc>
      </w:tr>
      <w:tr>
        <w:trPr>
          <w:trHeight w:val="216"/>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18"/>
                <w:szCs w:val="18"/>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1"/>
              </w:rPr>
              <w:t>Rohit Kapoor</w:t>
            </w:r>
          </w:p>
        </w:tc>
      </w:tr>
      <w:tr>
        <w:trPr>
          <w:trHeight w:val="222"/>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420" w:type="dxa"/>
            <w:vAlign w:val="bottom"/>
          </w:tcPr>
          <w:p>
            <w:pPr>
              <w:spacing w:after="0"/>
              <w:rPr>
                <w:sz w:val="19"/>
                <w:szCs w:val="19"/>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0"/>
              </w:rPr>
              <w:t>President &amp; CEO</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INDUCTIS, INC.</w:t>
            </w: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jc w:val="center"/>
              <w:ind w:right="1432"/>
              <w:spacing w:after="0"/>
              <w:rPr>
                <w:sz w:val="20"/>
                <w:szCs w:val="20"/>
                <w:color w:val="auto"/>
              </w:rPr>
            </w:pPr>
            <w:r>
              <w:rPr>
                <w:rFonts w:ascii="Arial" w:cs="Arial" w:eastAsia="Arial" w:hAnsi="Arial"/>
                <w:sz w:val="18"/>
                <w:szCs w:val="18"/>
                <w:color w:val="auto"/>
                <w:w w:val="90"/>
              </w:rPr>
              <w:t>Rembert deVilla</w:t>
            </w:r>
          </w:p>
        </w:tc>
      </w:tr>
      <w:tr>
        <w:trPr>
          <w:trHeight w:val="216"/>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18"/>
                <w:szCs w:val="18"/>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0"/>
              </w:rPr>
              <w:t>Rembert deVilla</w:t>
            </w:r>
          </w:p>
        </w:tc>
      </w:tr>
      <w:tr>
        <w:trPr>
          <w:trHeight w:val="216"/>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420" w:type="dxa"/>
            <w:vAlign w:val="bottom"/>
          </w:tcPr>
          <w:p>
            <w:pPr>
              <w:spacing w:after="0"/>
              <w:rPr>
                <w:sz w:val="18"/>
                <w:szCs w:val="18"/>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1"/>
              </w:rPr>
              <w:t>Global Head of Client</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jc w:val="center"/>
              <w:ind w:right="852"/>
              <w:spacing w:after="0"/>
              <w:rPr>
                <w:sz w:val="20"/>
                <w:szCs w:val="20"/>
                <w:color w:val="auto"/>
              </w:rPr>
            </w:pPr>
            <w:r>
              <w:rPr>
                <w:rFonts w:ascii="Arial" w:cs="Arial" w:eastAsia="Arial" w:hAnsi="Arial"/>
                <w:sz w:val="18"/>
                <w:szCs w:val="18"/>
                <w:color w:val="auto"/>
                <w:w w:val="90"/>
              </w:rPr>
              <w:t>Management &amp;</w:t>
            </w:r>
          </w:p>
        </w:tc>
      </w:tr>
      <w:tr>
        <w:trPr>
          <w:trHeight w:val="222"/>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0"/>
              </w:rPr>
              <w:t>Chief Strategy Officer</w:t>
            </w:r>
          </w:p>
        </w:tc>
      </w:tr>
      <w:tr>
        <w:trPr>
          <w:trHeight w:val="446"/>
        </w:trPr>
        <w:tc>
          <w:tcPr>
            <w:tcW w:w="1380" w:type="dxa"/>
            <w:vAlign w:val="bottom"/>
            <w:gridSpan w:val="2"/>
          </w:tcPr>
          <w:p>
            <w:pPr>
              <w:spacing w:after="0"/>
              <w:rPr>
                <w:sz w:val="20"/>
                <w:szCs w:val="20"/>
                <w:color w:val="auto"/>
              </w:rPr>
            </w:pPr>
            <w:r>
              <w:rPr>
                <w:rFonts w:ascii="Arial" w:cs="Arial" w:eastAsia="Arial" w:hAnsi="Arial"/>
                <w:sz w:val="18"/>
                <w:szCs w:val="18"/>
                <w:color w:val="auto"/>
              </w:rPr>
              <w:t>INDUCTIS, LLC</w:t>
            </w: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tcPr>
          <w:p>
            <w:pPr>
              <w:jc w:val="center"/>
              <w:ind w:right="1432"/>
              <w:spacing w:after="0"/>
              <w:rPr>
                <w:sz w:val="20"/>
                <w:szCs w:val="20"/>
                <w:color w:val="auto"/>
              </w:rPr>
            </w:pPr>
            <w:r>
              <w:rPr>
                <w:rFonts w:ascii="Arial" w:cs="Arial" w:eastAsia="Arial" w:hAnsi="Arial"/>
                <w:sz w:val="18"/>
                <w:szCs w:val="18"/>
                <w:color w:val="auto"/>
                <w:w w:val="90"/>
              </w:rPr>
              <w:t>Rembert deVilla</w:t>
            </w:r>
          </w:p>
        </w:tc>
      </w:tr>
      <w:tr>
        <w:trPr>
          <w:trHeight w:val="216"/>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18"/>
                <w:szCs w:val="18"/>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0"/>
              </w:rPr>
              <w:t>Rembert deVilla</w:t>
            </w:r>
          </w:p>
        </w:tc>
      </w:tr>
      <w:tr>
        <w:trPr>
          <w:trHeight w:val="216"/>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420" w:type="dxa"/>
            <w:vAlign w:val="bottom"/>
          </w:tcPr>
          <w:p>
            <w:pPr>
              <w:spacing w:after="0"/>
              <w:rPr>
                <w:sz w:val="18"/>
                <w:szCs w:val="18"/>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1"/>
              </w:rPr>
              <w:t>Global Head of Client</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jc w:val="center"/>
              <w:ind w:right="852"/>
              <w:spacing w:after="0"/>
              <w:rPr>
                <w:sz w:val="20"/>
                <w:szCs w:val="20"/>
                <w:color w:val="auto"/>
              </w:rPr>
            </w:pPr>
            <w:r>
              <w:rPr>
                <w:rFonts w:ascii="Arial" w:cs="Arial" w:eastAsia="Arial" w:hAnsi="Arial"/>
                <w:sz w:val="18"/>
                <w:szCs w:val="18"/>
                <w:color w:val="auto"/>
                <w:w w:val="90"/>
              </w:rPr>
              <w:t>Management &amp;</w:t>
            </w:r>
          </w:p>
        </w:tc>
      </w:tr>
      <w:tr>
        <w:trPr>
          <w:trHeight w:val="222"/>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60" w:type="dxa"/>
            <w:vAlign w:val="bottom"/>
          </w:tcPr>
          <w:p>
            <w:pPr>
              <w:jc w:val="center"/>
              <w:ind w:right="832"/>
              <w:spacing w:after="0"/>
              <w:rPr>
                <w:sz w:val="20"/>
                <w:szCs w:val="20"/>
                <w:color w:val="auto"/>
              </w:rPr>
            </w:pPr>
            <w:r>
              <w:rPr>
                <w:rFonts w:ascii="Arial" w:cs="Arial" w:eastAsia="Arial" w:hAnsi="Arial"/>
                <w:sz w:val="18"/>
                <w:szCs w:val="18"/>
                <w:color w:val="auto"/>
                <w:w w:val="90"/>
              </w:rPr>
              <w:t>Chief Strategy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PROFESSIONAL DATA MANAGEMENT AGAIN,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William Bloom</w:t>
      </w:r>
    </w:p>
    <w:p>
      <w:pPr>
        <w:spacing w:after="0" w:line="15"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Title:</w:t>
        <w:tab/>
        <w:t>EVP</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PDMA INTERNATIONAL LIMITED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William Bloom</w:t>
      </w:r>
    </w:p>
    <w:p>
      <w:pPr>
        <w:spacing w:after="0" w:line="15" w:lineRule="exact"/>
        <w:rPr>
          <w:sz w:val="20"/>
          <w:szCs w:val="20"/>
          <w:color w:val="auto"/>
        </w:rPr>
      </w:pPr>
    </w:p>
    <w:p>
      <w:pPr>
        <w:ind w:left="5940"/>
        <w:spacing w:after="0"/>
        <w:tabs>
          <w:tab w:leader="none" w:pos="6520" w:val="left"/>
        </w:tabs>
        <w:rPr>
          <w:sz w:val="20"/>
          <w:szCs w:val="20"/>
          <w:color w:val="auto"/>
        </w:rPr>
      </w:pPr>
      <w:r>
        <w:rPr>
          <w:rFonts w:ascii="Arial" w:cs="Arial" w:eastAsia="Arial" w:hAnsi="Arial"/>
          <w:sz w:val="18"/>
          <w:szCs w:val="18"/>
          <w:color w:val="auto"/>
        </w:rPr>
        <w:t>Title:</w:t>
        <w:tab/>
        <w:t>EVP</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220"/>
          </w:cols>
          <w:pgMar w:left="1440" w:top="274" w:right="2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individually as a Lender,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Issuing Bank</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Jalima McNally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Jalima McNally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Signer</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220"/>
          </w:cols>
          <w:pgMar w:left="1440" w:top="280" w:right="2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a Lender and Issuing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Jorge Guigou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Jorge Guigou</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Senior Vice President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220"/>
          </w:cols>
          <w:pgMar w:left="1440" w:top="280" w:right="239" w:bottom="1440" w:gutter="0" w:footer="0" w:header="0"/>
        </w:sectPr>
      </w:pPr>
    </w:p>
    <w:bookmarkStart w:id="121" w:name="page122"/>
    <w:bookmarkEnd w:id="121"/>
    <w:tbl>
      <w:tblPr>
        <w:tblLayout w:type="fixed"/>
        <w:tblInd w:w="64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360" w:type="dxa"/>
            <w:vAlign w:val="bottom"/>
            <w:gridSpan w:val="3"/>
          </w:tcPr>
          <w:p>
            <w:pPr>
              <w:ind w:left="380"/>
              <w:spacing w:after="0"/>
              <w:rPr>
                <w:sz w:val="20"/>
                <w:szCs w:val="20"/>
                <w:color w:val="auto"/>
              </w:rPr>
            </w:pPr>
            <w:r>
              <w:rPr>
                <w:rFonts w:ascii="Arial" w:cs="Arial" w:eastAsia="Arial" w:hAnsi="Arial"/>
                <w:sz w:val="18"/>
                <w:szCs w:val="18"/>
                <w:color w:val="auto"/>
              </w:rPr>
              <w:t>COMMITMENT SCHEDULE</w:t>
            </w:r>
          </w:p>
        </w:tc>
      </w:tr>
      <w:tr>
        <w:trPr>
          <w:trHeight w:val="373"/>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Lender</w:t>
            </w:r>
          </w:p>
        </w:tc>
        <w:tc>
          <w:tcPr>
            <w:tcW w:w="19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Commitment</w:t>
            </w:r>
          </w:p>
        </w:tc>
      </w:tr>
      <w:tr>
        <w:trPr>
          <w:trHeight w:val="203"/>
        </w:trPr>
        <w:tc>
          <w:tcPr>
            <w:tcW w:w="2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JPMorgan Chase Bank, N.A.</w:t>
            </w:r>
          </w:p>
        </w:tc>
        <w:tc>
          <w:tcPr>
            <w:tcW w:w="4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$25,000,000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r>
      <w:tr>
        <w:trPr>
          <w:trHeight w:val="149"/>
        </w:trPr>
        <w:tc>
          <w:tcPr>
            <w:tcW w:w="4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8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80" w:type="dxa"/>
            <w:vAlign w:val="bottom"/>
          </w:tcPr>
          <w:p>
            <w:pPr>
              <w:jc w:val="right"/>
              <w:spacing w:after="0"/>
              <w:rPr>
                <w:sz w:val="20"/>
                <w:szCs w:val="20"/>
                <w:color w:val="auto"/>
              </w:rPr>
            </w:pPr>
            <w:r>
              <w:rPr>
                <w:rFonts w:ascii="Arial" w:cs="Arial" w:eastAsia="Arial" w:hAnsi="Arial"/>
                <w:sz w:val="18"/>
                <w:szCs w:val="18"/>
                <w:b w:val="1"/>
                <w:bCs w:val="1"/>
                <w:color w:val="auto"/>
              </w:rPr>
              <w:t>$50,000,000</w:t>
            </w: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 Schedule</w:t>
      </w:r>
    </w:p>
    <w:p>
      <w:pPr>
        <w:sectPr>
          <w:pgSz w:w="11900" w:h="16838" w:orient="portrait"/>
          <w:cols w:equalWidth="0" w:num="1">
            <w:col w:w="9019"/>
          </w:cols>
          <w:pgMar w:left="1440" w:top="280"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Terms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Unless otherwise defined on this Schedule, capitalized terms used in this Schedule shall have the meanings given to such terms in the Credit Agreement to which this Schedule is attached.</w:t>
      </w:r>
    </w:p>
    <w:p>
      <w:pPr>
        <w:spacing w:after="0" w:line="51" w:lineRule="exact"/>
        <w:rPr>
          <w:sz w:val="20"/>
          <w:szCs w:val="20"/>
          <w:color w:val="auto"/>
        </w:rPr>
      </w:pPr>
    </w:p>
    <w:p>
      <w:pPr>
        <w:ind w:left="460" w:right="80" w:hanging="452"/>
        <w:spacing w:after="0" w:line="256"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payment (by setoff, redemption, repurchase or otherwise) of all principal, premium and interest in respect of the Subordinated Indebtedness (including with respect to any repurchases of any notes evidencing such Subordinated Indebtedness (the “</w:t>
      </w:r>
      <w:r>
        <w:rPr>
          <w:rFonts w:ascii="Arial" w:cs="Arial" w:eastAsia="Arial" w:hAnsi="Arial"/>
          <w:sz w:val="18"/>
          <w:szCs w:val="18"/>
          <w:u w:val="single" w:color="auto"/>
          <w:color w:val="auto"/>
        </w:rPr>
        <w:t>Subordinated Notes</w:t>
      </w:r>
      <w:r>
        <w:rPr>
          <w:rFonts w:ascii="Arial" w:cs="Arial" w:eastAsia="Arial" w:hAnsi="Arial"/>
          <w:sz w:val="18"/>
          <w:szCs w:val="18"/>
          <w:color w:val="auto"/>
        </w:rPr>
        <w:t>”)) shall be subordinated in right of payment to the prior payment in full in cash of all Obligations, but solely to the extent set forth in paragraphs 2, 3 and 4 below, whether outstanding on the date hereof or hereafter incurred.</w:t>
      </w:r>
    </w:p>
    <w:p>
      <w:pPr>
        <w:spacing w:after="0" w:line="62"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Upon any distribution to creditors of the applicable Loan Party upon any liquidation, dissolution or winding up of such Loan Party or in a bankruptcy, reorganization, insolvency, receivership or similar proceeding relating to such Loan Party or its property, whether voluntary or involuntary, an assignment for the benefit of creditors or any marshalling of such Loan Party’s assets and liabilities, the Credit Parties will be entitled to receive payment in full in cash of all Obligations due or to become due (including interest after the commencement of any such proceeding, at the rate specified in the Credit Agreement) before the holders of the Subordinated Indebtedness will be entitled to receive any payment of principal, premium or interest in respect thereof, and until all Obligations are paid in full in cash, any distribution of any kind or character to which the holders of the Subordinated Indebtedness would be entitled shall be made to the Administrative Agent, for the benefit of the Credit Parties.</w:t>
      </w:r>
    </w:p>
    <w:p>
      <w:pPr>
        <w:spacing w:after="0" w:line="37" w:lineRule="exact"/>
        <w:rPr>
          <w:rFonts w:ascii="Arial" w:cs="Arial" w:eastAsia="Arial" w:hAnsi="Arial"/>
          <w:sz w:val="16"/>
          <w:szCs w:val="16"/>
          <w:color w:val="auto"/>
        </w:rPr>
      </w:pPr>
    </w:p>
    <w:p>
      <w:pPr>
        <w:ind w:left="460" w:right="80" w:hanging="452"/>
        <w:spacing w:after="0" w:line="332"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Loan Party shall, directly or indirectly, (x) make any payment of principal, premium or interest in respect of the Subordinated Indebtedness, (y) acquire any of the Subordinated Notes for cash or property or (z) otherwise make any other distribution with respect to the Subordinated Indebtedness if:</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Event of Default occurs and is continuing under clause (a) or (b) of Article VII of this Agreement, or</w:t>
      </w:r>
    </w:p>
    <w:p>
      <w:pPr>
        <w:spacing w:after="0" w:line="90" w:lineRule="exact"/>
        <w:rPr>
          <w:rFonts w:ascii="Arial" w:cs="Arial" w:eastAsia="Arial" w:hAnsi="Arial"/>
          <w:sz w:val="18"/>
          <w:szCs w:val="18"/>
          <w:color w:val="auto"/>
        </w:rPr>
      </w:pPr>
    </w:p>
    <w:p>
      <w:pPr>
        <w:ind w:left="900" w:right="60" w:hanging="446"/>
        <w:spacing w:after="0" w:line="332"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 any other Event of Default occurs and is continuing that permits the Administrative Agent or the Lenders to accelerate the Obligations and (ii) the holders of the Subordinated Indebtedness (or any agent or trustee therefor) receive a notice of such default from the Administrative Agent.</w:t>
      </w:r>
    </w:p>
    <w:p>
      <w:pPr>
        <w:spacing w:after="0" w:line="4"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that any holder of Subordinated Indebtedness (or any agent or trustee therefor) receives any payment of any principal, premium or interest in respect of the Subordinated Indebtedness at a time when such payment is prohibited by the foregoing, such payment shall be held by such recipient, in trust for the benefit of, and shall be paid forthwith over and delivered to the Administrative Agent, for the benefit of the Credit Parties, for application to the payment of all Obligations remaining unpaid to the extent necessary to pay such Obligations in full in accordance with their terms, after giving effect to any concurrent payment or distribution to or for the Credit Parties.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1.01</w:t>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Capitalization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Ownership</w:t>
            </w: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2"/>
          </w:tcPr>
          <w:p>
            <w:pPr>
              <w:ind w:left="1000"/>
              <w:spacing w:after="0"/>
              <w:rPr>
                <w:sz w:val="20"/>
                <w:szCs w:val="20"/>
                <w:color w:val="auto"/>
              </w:rPr>
            </w:pPr>
            <w:r>
              <w:rPr>
                <w:rFonts w:ascii="Arial" w:cs="Arial" w:eastAsia="Arial" w:hAnsi="Arial"/>
                <w:sz w:val="14"/>
                <w:szCs w:val="14"/>
                <w:b w:val="1"/>
                <w:bCs w:val="1"/>
                <w:color w:val="auto"/>
              </w:rPr>
              <w:t>Entity</w:t>
            </w:r>
          </w:p>
        </w:tc>
        <w:tc>
          <w:tcPr>
            <w:tcW w:w="2060" w:type="dxa"/>
            <w:vAlign w:val="bottom"/>
          </w:tcPr>
          <w:p>
            <w:pPr>
              <w:ind w:left="880"/>
              <w:spacing w:after="0"/>
              <w:rPr>
                <w:sz w:val="20"/>
                <w:szCs w:val="20"/>
                <w:color w:val="auto"/>
              </w:rPr>
            </w:pPr>
            <w:r>
              <w:rPr>
                <w:rFonts w:ascii="Arial" w:cs="Arial" w:eastAsia="Arial" w:hAnsi="Arial"/>
                <w:sz w:val="14"/>
                <w:szCs w:val="14"/>
                <w:b w:val="1"/>
                <w:bCs w:val="1"/>
                <w:color w:val="auto"/>
              </w:rPr>
              <w:t>Type</w:t>
            </w:r>
          </w:p>
        </w:tc>
        <w:tc>
          <w:tcPr>
            <w:tcW w:w="220" w:type="dxa"/>
            <w:vAlign w:val="bottom"/>
          </w:tcPr>
          <w:p>
            <w:pPr>
              <w:spacing w:after="0"/>
              <w:rPr>
                <w:sz w:val="15"/>
                <w:szCs w:val="15"/>
                <w:color w:val="auto"/>
              </w:rPr>
            </w:pPr>
          </w:p>
        </w:tc>
        <w:tc>
          <w:tcPr>
            <w:tcW w:w="1620" w:type="dxa"/>
            <w:vAlign w:val="bottom"/>
          </w:tcPr>
          <w:p>
            <w:pPr>
              <w:ind w:left="460"/>
              <w:spacing w:after="0"/>
              <w:rPr>
                <w:sz w:val="20"/>
                <w:szCs w:val="20"/>
                <w:color w:val="auto"/>
              </w:rPr>
            </w:pPr>
            <w:r>
              <w:rPr>
                <w:rFonts w:ascii="Arial" w:cs="Arial" w:eastAsia="Arial" w:hAnsi="Arial"/>
                <w:sz w:val="14"/>
                <w:szCs w:val="14"/>
                <w:b w:val="1"/>
                <w:bCs w:val="1"/>
                <w:color w:val="auto"/>
              </w:rPr>
              <w:t>Jurisdiction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
          </w:tcPr>
          <w:p>
            <w:pPr>
              <w:ind w:left="920"/>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97"/>
              </w:rPr>
              <w:t>Percentage</w:t>
            </w:r>
          </w:p>
        </w:tc>
      </w:tr>
      <w:tr>
        <w:trPr>
          <w:trHeight w:val="222"/>
        </w:trPr>
        <w:tc>
          <w:tcPr>
            <w:tcW w:w="20" w:type="dxa"/>
            <w:vAlign w:val="bottom"/>
          </w:tcPr>
          <w:p>
            <w:pPr>
              <w:spacing w:after="0"/>
              <w:rPr>
                <w:sz w:val="19"/>
                <w:szCs w:val="19"/>
                <w:color w:val="auto"/>
              </w:rPr>
            </w:pPr>
          </w:p>
        </w:tc>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ExIService Holdings, Inc.*</w:t>
            </w:r>
          </w:p>
        </w:tc>
        <w:tc>
          <w:tcPr>
            <w:tcW w:w="240" w:type="dxa"/>
            <w:vAlign w:val="bottom"/>
          </w:tcPr>
          <w:p>
            <w:pPr>
              <w:spacing w:after="0"/>
              <w:rPr>
                <w:sz w:val="19"/>
                <w:szCs w:val="19"/>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Corporation</w:t>
            </w:r>
          </w:p>
        </w:tc>
        <w:tc>
          <w:tcPr>
            <w:tcW w:w="22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Delaware</w:t>
            </w:r>
          </w:p>
        </w:tc>
        <w:tc>
          <w:tcPr>
            <w:tcW w:w="200" w:type="dxa"/>
            <w:vAlign w:val="bottom"/>
          </w:tcPr>
          <w:p>
            <w:pPr>
              <w:spacing w:after="0"/>
              <w:rPr>
                <w:sz w:val="19"/>
                <w:szCs w:val="19"/>
                <w:color w:val="auto"/>
              </w:rPr>
            </w:pP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Publicly Held</w:t>
            </w:r>
          </w:p>
        </w:tc>
        <w:tc>
          <w:tcPr>
            <w:tcW w:w="22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w:t>
            </w:r>
          </w:p>
        </w:tc>
      </w:tr>
      <w:tr>
        <w:trPr>
          <w:trHeight w:val="310"/>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ExIService (U.K.)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UK</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ExlService.com, Inc.*</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12"/>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 Service.com (India) Private</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India</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ExlService.com, Inc.</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99.9%</w:t>
            </w: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Limited**</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ExlService Holdings, Inc.</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&lt;1%</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American Express India</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&lt;1%</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b w:val="1"/>
                <w:bCs w:val="1"/>
                <w:color w:val="auto"/>
              </w:rPr>
              <w:t>Private Limited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5"/>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ExlService Czech Republic s.r.o</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Spolecnost s Ru2enim</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Czech Republic</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Omezenym</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5"/>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 Service Mauritius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Company Limited</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Mauritius</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ExlService.com,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by Sliares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ExlService Philippines, Inc.</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Philippines</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12"/>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 Service Romania Private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Societate cu Raspundere</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Romania</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S.R.L.</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Limitata</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2"/>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ExlService SEZ BPO Solutions Private</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India</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Exl Service Mauritius</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99%</w:t>
            </w: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Limited</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b w:val="1"/>
                <w:bCs w:val="1"/>
                <w:color w:val="auto"/>
              </w:rPr>
              <w:t>Limited</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1%</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ExlService.com, Inc.</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5"/>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Exl Support Services Private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India</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 Service.com (India) Private</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Limited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Inductis, Inc.</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Inductis, LLC</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1"/>
              </w:rPr>
              <w:t>Limited Liability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Inductis,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Inductis (India) Private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India</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Inductis, LLC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24"/>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Inductis (Singapore) Private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w w:val="94"/>
              </w:rPr>
              <w:t>Private Limited Company</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Singapore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Inductis (India) Private Limited</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312"/>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PDMA International Limited</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Professional Data Management</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Again, Inc.</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2"/>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Professional Data Management Again,</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w:t>
            </w:r>
          </w:p>
        </w:tc>
        <w:tc>
          <w:tcPr>
            <w:tcW w:w="3280" w:type="dxa"/>
            <w:vAlign w:val="bottom"/>
            <w:gridSpan w:val="4"/>
          </w:tcPr>
          <w:p>
            <w:pPr>
              <w:ind w:left="200"/>
              <w:spacing w:after="0"/>
              <w:rPr>
                <w:sz w:val="20"/>
                <w:szCs w:val="20"/>
                <w:color w:val="auto"/>
              </w:rPr>
            </w:pPr>
            <w:r>
              <w:rPr>
                <w:rFonts w:ascii="Arial" w:cs="Arial" w:eastAsia="Arial" w:hAnsi="Arial"/>
                <w:sz w:val="18"/>
                <w:szCs w:val="18"/>
                <w:b w:val="1"/>
                <w:bCs w:val="1"/>
                <w:color w:val="auto"/>
              </w:rPr>
              <w:t>ExlService Holdings, Inc.</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100%</w:t>
            </w:r>
          </w:p>
        </w:tc>
      </w:tr>
      <w:tr>
        <w:trPr>
          <w:trHeight w:val="228"/>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Inc.</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06"/>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Material Domestic Subsidiary</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Material Foreign Subsidiary</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24" w:name="page125"/>
    <w:bookmarkEnd w:id="124"/>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6.01</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18" w:lineRule="exact"/>
        <w:rPr>
          <w:sz w:val="20"/>
          <w:szCs w:val="20"/>
          <w:color w:val="auto"/>
        </w:rPr>
      </w:pPr>
    </w:p>
    <w:p>
      <w:pPr>
        <w:ind w:left="452" w:right="44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July 6, 2010, between Deutsche Bank AG and exl Service.com (India) Private Limited, together with that certain ISDA Schedule to the 2002 Master Agreement of even date.</w:t>
      </w:r>
    </w:p>
    <w:p>
      <w:pPr>
        <w:spacing w:after="0" w:line="50" w:lineRule="exact"/>
        <w:rPr>
          <w:rFonts w:ascii="Arial" w:cs="Arial" w:eastAsia="Arial" w:hAnsi="Arial"/>
          <w:sz w:val="18"/>
          <w:szCs w:val="18"/>
          <w:color w:val="auto"/>
        </w:rPr>
      </w:pPr>
    </w:p>
    <w:p>
      <w:pPr>
        <w:ind w:left="452" w:right="40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April 23, 2010, between JPMorgan Chase Bank, National Association and exl Service.com (India) Private Limited, together with that certain ISDA Schedule to the 2002 Master Agreement of even date.</w:t>
      </w:r>
    </w:p>
    <w:p>
      <w:pPr>
        <w:spacing w:after="0" w:line="50"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March 30, 2010, between HDFC Bank Ltd. and Inductis (India) Private Ltd, together with that certain ISDA Schedule to the 2002 Master Agreement of even date.</w:t>
      </w:r>
    </w:p>
    <w:p>
      <w:pPr>
        <w:spacing w:after="0" w:line="50"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March 7, 2008, between ABN AMRO Bank N.V. and exl Service.com (India) Private Limited, together with that certain ISDA Schedule to the 2002 Master Agreement of even date.</w:t>
      </w:r>
    </w:p>
    <w:p>
      <w:pPr>
        <w:spacing w:after="0" w:line="50"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Master Agreement, dated as of March 20, 2007, between HDFC Bank Ltd. and exl Service.com (India) Private Limited, together with that certain ISDA Schedule to the Master Agreement of even date.</w:t>
      </w:r>
    </w:p>
    <w:p>
      <w:pPr>
        <w:spacing w:after="0" w:line="50" w:lineRule="exact"/>
        <w:rPr>
          <w:rFonts w:ascii="Arial" w:cs="Arial" w:eastAsia="Arial" w:hAnsi="Arial"/>
          <w:sz w:val="18"/>
          <w:szCs w:val="18"/>
          <w:color w:val="auto"/>
        </w:rPr>
      </w:pPr>
    </w:p>
    <w:p>
      <w:pPr>
        <w:ind w:left="452" w:right="38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January 25, 2006, between Standard Chartered Bank, Mumbai Branch and exl Service.com (India) Private Limited, together with that certain ISDA Schedule to the 2002 Master Agreement of even date.</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ISDA 2002 Master Agreement, dated as of April 25, 2005, between Bank of America, N.A. and exl Service.com (India) Private Limited, together with that certain ISDA Schedule to the 2002 Master Agreement of even date.</w:t>
      </w:r>
    </w:p>
    <w:p>
      <w:pPr>
        <w:spacing w:after="0" w:line="50" w:lineRule="exact"/>
        <w:rPr>
          <w:rFonts w:ascii="Arial" w:cs="Arial" w:eastAsia="Arial" w:hAnsi="Arial"/>
          <w:sz w:val="18"/>
          <w:szCs w:val="18"/>
          <w:color w:val="auto"/>
        </w:rPr>
      </w:pPr>
    </w:p>
    <w:p>
      <w:pPr>
        <w:ind w:left="452" w:right="480" w:hanging="452"/>
        <w:spacing w:after="0" w:line="259"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Guaranty, dated as of May 5, 2010, between ExlService Holdings, Inc. and JPMorgan Chase Bank, National Association (“JPM Chase”) providing a guaranty in favor of JPM Chase guaranteeing certain hedging obligations of exl Service.com (India) Private Limited, an indirect subsidiary of the Borrower.</w:t>
      </w:r>
    </w:p>
    <w:p>
      <w:pPr>
        <w:spacing w:after="0" w:line="59"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Guaranty, dated as of July 6, 2010, by ExlService Holdings, Inc. in favor of Deutsche Bank AG (“DB”) providing a guaranty in favor of DB guaranteeing certain hedging obligations of exl Service.com (India) Private Limited, an indirect subsidiary of the Borrower.</w:t>
      </w:r>
    </w:p>
    <w:p>
      <w:pPr>
        <w:sectPr>
          <w:pgSz w:w="11900" w:h="16838" w:orient="portrait"/>
          <w:cols w:equalWidth="0" w:num="1">
            <w:col w:w="11352"/>
          </w:cols>
          <w:pgMar w:left="248" w:top="274" w:right="299" w:bottom="1440" w:gutter="0" w:footer="0" w:header="0"/>
        </w:sectPr>
      </w:pPr>
    </w:p>
    <w:bookmarkStart w:id="125" w:name="page126"/>
    <w:bookmarkEnd w:id="125"/>
    <w:p>
      <w:pPr>
        <w:ind w:left="5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6.02</w:t>
      </w:r>
    </w:p>
    <w:p>
      <w:pPr>
        <w:spacing w:after="0" w:line="171" w:lineRule="exact"/>
        <w:rPr>
          <w:sz w:val="20"/>
          <w:szCs w:val="20"/>
          <w:color w:val="auto"/>
        </w:rPr>
      </w:pPr>
    </w:p>
    <w:p>
      <w:pPr>
        <w:ind w:left="5172"/>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18" w:lineRule="exact"/>
        <w:rPr>
          <w:sz w:val="20"/>
          <w:szCs w:val="20"/>
          <w:color w:val="auto"/>
        </w:rPr>
      </w:pPr>
    </w:p>
    <w:p>
      <w:pPr>
        <w:ind w:left="452" w:hanging="452"/>
        <w:spacing w:after="0" w:line="256" w:lineRule="auto"/>
        <w:tabs>
          <w:tab w:leader="none" w:pos="4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Loan Parties have identified certain UCC financing statements on record covering certain assets of Inductis, Inc. (filed in favor of Citibank, FSB and Dell Financial Services L.L.C.) and ExlService.com, Inc. (filed in favor of General Electric Capital Corporation). The obligations giving rise to these financing statements have been paid off, and the Loan Parties are working on obtaining the necessary pay-off letters and releases from the applicable secured parties identified in those financing statements.</w:t>
      </w:r>
    </w:p>
    <w:p>
      <w:pPr>
        <w:sectPr>
          <w:pgSz w:w="11900" w:h="16838" w:orient="portrait"/>
          <w:cols w:equalWidth="0" w:num="1">
            <w:col w:w="11212"/>
          </w:cols>
          <w:pgMar w:left="248" w:top="274" w:right="4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6.04</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Existing Investments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With Affiliates</w:t>
      </w:r>
    </w:p>
    <w:p>
      <w:pPr>
        <w:spacing w:after="0" w:line="218" w:lineRule="exact"/>
        <w:rPr>
          <w:sz w:val="20"/>
          <w:szCs w:val="20"/>
          <w:color w:val="auto"/>
        </w:rPr>
      </w:pPr>
    </w:p>
    <w:p>
      <w:pPr>
        <w:ind w:left="460" w:right="100" w:hanging="452"/>
        <w:spacing w:after="0" w:line="255"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provides transformation services to Duane Reade Holdings, Inc., a New York City drugstore chain. Duane Reade Holdings, Inc. was, until April 2010, indirectly owned by entities related to Oak Hill Capital Partners, one of the Borrower’s significant stockholders. The Borrower recognized revenue of approximately $17,000 (until April 2010), $537,000 and $628,000 in the years ended December 31, 2010, 2009 and 2008, respectively, for fees and expense reimbursements from Duane Reade Holdings, Inc. At December 31, 2010 and 2009 the Borrower had an account receivable of $0 and $43,000, respectively, related to these services.</w:t>
      </w:r>
    </w:p>
    <w:p>
      <w:pPr>
        <w:spacing w:after="0" w:line="61" w:lineRule="exact"/>
        <w:rPr>
          <w:rFonts w:ascii="Arial" w:cs="Arial" w:eastAsia="Arial" w:hAnsi="Arial"/>
          <w:sz w:val="18"/>
          <w:szCs w:val="18"/>
          <w:color w:val="auto"/>
        </w:rPr>
      </w:pPr>
    </w:p>
    <w:p>
      <w:pPr>
        <w:ind w:left="460" w:right="360" w:hanging="452"/>
        <w:spacing w:after="0" w:line="256"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provides services to Oak Hill Capital Partners, one of the Borrower’s significant stockholders. The Borrower recognized revenue of approximately $82,000, $32,000 and $0 during the years ended December 31, 2010, 2009 and 2008, respectively, for fees and expense reimbursements from Oak Hill Capital Partners. At December 31, 2010 and December 31, 2009, the Borrower had an account receivable of $9,000 and $13,000, respectively, related to these services.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following inter-company agreements among the Borrower and its affiliates (and extensions, renewals and replacements thereof):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DATE OF</w:t>
            </w:r>
          </w:p>
        </w:tc>
        <w:tc>
          <w:tcPr>
            <w:tcW w:w="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4"/>
        </w:trPr>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S. NO.</w:t>
            </w:r>
          </w:p>
        </w:tc>
        <w:tc>
          <w:tcPr>
            <w:tcW w:w="2760" w:type="dxa"/>
            <w:vAlign w:val="bottom"/>
            <w:gridSpan w:val="2"/>
          </w:tcPr>
          <w:p>
            <w:pPr>
              <w:ind w:left="1020"/>
              <w:spacing w:after="0"/>
              <w:rPr>
                <w:sz w:val="20"/>
                <w:szCs w:val="20"/>
                <w:color w:val="auto"/>
              </w:rPr>
            </w:pPr>
            <w:r>
              <w:rPr>
                <w:rFonts w:ascii="Arial" w:cs="Arial" w:eastAsia="Arial" w:hAnsi="Arial"/>
                <w:sz w:val="14"/>
                <w:szCs w:val="14"/>
                <w:b w:val="1"/>
                <w:bCs w:val="1"/>
                <w:color w:val="auto"/>
              </w:rPr>
              <w:t>Particular</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AGREEMENT</w:t>
            </w:r>
          </w:p>
        </w:tc>
        <w:tc>
          <w:tcPr>
            <w:tcW w:w="60" w:type="dxa"/>
            <w:vAlign w:val="bottom"/>
          </w:tcPr>
          <w:p>
            <w:pPr>
              <w:spacing w:after="0"/>
              <w:rPr>
                <w:sz w:val="15"/>
                <w:szCs w:val="15"/>
                <w:color w:val="auto"/>
              </w:rPr>
            </w:pPr>
          </w:p>
        </w:tc>
        <w:tc>
          <w:tcPr>
            <w:tcW w:w="2500" w:type="dxa"/>
            <w:vAlign w:val="bottom"/>
            <w:gridSpan w:val="2"/>
          </w:tcPr>
          <w:p>
            <w:pPr>
              <w:ind w:left="920"/>
              <w:spacing w:after="0"/>
              <w:rPr>
                <w:sz w:val="20"/>
                <w:szCs w:val="20"/>
                <w:color w:val="auto"/>
              </w:rPr>
            </w:pPr>
            <w:r>
              <w:rPr>
                <w:rFonts w:ascii="Arial" w:cs="Arial" w:eastAsia="Arial" w:hAnsi="Arial"/>
                <w:sz w:val="14"/>
                <w:szCs w:val="14"/>
                <w:b w:val="1"/>
                <w:bCs w:val="1"/>
                <w:color w:val="auto"/>
              </w:rPr>
              <w:t>PARTY 1</w:t>
            </w:r>
          </w:p>
        </w:tc>
        <w:tc>
          <w:tcPr>
            <w:tcW w:w="2160" w:type="dxa"/>
            <w:vAlign w:val="bottom"/>
            <w:gridSpan w:val="2"/>
          </w:tcPr>
          <w:p>
            <w:pPr>
              <w:ind w:left="760"/>
              <w:spacing w:after="0"/>
              <w:rPr>
                <w:sz w:val="20"/>
                <w:szCs w:val="20"/>
                <w:color w:val="auto"/>
              </w:rPr>
            </w:pPr>
            <w:r>
              <w:rPr>
                <w:rFonts w:ascii="Arial" w:cs="Arial" w:eastAsia="Arial" w:hAnsi="Arial"/>
                <w:sz w:val="14"/>
                <w:szCs w:val="14"/>
                <w:b w:val="1"/>
                <w:bCs w:val="1"/>
                <w:color w:val="auto"/>
              </w:rPr>
              <w:t>PARTY 2</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VALID PERIOD</w:t>
            </w:r>
          </w:p>
        </w:tc>
      </w:tr>
      <w:tr>
        <w:trPr>
          <w:trHeight w:val="202"/>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2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Cost Sharing Agreement</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16/08/2006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exl Service.com (India) Private</w:t>
            </w: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Inductis India Pvt. Ltd.</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16/08/2006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Limited</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01/04/2007</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Exlservice.com,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01/04/2007</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01/04/2007</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01/04/2007</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Reimbursement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13/09/2007</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13/09/2007</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4-Nov-09</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01/12/2007</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01/12/2007</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06/05/2009</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w w:val="99"/>
              </w:rPr>
              <w:t>ExlService Philippines, Inc.</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01/04/2008</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11/05/2009</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w w:val="97"/>
              </w:rPr>
              <w:t>Exiservice Romania Private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11/05/2009</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Limited SRL</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Master Service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03/07/2009</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w w:val="96"/>
              </w:rPr>
              <w:t>ExlService Czech Republic,</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03/07/2009</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S.R.O.</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Loan Agreement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14/07/2009</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S.C. ExlService Romania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14/07/2009</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1 year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 SRL.</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Addendum to Inter company</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24/05/2010</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01/12/2010</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Addendum to master service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24/05/2010</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Service.com (India)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01/12/2010</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5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Addendum to master service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31/03/2011</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 SEZ BPO</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11/12/2009</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5 years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Solutions Private Limited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Service Agreement for RBS Services</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02/08/10</w:t>
            </w: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ExlService Holdings,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Exl Service SEZ BPO</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02/08/10</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Co-terminous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Solutions Private Limited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with underlying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OFA</w:t>
            </w:r>
          </w:p>
        </w:tc>
      </w:tr>
    </w:tbl>
    <w:p>
      <w:pPr>
        <w:sectPr>
          <w:pgSz w:w="11900" w:h="16838" w:orient="portrait"/>
          <w:cols w:equalWidth="0" w:num="1">
            <w:col w:w="11420"/>
          </w:cols>
          <w:pgMar w:left="240" w:top="274" w:right="239" w:bottom="1440" w:gutter="0" w:footer="0" w:header="0"/>
        </w:sectPr>
      </w:pPr>
    </w:p>
    <w:bookmarkStart w:id="128" w:name="page129"/>
    <w:bookmarkEnd w:id="128"/>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6.09</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Restrictive Agreements</w:t>
      </w:r>
    </w:p>
    <w:p>
      <w:pPr>
        <w:spacing w:after="0" w:line="218" w:lineRule="exact"/>
        <w:rPr>
          <w:sz w:val="20"/>
          <w:szCs w:val="20"/>
          <w:color w:val="auto"/>
        </w:rPr>
      </w:pPr>
    </w:p>
    <w:p>
      <w:pPr>
        <w:ind w:left="452" w:hanging="452"/>
        <w:spacing w:after="0" w:line="268" w:lineRule="auto"/>
        <w:tabs>
          <w:tab w:leader="none" w:pos="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is subject to certain covenants and other restrictions under that certain Framework Agreement, dated July 25, 2005, between Centrica plc, the Borrower and ExlService.com (India) Private Limited, as amended and extended from time to time.</w:t>
      </w:r>
    </w:p>
    <w:p>
      <w:pPr>
        <w:sectPr>
          <w:pgSz w:w="11900" w:h="16838" w:orient="portrait"/>
          <w:cols w:equalWidth="0" w:num="1">
            <w:col w:w="11392"/>
          </w:cols>
          <w:pgMar w:left="248" w:top="280" w:right="259" w:bottom="1440" w:gutter="0" w:footer="0" w:header="0"/>
        </w:sectPr>
      </w:pPr>
    </w:p>
    <w:bookmarkStart w:id="129" w:name="page130"/>
    <w:bookmarkEnd w:id="129"/>
    <w:p>
      <w:pPr>
        <w:jc w:val="center"/>
        <w:ind w:right="-3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6.10</w:t>
      </w:r>
    </w:p>
    <w:p>
      <w:pPr>
        <w:spacing w:after="0" w:line="171" w:lineRule="exact"/>
        <w:rPr>
          <w:sz w:val="20"/>
          <w:szCs w:val="20"/>
          <w:color w:val="auto"/>
        </w:rPr>
      </w:pPr>
    </w:p>
    <w:p>
      <w:pPr>
        <w:jc w:val="center"/>
        <w:ind w:right="-311"/>
        <w:spacing w:after="0"/>
        <w:rPr>
          <w:sz w:val="20"/>
          <w:szCs w:val="20"/>
          <w:color w:val="auto"/>
        </w:rPr>
      </w:pPr>
      <w:r>
        <w:rPr>
          <w:rFonts w:ascii="Arial" w:cs="Arial" w:eastAsia="Arial" w:hAnsi="Arial"/>
          <w:sz w:val="18"/>
          <w:szCs w:val="18"/>
          <w:b w:val="1"/>
          <w:bCs w:val="1"/>
          <w:u w:val="single" w:color="auto"/>
          <w:color w:val="auto"/>
        </w:rPr>
        <w:t>Amendment of Material Documents</w:t>
      </w:r>
    </w:p>
    <w:p>
      <w:pPr>
        <w:spacing w:after="0" w:line="218" w:lineRule="exact"/>
        <w:rPr>
          <w:sz w:val="20"/>
          <w:szCs w:val="20"/>
          <w:color w:val="auto"/>
        </w:rPr>
      </w:pPr>
    </w:p>
    <w:p>
      <w:pPr>
        <w:ind w:left="452" w:hanging="452"/>
        <w:spacing w:after="0" w:line="259"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Immediately after the closing of the Permitted Omega Acquisition, Business Process Outsourcing, Inc. (“BPO”) will amend and restate its certificate of incorporation. Such amendment will, among other things, change the capital structure of BPO such that it will only have one class of stock (the “BPO Conversion”).</w:t>
      </w:r>
    </w:p>
    <w:p>
      <w:pPr>
        <w:sectPr>
          <w:pgSz w:w="11900" w:h="16838" w:orient="portrait"/>
          <w:cols w:equalWidth="0" w:num="1">
            <w:col w:w="11092"/>
          </w:cols>
          <w:pgMar w:left="248" w:top="274" w:right="5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43"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w:t>
      </w:r>
    </w:p>
    <w:p>
      <w:pPr>
        <w:spacing w:after="0" w:line="2" w:lineRule="exact"/>
        <w:rPr>
          <w:sz w:val="20"/>
          <w:szCs w:val="20"/>
          <w:color w:val="auto"/>
        </w:rPr>
      </w:pPr>
    </w:p>
    <w:p>
      <w:pPr>
        <w:ind w:right="40" w:firstLine="8"/>
        <w:spacing w:after="0" w:line="252" w:lineRule="auto"/>
        <w:tabs>
          <w:tab w:leader="none" w:pos="2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87" w:lineRule="exact"/>
        <w:rPr>
          <w:sz w:val="20"/>
          <w:szCs w:val="20"/>
          <w:color w:val="auto"/>
        </w:rPr>
      </w:pPr>
    </w:p>
    <w:p>
      <w:pPr>
        <w:ind w:left="380" w:hanging="372"/>
        <w:spacing w:after="0"/>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380" w:hanging="372"/>
        <w:spacing w:after="0"/>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-211455</wp:posOffset>
            </wp:positionV>
            <wp:extent cx="2752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10795</wp:posOffset>
            </wp:positionV>
            <wp:extent cx="2752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3.</w:t>
            </w:r>
          </w:p>
        </w:tc>
        <w:tc>
          <w:tcPr>
            <w:tcW w:w="2100" w:type="dxa"/>
            <w:vAlign w:val="bottom"/>
          </w:tcPr>
          <w:p>
            <w:pPr>
              <w:ind w:left="120"/>
              <w:spacing w:after="0"/>
              <w:rPr>
                <w:sz w:val="20"/>
                <w:szCs w:val="20"/>
                <w:color w:val="auto"/>
              </w:rPr>
            </w:pPr>
            <w:r>
              <w:rPr>
                <w:rFonts w:ascii="Arial" w:cs="Arial" w:eastAsia="Arial" w:hAnsi="Arial"/>
                <w:sz w:val="18"/>
                <w:szCs w:val="18"/>
                <w:color w:val="auto"/>
              </w:rPr>
              <w:t>Borrower:</w:t>
            </w:r>
          </w:p>
        </w:tc>
        <w:tc>
          <w:tcPr>
            <w:tcW w:w="8740" w:type="dxa"/>
            <w:vAlign w:val="bottom"/>
            <w:gridSpan w:val="2"/>
          </w:tcPr>
          <w:p>
            <w:pPr>
              <w:ind w:left="400"/>
              <w:spacing w:after="0"/>
              <w:rPr>
                <w:sz w:val="20"/>
                <w:szCs w:val="20"/>
                <w:color w:val="auto"/>
              </w:rPr>
            </w:pPr>
            <w:r>
              <w:rPr>
                <w:rFonts w:ascii="Arial" w:cs="Arial" w:eastAsia="Arial" w:hAnsi="Arial"/>
                <w:sz w:val="18"/>
                <w:szCs w:val="18"/>
                <w:color w:val="auto"/>
              </w:rPr>
              <w:t>ExlService Holdings, Inc.</w:t>
            </w:r>
          </w:p>
        </w:tc>
      </w:tr>
      <w:tr>
        <w:trPr>
          <w:trHeight w:val="324"/>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4.</w:t>
            </w:r>
          </w:p>
        </w:tc>
        <w:tc>
          <w:tcPr>
            <w:tcW w:w="2100" w:type="dxa"/>
            <w:vAlign w:val="bottom"/>
          </w:tcPr>
          <w:p>
            <w:pPr>
              <w:ind w:left="120"/>
              <w:spacing w:after="0"/>
              <w:rPr>
                <w:sz w:val="20"/>
                <w:szCs w:val="20"/>
                <w:color w:val="auto"/>
              </w:rPr>
            </w:pPr>
            <w:r>
              <w:rPr>
                <w:rFonts w:ascii="Arial" w:cs="Arial" w:eastAsia="Arial" w:hAnsi="Arial"/>
                <w:sz w:val="18"/>
                <w:szCs w:val="18"/>
                <w:color w:val="auto"/>
              </w:rPr>
              <w:t>Administrative Agent:</w:t>
            </w:r>
          </w:p>
        </w:tc>
        <w:tc>
          <w:tcPr>
            <w:tcW w:w="8740" w:type="dxa"/>
            <w:vAlign w:val="bottom"/>
            <w:gridSpan w:val="2"/>
          </w:tcPr>
          <w:p>
            <w:pPr>
              <w:ind w:left="40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318"/>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5.</w:t>
            </w:r>
          </w:p>
        </w:tc>
        <w:tc>
          <w:tcPr>
            <w:tcW w:w="2100" w:type="dxa"/>
            <w:vAlign w:val="bottom"/>
          </w:tcPr>
          <w:p>
            <w:pPr>
              <w:ind w:left="120"/>
              <w:spacing w:after="0"/>
              <w:rPr>
                <w:sz w:val="20"/>
                <w:szCs w:val="20"/>
                <w:color w:val="auto"/>
              </w:rPr>
            </w:pPr>
            <w:r>
              <w:rPr>
                <w:rFonts w:ascii="Arial" w:cs="Arial" w:eastAsia="Arial" w:hAnsi="Arial"/>
                <w:sz w:val="18"/>
                <w:szCs w:val="18"/>
                <w:color w:val="auto"/>
              </w:rPr>
              <w:t>Credit Agreement:</w:t>
            </w:r>
          </w:p>
        </w:tc>
        <w:tc>
          <w:tcPr>
            <w:tcW w:w="1620" w:type="dxa"/>
            <w:vAlign w:val="bottom"/>
          </w:tcPr>
          <w:p>
            <w:pPr>
              <w:ind w:left="400"/>
              <w:spacing w:after="0"/>
              <w:rPr>
                <w:sz w:val="20"/>
                <w:szCs w:val="20"/>
                <w:color w:val="auto"/>
              </w:rPr>
            </w:pPr>
            <w:r>
              <w:rPr>
                <w:rFonts w:ascii="Arial" w:cs="Arial" w:eastAsia="Arial" w:hAnsi="Arial"/>
                <w:sz w:val="18"/>
                <w:szCs w:val="18"/>
                <w:color w:val="auto"/>
                <w:w w:val="88"/>
              </w:rPr>
              <w:t>The $50,000,000</w:t>
            </w:r>
          </w:p>
        </w:tc>
        <w:tc>
          <w:tcPr>
            <w:tcW w:w="7120" w:type="dxa"/>
            <w:vAlign w:val="bottom"/>
          </w:tcPr>
          <w:p>
            <w:pPr>
              <w:ind w:left="20"/>
              <w:spacing w:after="0"/>
              <w:rPr>
                <w:sz w:val="20"/>
                <w:szCs w:val="20"/>
                <w:color w:val="auto"/>
              </w:rPr>
            </w:pPr>
            <w:r>
              <w:rPr>
                <w:rFonts w:ascii="Arial" w:cs="Arial" w:eastAsia="Arial" w:hAnsi="Arial"/>
                <w:sz w:val="18"/>
                <w:szCs w:val="18"/>
                <w:color w:val="auto"/>
                <w:w w:val="88"/>
              </w:rPr>
              <w:t>Credit Agreement dated as of May 26, 2011 among ExlService Holdings, Inc., the other Loan Parties</w:t>
            </w:r>
          </w:p>
        </w:tc>
      </w:tr>
      <w:tr>
        <w:trPr>
          <w:trHeight w:val="222"/>
        </w:trPr>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w w:val="88"/>
              </w:rPr>
              <w:t>party thereto, the</w:t>
            </w:r>
          </w:p>
        </w:tc>
        <w:tc>
          <w:tcPr>
            <w:tcW w:w="7120" w:type="dxa"/>
            <w:vAlign w:val="bottom"/>
          </w:tcPr>
          <w:p>
            <w:pPr>
              <w:ind w:left="20"/>
              <w:spacing w:after="0"/>
              <w:rPr>
                <w:sz w:val="20"/>
                <w:szCs w:val="20"/>
                <w:color w:val="auto"/>
              </w:rPr>
            </w:pPr>
            <w:r>
              <w:rPr>
                <w:rFonts w:ascii="Arial" w:cs="Arial" w:eastAsia="Arial" w:hAnsi="Arial"/>
                <w:sz w:val="18"/>
                <w:szCs w:val="18"/>
                <w:color w:val="auto"/>
              </w:rPr>
              <w:t>Lenders parties thereto, and JPMorgan Chase Bank, N.A., as Administrative Agent</w:t>
            </w:r>
          </w:p>
        </w:tc>
      </w:tr>
    </w:tbl>
    <w:p>
      <w:pPr>
        <w:spacing w:after="0" w:line="102" w:lineRule="exact"/>
        <w:rPr>
          <w:sz w:val="20"/>
          <w:szCs w:val="20"/>
          <w:color w:val="auto"/>
        </w:rPr>
      </w:pPr>
    </w:p>
    <w:p>
      <w:pPr>
        <w:ind w:left="380" w:hanging="372"/>
        <w:spacing w:after="0"/>
        <w:tabs>
          <w:tab w:leader="none" w:pos="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Aggregate Amount of</w:t>
            </w:r>
          </w:p>
        </w:tc>
        <w:tc>
          <w:tcPr>
            <w:tcW w:w="2260" w:type="dxa"/>
            <w:vAlign w:val="bottom"/>
          </w:tcPr>
          <w:p>
            <w:pPr>
              <w:spacing w:after="0"/>
              <w:rPr>
                <w:sz w:val="14"/>
                <w:szCs w:val="14"/>
                <w:color w:val="auto"/>
              </w:rPr>
            </w:pPr>
          </w:p>
        </w:tc>
        <w:tc>
          <w:tcPr>
            <w:tcW w:w="3340" w:type="dxa"/>
            <w:vAlign w:val="bottom"/>
            <w:gridSpan w:val="2"/>
          </w:tcPr>
          <w:p>
            <w:pPr>
              <w:jc w:val="center"/>
              <w:ind w:right="2260"/>
              <w:spacing w:after="0"/>
              <w:rPr>
                <w:sz w:val="20"/>
                <w:szCs w:val="20"/>
                <w:color w:val="auto"/>
              </w:rPr>
            </w:pPr>
            <w:r>
              <w:rPr>
                <w:rFonts w:ascii="Arial" w:cs="Arial" w:eastAsia="Arial" w:hAnsi="Arial"/>
                <w:sz w:val="14"/>
                <w:szCs w:val="14"/>
                <w:color w:val="auto"/>
                <w:w w:val="93"/>
              </w:rPr>
              <w:t>Amount of</w:t>
            </w:r>
          </w:p>
        </w:tc>
        <w:tc>
          <w:tcPr>
            <w:tcW w:w="1360" w:type="dxa"/>
            <w:vAlign w:val="bottom"/>
            <w:gridSpan w:val="2"/>
          </w:tcPr>
          <w:p>
            <w:pPr>
              <w:jc w:val="center"/>
              <w:ind w:right="152"/>
              <w:spacing w:after="0"/>
              <w:rPr>
                <w:sz w:val="20"/>
                <w:szCs w:val="20"/>
                <w:color w:val="auto"/>
              </w:rPr>
            </w:pPr>
            <w:r>
              <w:rPr>
                <w:rFonts w:ascii="Arial" w:cs="Arial" w:eastAsia="Arial" w:hAnsi="Arial"/>
                <w:sz w:val="14"/>
                <w:szCs w:val="14"/>
                <w:color w:val="auto"/>
                <w:w w:val="84"/>
              </w:rPr>
              <w:t>Percentage Assigned</w:t>
            </w: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color w:val="auto"/>
                <w:w w:val="95"/>
              </w:rPr>
              <w:t>Facility Assigned</w:t>
            </w:r>
          </w:p>
        </w:tc>
        <w:tc>
          <w:tcPr>
            <w:tcW w:w="216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w w:val="88"/>
              </w:rPr>
              <w:t>Commitment/Loans for</w:t>
            </w:r>
          </w:p>
        </w:tc>
        <w:tc>
          <w:tcPr>
            <w:tcW w:w="226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w:t>
            </w:r>
          </w:p>
        </w:tc>
        <w:tc>
          <w:tcPr>
            <w:tcW w:w="1360" w:type="dxa"/>
            <w:vAlign w:val="bottom"/>
            <w:gridSpan w:val="2"/>
          </w:tcPr>
          <w:p>
            <w:pPr>
              <w:jc w:val="center"/>
              <w:ind w:right="112"/>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1280" w:type="dxa"/>
            <w:vAlign w:val="bottom"/>
          </w:tcPr>
          <w:p>
            <w:pPr>
              <w:jc w:val="center"/>
              <w:spacing w:after="0" w:line="146" w:lineRule="exact"/>
              <w:rPr>
                <w:sz w:val="20"/>
                <w:szCs w:val="20"/>
                <w:color w:val="auto"/>
              </w:rPr>
            </w:pPr>
            <w:r>
              <w:rPr>
                <w:rFonts w:ascii="Arial" w:cs="Arial" w:eastAsia="Arial" w:hAnsi="Arial"/>
                <w:sz w:val="14"/>
                <w:szCs w:val="14"/>
                <w:color w:val="auto"/>
                <w:w w:val="87"/>
              </w:rPr>
              <w:t>all Lenders</w:t>
            </w:r>
          </w:p>
        </w:tc>
        <w:tc>
          <w:tcPr>
            <w:tcW w:w="2260" w:type="dxa"/>
            <w:vAlign w:val="bottom"/>
          </w:tcPr>
          <w:p>
            <w:pPr>
              <w:spacing w:after="0"/>
              <w:rPr>
                <w:sz w:val="13"/>
                <w:szCs w:val="13"/>
                <w:color w:val="auto"/>
              </w:rPr>
            </w:pPr>
          </w:p>
        </w:tc>
        <w:tc>
          <w:tcPr>
            <w:tcW w:w="3340" w:type="dxa"/>
            <w:vAlign w:val="bottom"/>
            <w:gridSpan w:val="2"/>
          </w:tcPr>
          <w:p>
            <w:pPr>
              <w:jc w:val="center"/>
              <w:ind w:right="2260"/>
              <w:spacing w:after="0" w:line="146" w:lineRule="exact"/>
              <w:rPr>
                <w:sz w:val="20"/>
                <w:szCs w:val="20"/>
                <w:color w:val="auto"/>
              </w:rPr>
            </w:pPr>
            <w:r>
              <w:rPr>
                <w:rFonts w:ascii="Arial" w:cs="Arial" w:eastAsia="Arial" w:hAnsi="Arial"/>
                <w:sz w:val="14"/>
                <w:szCs w:val="14"/>
                <w:color w:val="auto"/>
                <w:w w:val="90"/>
              </w:rPr>
              <w:t>Assigned</w:t>
            </w:r>
          </w:p>
        </w:tc>
        <w:tc>
          <w:tcPr>
            <w:tcW w:w="1360" w:type="dxa"/>
            <w:vAlign w:val="bottom"/>
            <w:gridSpan w:val="2"/>
          </w:tcPr>
          <w:p>
            <w:pPr>
              <w:jc w:val="center"/>
              <w:ind w:right="112"/>
              <w:spacing w:after="0" w:line="146" w:lineRule="exact"/>
              <w:rPr>
                <w:sz w:val="20"/>
                <w:szCs w:val="20"/>
                <w:color w:val="auto"/>
              </w:rPr>
            </w:pPr>
            <w:r>
              <w:rPr>
                <w:rFonts w:ascii="Arial" w:cs="Arial" w:eastAsia="Arial" w:hAnsi="Arial"/>
                <w:sz w:val="14"/>
                <w:szCs w:val="14"/>
                <w:color w:val="auto"/>
                <w:w w:val="88"/>
              </w:rPr>
              <w:t>Commitment/Loans</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334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33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1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0" w:type="dxa"/>
            <w:vAlign w:val="bottom"/>
            <w:gridSpan w:val="3"/>
          </w:tcPr>
          <w:p>
            <w:pPr>
              <w:ind w:left="920"/>
              <w:spacing w:after="0"/>
              <w:rPr>
                <w:sz w:val="20"/>
                <w:szCs w:val="20"/>
                <w:color w:val="auto"/>
              </w:rPr>
            </w:pPr>
            <w:r>
              <w:rPr>
                <w:rFonts w:ascii="Arial" w:cs="Arial" w:eastAsia="Arial" w:hAnsi="Arial"/>
                <w:sz w:val="18"/>
                <w:szCs w:val="18"/>
                <w:color w:val="auto"/>
              </w:rPr>
              <w:t>Exhibit A</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1" w:name="page132"/>
    <w:bookmarkEnd w:id="131"/>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 20 [TO BE INSERTED BY ADMINISTRATIVE AGENT AND WHICH SHALL BE THE EFFECTIVE DATE OF RECORDATION OF TRANSFER IN THE REGISTER THEREFOR.]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360"/>
          </w:cols>
          <w:pgMar w:left="240" w:top="280" w:right="2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Administrative Agent and Co-Lead Arranger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right"/>
        <w:ind w:right="415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219"/>
          </w:cols>
          <w:pgMar w:left="240" w:top="28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1" w:lineRule="exact"/>
        <w:rPr>
          <w:sz w:val="20"/>
          <w:szCs w:val="20"/>
          <w:color w:val="auto"/>
        </w:rPr>
      </w:pPr>
    </w:p>
    <w:p>
      <w:pPr>
        <w:ind w:right="140" w:firstLine="921"/>
        <w:spacing w:after="0" w:line="259" w:lineRule="auto"/>
        <w:tabs>
          <w:tab w:leader="none" w:pos="108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40" w:lineRule="exact"/>
        <w:rPr>
          <w:rFonts w:ascii="Arial" w:cs="Arial" w:eastAsia="Arial" w:hAnsi="Arial"/>
          <w:sz w:val="18"/>
          <w:szCs w:val="18"/>
          <w:color w:val="auto"/>
        </w:rPr>
      </w:pPr>
    </w:p>
    <w:p>
      <w:pPr>
        <w:ind w:right="20" w:firstLine="921"/>
        <w:spacing w:after="0" w:line="255" w:lineRule="auto"/>
        <w:tabs>
          <w:tab w:leader="none" w:pos="108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shall be effective as delivery of a manually executed counterpart of this Assignment and Assumption. This Assignment and Assumption shall be governed by, and construed in accordance with, the law of the State of New York.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420"/>
          </w:cols>
          <w:pgMar w:left="240" w:top="280" w:right="239"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COMPLIANCE CERTIFICATE</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The Lenders parties to the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Agreement Described Below</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Compliance Certificate is furnished pursuant to that certain Credit Agreement dated as of May 26, 2011 (as amended, modified, renewed or extended from time to time, the “Agreement”) among ExlService Holdings, Inc. (the “Borrower”), the other Loan Parties, the Lenders party thereto, the Issuing Banks party thereto and JPMorgan Chase Bank, N.A., as Administrative Agent for the Lenders. Unless otherwise defined herein, capitalized terms used in this Compliance Certificate have the meanings ascribed thereto in the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CERTIFIES THAT:</w:t>
      </w:r>
    </w:p>
    <w:p>
      <w:pPr>
        <w:spacing w:after="0" w:line="171" w:lineRule="exact"/>
        <w:rPr>
          <w:sz w:val="20"/>
          <w:szCs w:val="20"/>
          <w:color w:val="auto"/>
        </w:rPr>
      </w:pPr>
    </w:p>
    <w:p>
      <w:pPr>
        <w:ind w:left="460"/>
        <w:spacing w:after="0"/>
        <w:tabs>
          <w:tab w:leader="none" w:pos="2700" w:val="left"/>
        </w:tabs>
        <w:rPr>
          <w:sz w:val="20"/>
          <w:szCs w:val="20"/>
          <w:color w:val="auto"/>
        </w:rPr>
      </w:pPr>
      <w:r>
        <w:rPr>
          <w:rFonts w:ascii="Arial" w:cs="Arial" w:eastAsia="Arial" w:hAnsi="Arial"/>
          <w:sz w:val="18"/>
          <w:szCs w:val="18"/>
          <w:color w:val="auto"/>
        </w:rPr>
        <w:t>1. I am the duly elected</w:t>
      </w:r>
      <w:r>
        <w:rPr>
          <w:sz w:val="20"/>
          <w:szCs w:val="20"/>
          <w:color w:val="auto"/>
        </w:rPr>
        <w:tab/>
      </w:r>
      <w:r>
        <w:rPr>
          <w:rFonts w:ascii="Arial" w:cs="Arial" w:eastAsia="Arial" w:hAnsi="Arial"/>
          <w:sz w:val="16"/>
          <w:szCs w:val="16"/>
          <w:color w:val="auto"/>
        </w:rPr>
        <w:t>of the Borrower;</w:t>
      </w:r>
    </w:p>
    <w:p>
      <w:pPr>
        <w:spacing w:after="0" w:line="171" w:lineRule="exact"/>
        <w:rPr>
          <w:sz w:val="20"/>
          <w:szCs w:val="20"/>
          <w:color w:val="auto"/>
        </w:rPr>
      </w:pPr>
    </w:p>
    <w:p>
      <w:pPr>
        <w:ind w:firstLine="464"/>
        <w:spacing w:after="0" w:line="291" w:lineRule="auto"/>
        <w:tabs>
          <w:tab w:leader="none" w:pos="63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 [</w:t>
      </w:r>
      <w:r>
        <w:rPr>
          <w:rFonts w:ascii="Arial" w:cs="Arial" w:eastAsia="Arial" w:hAnsi="Arial"/>
          <w:sz w:val="16"/>
          <w:szCs w:val="16"/>
          <w:b w:val="1"/>
          <w:bCs w:val="1"/>
          <w:color w:val="auto"/>
        </w:rPr>
        <w:t>for quarterly financial statements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add: </w:t>
      </w:r>
      <w:r>
        <w:rPr>
          <w:rFonts w:ascii="Arial" w:cs="Arial" w:eastAsia="Arial" w:hAnsi="Arial"/>
          <w:sz w:val="16"/>
          <w:szCs w:val="16"/>
          <w:color w:val="auto"/>
        </w:rPr>
        <w:t>and such financial statements present fairly in all material respects the financial condition and results of operations of the Borrower and its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on a consolidated basis in accordance with GAAP consistently applied, subject to normal year-end audit adjustments and the absence of footnotes] [</w:t>
      </w:r>
      <w:r>
        <w:rPr>
          <w:rFonts w:ascii="Arial" w:cs="Arial" w:eastAsia="Arial" w:hAnsi="Arial"/>
          <w:sz w:val="16"/>
          <w:szCs w:val="16"/>
          <w:b w:val="1"/>
          <w:bCs w:val="1"/>
          <w:color w:val="auto"/>
        </w:rPr>
        <w:t>for annual financial statements add:</w:t>
      </w:r>
      <w:r>
        <w:rPr>
          <w:rFonts w:ascii="Arial" w:cs="Arial" w:eastAsia="Arial" w:hAnsi="Arial"/>
          <w:sz w:val="16"/>
          <w:szCs w:val="16"/>
          <w:color w:val="auto"/>
        </w:rPr>
        <w:t xml:space="preserve"> and such financial statements present fairly in all material respects the financial condition and results of operations of the Borrower and its consolidated Subsidiaries on a consolidating basis in accordance with GAAP consistently applied];</w:t>
      </w:r>
    </w:p>
    <w:p>
      <w:pPr>
        <w:spacing w:after="0" w:line="120" w:lineRule="exact"/>
        <w:rPr>
          <w:rFonts w:ascii="Arial" w:cs="Arial" w:eastAsia="Arial" w:hAnsi="Arial"/>
          <w:sz w:val="16"/>
          <w:szCs w:val="16"/>
          <w:color w:val="auto"/>
        </w:rPr>
      </w:pPr>
    </w:p>
    <w:p>
      <w:pPr>
        <w:ind w:right="60" w:firstLine="464"/>
        <w:spacing w:after="0" w:line="305" w:lineRule="auto"/>
        <w:tabs>
          <w:tab w:leader="none" w:pos="632" w:val="left"/>
        </w:tabs>
        <w:numPr>
          <w:ilvl w:val="1"/>
          <w:numId w:val="124"/>
        </w:numPr>
        <w:rPr>
          <w:rFonts w:ascii="Arial" w:cs="Arial" w:eastAsia="Arial" w:hAnsi="Arial"/>
          <w:sz w:val="15"/>
          <w:szCs w:val="15"/>
          <w:color w:val="auto"/>
        </w:rPr>
      </w:pPr>
      <w:r>
        <w:rPr>
          <w:rFonts w:ascii="Arial" w:cs="Arial" w:eastAsia="Arial" w:hAnsi="Arial"/>
          <w:sz w:val="15"/>
          <w:szCs w:val="15"/>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w:t>
      </w:r>
    </w:p>
    <w:p>
      <w:pPr>
        <w:ind w:right="580" w:firstLine="8"/>
        <w:spacing w:after="0" w:line="261" w:lineRule="auto"/>
        <w:tabs>
          <w:tab w:leader="none" w:pos="25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change in GAAP or in the application thereof that has occurred since [December 31, 2010] [the end date of the financial statements most recently delivered pursuant to Section 5.01(a) of the Credit Agreement];</w:t>
      </w:r>
    </w:p>
    <w:p>
      <w:pPr>
        <w:spacing w:after="0" w:line="137" w:lineRule="exact"/>
        <w:rPr>
          <w:rFonts w:ascii="Arial" w:cs="Arial" w:eastAsia="Arial" w:hAnsi="Arial"/>
          <w:sz w:val="18"/>
          <w:szCs w:val="18"/>
          <w:color w:val="auto"/>
        </w:rPr>
      </w:pPr>
    </w:p>
    <w:p>
      <w:pPr>
        <w:ind w:left="640" w:hanging="176"/>
        <w:spacing w:after="0"/>
        <w:tabs>
          <w:tab w:leader="none" w:pos="6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 hereby certify that no Loan Party has changed (i) its name, (ii) its chief executive office, (iii) principal place of business, (iv) the type of entity it is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its state of incorporation or organization without having given the Agent the notice required by Section 4.11 of the Security Agreement;</w:t>
      </w:r>
    </w:p>
    <w:p>
      <w:pPr>
        <w:spacing w:after="0" w:line="164" w:lineRule="exact"/>
        <w:rPr>
          <w:rFonts w:ascii="Arial" w:cs="Arial" w:eastAsia="Arial" w:hAnsi="Arial"/>
          <w:sz w:val="18"/>
          <w:szCs w:val="18"/>
          <w:color w:val="auto"/>
        </w:rPr>
      </w:pPr>
    </w:p>
    <w:p>
      <w:pPr>
        <w:ind w:right="80" w:firstLine="464"/>
        <w:spacing w:after="0" w:line="268" w:lineRule="auto"/>
        <w:tabs>
          <w:tab w:leader="none" w:pos="632"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sets forth financial data and computations evidencing the Borrower’s compliance with the Financial Covenants and Sections 6.04(c) and (d) of the Credit Agreement, all of which data and computations are true, complete and correct; and</w:t>
      </w:r>
    </w:p>
    <w:p>
      <w:pPr>
        <w:spacing w:after="0" w:line="131" w:lineRule="exact"/>
        <w:rPr>
          <w:rFonts w:ascii="Arial" w:cs="Arial" w:eastAsia="Arial" w:hAnsi="Arial"/>
          <w:sz w:val="18"/>
          <w:szCs w:val="18"/>
          <w:color w:val="auto"/>
        </w:rPr>
      </w:pPr>
    </w:p>
    <w:p>
      <w:pPr>
        <w:ind w:left="5380" w:right="20" w:hanging="4916"/>
        <w:spacing w:after="0" w:line="440" w:lineRule="auto"/>
        <w:tabs>
          <w:tab w:leader="none" w:pos="645"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sets forth the computations necessary to determine the Applicable Rate commencing on the Business Day this certificate is delivered. Exhibit B</w:t>
      </w:r>
    </w:p>
    <w:p>
      <w:pPr>
        <w:sectPr>
          <w:pgSz w:w="11900" w:h="16838" w:orient="portrait"/>
          <w:cols w:equalWidth="0" w:num="1">
            <w:col w:w="11360"/>
          </w:cols>
          <w:pgMar w:left="240" w:top="280" w:right="299" w:bottom="1440" w:gutter="0" w:footer="0" w:header="0"/>
        </w:sectPr>
      </w:pPr>
    </w:p>
    <w:bookmarkStart w:id="135" w:name="page136"/>
    <w:bookmarkEnd w:id="13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Described below are the exceptions, if any, to paragraph 3 by listing, in detail, the (i) nature of the condition or event, the period during which it has existed and the action which the Borrower has taken, is taking, or proposes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257175</wp:posOffset>
            </wp:positionV>
            <wp:extent cx="6663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411480</wp:posOffset>
            </wp:positionV>
            <wp:extent cx="6663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565785</wp:posOffset>
            </wp:positionV>
            <wp:extent cx="6663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certifications, together with the computations set forth in Schedule I and Schedule II hereto and the financial statements delivered with this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20" w:type="dxa"/>
            <w:vAlign w:val="bottom"/>
          </w:tcPr>
          <w:p>
            <w:pPr>
              <w:spacing w:after="0"/>
              <w:rPr>
                <w:sz w:val="20"/>
                <w:szCs w:val="20"/>
                <w:color w:val="auto"/>
              </w:rPr>
            </w:pPr>
            <w:r>
              <w:rPr>
                <w:rFonts w:ascii="Arial" w:cs="Arial" w:eastAsia="Arial" w:hAnsi="Arial"/>
                <w:sz w:val="18"/>
                <w:szCs w:val="18"/>
                <w:color w:val="auto"/>
                <w:w w:val="96"/>
              </w:rPr>
              <w:t>Certificate in support hereof, are made and delivered this   day of</w:t>
            </w:r>
          </w:p>
        </w:tc>
        <w:tc>
          <w:tcPr>
            <w:tcW w:w="2180" w:type="dxa"/>
            <w:vAlign w:val="bottom"/>
          </w:tcPr>
          <w:p>
            <w:pPr>
              <w:jc w:val="right"/>
              <w:ind w:right="1292"/>
              <w:spacing w:after="0"/>
              <w:rPr>
                <w:sz w:val="20"/>
                <w:szCs w:val="20"/>
                <w:color w:val="auto"/>
              </w:rPr>
            </w:pPr>
            <w:r>
              <w:rPr>
                <w:rFonts w:ascii="Arial" w:cs="Arial" w:eastAsia="Arial" w:hAnsi="Arial"/>
                <w:sz w:val="18"/>
                <w:szCs w:val="18"/>
                <w:color w:val="auto"/>
              </w:rPr>
              <w:t>201  .</w:t>
            </w:r>
          </w:p>
        </w:tc>
        <w:tc>
          <w:tcPr>
            <w:tcW w:w="7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2"/>
        </w:trPr>
        <w:tc>
          <w:tcPr>
            <w:tcW w:w="5020" w:type="dxa"/>
            <w:vAlign w:val="bottom"/>
          </w:tcPr>
          <w:p>
            <w:pPr>
              <w:spacing w:after="0"/>
              <w:rPr>
                <w:sz w:val="24"/>
                <w:szCs w:val="24"/>
                <w:color w:val="auto"/>
              </w:rPr>
            </w:pPr>
          </w:p>
        </w:tc>
        <w:tc>
          <w:tcPr>
            <w:tcW w:w="6400" w:type="dxa"/>
            <w:vAlign w:val="bottom"/>
            <w:gridSpan w:val="3"/>
          </w:tcPr>
          <w:p>
            <w:pPr>
              <w:ind w:left="1840"/>
              <w:spacing w:after="0"/>
              <w:rPr>
                <w:sz w:val="20"/>
                <w:szCs w:val="20"/>
                <w:color w:val="auto"/>
              </w:rPr>
            </w:pPr>
            <w:r>
              <w:rPr>
                <w:rFonts w:ascii="Arial" w:cs="Arial" w:eastAsia="Arial" w:hAnsi="Arial"/>
                <w:sz w:val="18"/>
                <w:szCs w:val="18"/>
                <w:color w:val="auto"/>
              </w:rPr>
              <w:t>EXLSERVICE HOLDINGS, INC.</w:t>
            </w:r>
          </w:p>
        </w:tc>
      </w:tr>
      <w:tr>
        <w:trPr>
          <w:trHeight w:val="433"/>
        </w:trPr>
        <w:tc>
          <w:tcPr>
            <w:tcW w:w="5020" w:type="dxa"/>
            <w:vAlign w:val="bottom"/>
          </w:tcPr>
          <w:p>
            <w:pPr>
              <w:spacing w:after="0"/>
              <w:rPr>
                <w:sz w:val="24"/>
                <w:szCs w:val="24"/>
                <w:color w:val="auto"/>
              </w:rPr>
            </w:pPr>
          </w:p>
        </w:tc>
        <w:tc>
          <w:tcPr>
            <w:tcW w:w="6400" w:type="dxa"/>
            <w:vAlign w:val="bottom"/>
            <w:gridSpan w:val="3"/>
          </w:tcPr>
          <w:p>
            <w:pPr>
              <w:ind w:left="1840"/>
              <w:spacing w:after="0"/>
              <w:rPr>
                <w:sz w:val="20"/>
                <w:szCs w:val="20"/>
                <w:color w:val="auto"/>
              </w:rPr>
            </w:pPr>
            <w:r>
              <w:rPr>
                <w:rFonts w:ascii="Arial" w:cs="Arial" w:eastAsia="Arial" w:hAnsi="Arial"/>
                <w:sz w:val="18"/>
                <w:szCs w:val="18"/>
                <w:color w:val="auto"/>
              </w:rPr>
              <w:t>By:</w:t>
            </w:r>
          </w:p>
        </w:tc>
      </w:tr>
      <w:tr>
        <w:trPr>
          <w:trHeight w:val="224"/>
        </w:trPr>
        <w:tc>
          <w:tcPr>
            <w:tcW w:w="5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bottom w:val="single" w:sz="8" w:color="auto"/>
            </w:tcBorders>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Title:</w:t>
            </w:r>
          </w:p>
        </w:tc>
        <w:tc>
          <w:tcPr>
            <w:tcW w:w="3460" w:type="dxa"/>
            <w:vAlign w:val="bottom"/>
            <w:tcBorders>
              <w:bottom w:val="single" w:sz="8" w:color="auto"/>
            </w:tcBorders>
          </w:tcPr>
          <w:p>
            <w:pPr>
              <w:spacing w:after="0"/>
              <w:rPr>
                <w:sz w:val="19"/>
                <w:szCs w:val="19"/>
                <w:color w:val="auto"/>
              </w:rPr>
            </w:pPr>
          </w:p>
        </w:tc>
      </w:tr>
      <w:tr>
        <w:trPr>
          <w:trHeight w:val="370"/>
        </w:trPr>
        <w:tc>
          <w:tcPr>
            <w:tcW w:w="5020" w:type="dxa"/>
            <w:vAlign w:val="bottom"/>
          </w:tcPr>
          <w:p>
            <w:pPr>
              <w:spacing w:after="0"/>
              <w:rPr>
                <w:sz w:val="24"/>
                <w:szCs w:val="24"/>
                <w:color w:val="auto"/>
              </w:rPr>
            </w:pPr>
          </w:p>
        </w:tc>
        <w:tc>
          <w:tcPr>
            <w:tcW w:w="6400" w:type="dxa"/>
            <w:vAlign w:val="bottom"/>
            <w:gridSpan w:val="3"/>
          </w:tcPr>
          <w:p>
            <w:pPr>
              <w:ind w:left="360"/>
              <w:spacing w:after="0"/>
              <w:rPr>
                <w:sz w:val="20"/>
                <w:szCs w:val="20"/>
                <w:color w:val="auto"/>
              </w:rPr>
            </w:pPr>
            <w:r>
              <w:rPr>
                <w:rFonts w:ascii="Arial" w:cs="Arial" w:eastAsia="Arial" w:hAnsi="Arial"/>
                <w:sz w:val="18"/>
                <w:szCs w:val="18"/>
                <w:color w:val="auto"/>
              </w:rPr>
              <w:t>Exhibit B</w:t>
            </w:r>
          </w:p>
        </w:tc>
      </w:tr>
    </w:tbl>
    <w:p>
      <w:pPr>
        <w:sectPr>
          <w:pgSz w:w="11900" w:h="16838" w:orient="portrait"/>
          <w:cols w:equalWidth="0" w:num="1">
            <w:col w:w="11420"/>
          </w:cols>
          <w:pgMar w:left="240" w:top="2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171" w:lineRule="exact"/>
        <w:rPr>
          <w:sz w:val="20"/>
          <w:szCs w:val="20"/>
          <w:color w:val="auto"/>
        </w:rPr>
      </w:pPr>
    </w:p>
    <w:p>
      <w:pPr>
        <w:ind w:left="3220"/>
        <w:spacing w:after="0"/>
        <w:tabs>
          <w:tab w:leader="none" w:pos="5180" w:val="left"/>
          <w:tab w:leader="none" w:pos="5480" w:val="left"/>
        </w:tabs>
        <w:rPr>
          <w:sz w:val="20"/>
          <w:szCs w:val="20"/>
          <w:color w:val="auto"/>
        </w:rPr>
      </w:pPr>
      <w:r>
        <w:rPr>
          <w:rFonts w:ascii="Arial" w:cs="Arial" w:eastAsia="Arial" w:hAnsi="Arial"/>
          <w:sz w:val="18"/>
          <w:szCs w:val="18"/>
          <w:color w:val="auto"/>
        </w:rPr>
        <w:t>Compliance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Financial Covenants</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0220"/>
          </w:cols>
          <w:pgMar w:left="1440" w:top="2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Borrower’s Applicable Rate Calculation</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0220"/>
          </w:cols>
          <w:pgMar w:left="1440" w:top="280" w:right="239" w:bottom="1440" w:gutter="0" w:footer="0" w:header="0"/>
        </w:sectPr>
      </w:pPr>
    </w:p>
    <w:bookmarkStart w:id="138" w:name="page139"/>
    <w:bookmarkEnd w:id="138"/>
    <w:tbl>
      <w:tblPr>
        <w:tblLayout w:type="fixed"/>
        <w:tblInd w:w="460" w:type="dxa"/>
        <w:tblCellMar>
          <w:top w:w="0" w:type="dxa"/>
          <w:left w:w="0" w:type="dxa"/>
          <w:bottom w:w="0" w:type="dxa"/>
          <w:right w:w="0" w:type="dxa"/>
        </w:tblCellMar>
      </w:tblPr>
      <w:tr>
        <w:trPr>
          <w:trHeight w:val="222"/>
        </w:trPr>
        <w:tc>
          <w:tcPr>
            <w:tcW w:w="2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Pr>
          <w:p>
            <w:pPr>
              <w:jc w:val="center"/>
              <w:ind w:right="2772"/>
              <w:spacing w:after="0"/>
              <w:rPr>
                <w:sz w:val="20"/>
                <w:szCs w:val="20"/>
                <w:color w:val="auto"/>
              </w:rPr>
            </w:pPr>
            <w:r>
              <w:rPr>
                <w:rFonts w:ascii="Arial" w:cs="Arial" w:eastAsia="Arial" w:hAnsi="Arial"/>
                <w:sz w:val="18"/>
                <w:szCs w:val="18"/>
                <w:color w:val="auto"/>
                <w:w w:val="97"/>
              </w:rPr>
              <w:t>EXHIBIT C</w:t>
            </w:r>
          </w:p>
        </w:tc>
        <w:tc>
          <w:tcPr>
            <w:tcW w:w="1080" w:type="dxa"/>
            <w:vAlign w:val="bottom"/>
          </w:tcPr>
          <w:p>
            <w:pPr>
              <w:spacing w:after="0"/>
              <w:rPr>
                <w:sz w:val="19"/>
                <w:szCs w:val="19"/>
                <w:color w:val="auto"/>
              </w:rPr>
            </w:pPr>
          </w:p>
        </w:tc>
      </w:tr>
      <w:tr>
        <w:trPr>
          <w:trHeight w:val="378"/>
        </w:trPr>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20" w:type="dxa"/>
            <w:vAlign w:val="bottom"/>
            <w:gridSpan w:val="2"/>
          </w:tcPr>
          <w:p>
            <w:pPr>
              <w:jc w:val="center"/>
              <w:ind w:right="1652"/>
              <w:spacing w:after="0"/>
              <w:rPr>
                <w:sz w:val="20"/>
                <w:szCs w:val="20"/>
                <w:color w:val="auto"/>
              </w:rPr>
            </w:pPr>
            <w:r>
              <w:rPr>
                <w:rFonts w:ascii="Arial" w:cs="Arial" w:eastAsia="Arial" w:hAnsi="Arial"/>
                <w:sz w:val="18"/>
                <w:szCs w:val="18"/>
                <w:color w:val="auto"/>
                <w:w w:val="93"/>
              </w:rPr>
              <w:t>JOINDER AGREEMENT</w:t>
            </w:r>
          </w:p>
        </w:tc>
        <w:tc>
          <w:tcPr>
            <w:tcW w:w="1080" w:type="dxa"/>
            <w:vAlign w:val="bottom"/>
          </w:tcPr>
          <w:p>
            <w:pPr>
              <w:spacing w:after="0"/>
              <w:rPr>
                <w:sz w:val="24"/>
                <w:szCs w:val="24"/>
                <w:color w:val="auto"/>
              </w:rPr>
            </w:pPr>
          </w:p>
        </w:tc>
      </w:tr>
      <w:tr>
        <w:trPr>
          <w:trHeight w:val="340"/>
        </w:trPr>
        <w:tc>
          <w:tcPr>
            <w:tcW w:w="4680" w:type="dxa"/>
            <w:vAlign w:val="bottom"/>
            <w:gridSpan w:val="3"/>
          </w:tcPr>
          <w:p>
            <w:pPr>
              <w:spacing w:after="0"/>
              <w:rPr>
                <w:sz w:val="20"/>
                <w:szCs w:val="20"/>
                <w:color w:val="auto"/>
              </w:rPr>
            </w:pPr>
            <w:r>
              <w:rPr>
                <w:rFonts w:ascii="Arial" w:cs="Arial" w:eastAsia="Arial" w:hAnsi="Arial"/>
                <w:sz w:val="18"/>
                <w:szCs w:val="18"/>
                <w:color w:val="auto"/>
                <w:w w:val="94"/>
              </w:rPr>
              <w:t>THIS JOINDER AGREEMENT (this “Agreement”), dated as of</w:t>
            </w:r>
          </w:p>
        </w:tc>
        <w:tc>
          <w:tcPr>
            <w:tcW w:w="4000" w:type="dxa"/>
            <w:vAlign w:val="bottom"/>
          </w:tcPr>
          <w:p>
            <w:pPr>
              <w:ind w:left="600"/>
              <w:spacing w:after="0"/>
              <w:rPr>
                <w:sz w:val="20"/>
                <w:szCs w:val="20"/>
                <w:color w:val="auto"/>
              </w:rPr>
            </w:pPr>
            <w:r>
              <w:rPr>
                <w:rFonts w:ascii="Arial" w:cs="Arial" w:eastAsia="Arial" w:hAnsi="Arial"/>
                <w:sz w:val="18"/>
                <w:szCs w:val="18"/>
                <w:color w:val="auto"/>
              </w:rPr>
              <w:t>,   , 201  , is entered into between</w:t>
            </w:r>
          </w:p>
        </w:tc>
        <w:tc>
          <w:tcPr>
            <w:tcW w:w="1080" w:type="dxa"/>
            <w:vAlign w:val="bottom"/>
          </w:tcPr>
          <w:p>
            <w:pPr>
              <w:ind w:left="900"/>
              <w:spacing w:after="0"/>
              <w:rPr>
                <w:sz w:val="20"/>
                <w:szCs w:val="20"/>
                <w:color w:val="auto"/>
              </w:rPr>
            </w:pPr>
            <w:r>
              <w:rPr>
                <w:rFonts w:ascii="Arial" w:cs="Arial" w:eastAsia="Arial" w:hAnsi="Arial"/>
                <w:sz w:val="18"/>
                <w:szCs w:val="18"/>
                <w:color w:val="auto"/>
                <w:w w:val="79"/>
              </w:rPr>
              <w:t>, a</w:t>
            </w:r>
          </w:p>
        </w:tc>
      </w:tr>
      <w:tr>
        <w:trPr>
          <w:trHeight w:val="20"/>
        </w:trPr>
        <w:tc>
          <w:tcPr>
            <w:tcW w:w="2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JPMORGAN CHASE BANK, N.A., in its capacity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Credit Agreement, dated as of May 26, 2011 among ExlService Holdings,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Loan Parties party thereto, the Lenders party thereto and the Administrative Agent (as the same may be amended, modified, extended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All capitalized terms used herein and not otherwise defined shall have the meanings set forth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Subsidiary and the Administrative Agent, for the benefit of the Lenders, hereby agree as follows:</w:t>
      </w:r>
    </w:p>
    <w:p>
      <w:pPr>
        <w:spacing w:after="0" w:line="171" w:lineRule="exact"/>
        <w:rPr>
          <w:sz w:val="20"/>
          <w:szCs w:val="20"/>
          <w:color w:val="auto"/>
        </w:rPr>
      </w:pPr>
    </w:p>
    <w:p>
      <w:pPr>
        <w:ind w:right="20" w:firstLine="464"/>
        <w:spacing w:after="0" w:line="285"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w:t>
      </w:r>
      <w:r>
        <w:rPr>
          <w:rFonts w:ascii="Arial" w:cs="Arial" w:eastAsia="Arial" w:hAnsi="Arial"/>
          <w:sz w:val="16"/>
          <w:szCs w:val="16"/>
          <w:b w:val="1"/>
          <w:bCs w:val="1"/>
          <w:color w:val="auto"/>
        </w:rPr>
        <w:t>*[</w:t>
      </w:r>
      <w:r>
        <w:rPr>
          <w:rFonts w:ascii="Arial" w:cs="Arial" w:eastAsia="Arial" w:hAnsi="Arial"/>
          <w:sz w:val="16"/>
          <w:szCs w:val="16"/>
          <w:color w:val="auto"/>
        </w:rPr>
        <w:t>and</w:t>
      </w:r>
      <w:r>
        <w:rPr>
          <w:rFonts w:ascii="Arial" w:cs="Arial" w:eastAsia="Arial" w:hAnsi="Arial"/>
          <w:sz w:val="16"/>
          <w:szCs w:val="16"/>
          <w:b w:val="1"/>
          <w:bCs w:val="1"/>
          <w:color w:val="auto"/>
        </w:rPr>
        <w:t>]*</w:t>
      </w:r>
      <w:r>
        <w:rPr>
          <w:rFonts w:ascii="Arial" w:cs="Arial" w:eastAsia="Arial" w:hAnsi="Arial"/>
          <w:sz w:val="16"/>
          <w:szCs w:val="16"/>
          <w:color w:val="auto"/>
        </w:rPr>
        <w:t xml:space="preserve"> (b) all of the covenants set forth in Articles V and VI of the Credit Agreement </w:t>
      </w:r>
      <w:r>
        <w:rPr>
          <w:rFonts w:ascii="Arial" w:cs="Arial" w:eastAsia="Arial" w:hAnsi="Arial"/>
          <w:sz w:val="16"/>
          <w:szCs w:val="16"/>
          <w:b w:val="1"/>
          <w:bCs w:val="1"/>
          <w:color w:val="auto"/>
        </w:rPr>
        <w:t>*[</w:t>
      </w:r>
      <w:r>
        <w:rPr>
          <w:rFonts w:ascii="Arial" w:cs="Arial" w:eastAsia="Arial" w:hAnsi="Arial"/>
          <w:sz w:val="16"/>
          <w:szCs w:val="16"/>
          <w:color w:val="auto"/>
        </w:rPr>
        <w:t>and (c) all of the guaranty obligations set forth in Article X of the Credit Agreement. Without limiting the generality of the foregoing terms of this paragraph 1, the New Subsidiary, subject to the limitations set forth in Section 10.10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Arial" w:cs="Arial" w:eastAsia="Arial" w:hAnsi="Arial"/>
          <w:sz w:val="16"/>
          <w:szCs w:val="16"/>
          <w:b w:val="1"/>
          <w:bCs w:val="1"/>
          <w:color w:val="auto"/>
        </w:rPr>
        <w:t>]* *[</w:t>
      </w:r>
      <w:r>
        <w:rPr>
          <w:rFonts w:ascii="Arial" w:cs="Arial" w:eastAsia="Arial" w:hAnsi="Arial"/>
          <w:sz w:val="16"/>
          <w:szCs w:val="16"/>
          <w:color w:val="auto"/>
        </w:rPr>
        <w:t>The New Subsidiary has delivered to the Administrative Agent an executed Loan Guaranty.</w:t>
      </w:r>
      <w:r>
        <w:rPr>
          <w:rFonts w:ascii="Arial" w:cs="Arial" w:eastAsia="Arial" w:hAnsi="Arial"/>
          <w:sz w:val="16"/>
          <w:szCs w:val="16"/>
          <w:b w:val="1"/>
          <w:bCs w:val="1"/>
          <w:color w:val="auto"/>
        </w:rPr>
        <w:t>]*</w:t>
      </w:r>
    </w:p>
    <w:p>
      <w:pPr>
        <w:spacing w:after="0" w:line="128" w:lineRule="exact"/>
        <w:rPr>
          <w:rFonts w:ascii="Arial" w:cs="Arial" w:eastAsia="Arial" w:hAnsi="Arial"/>
          <w:sz w:val="16"/>
          <w:szCs w:val="16"/>
          <w:color w:val="auto"/>
        </w:rPr>
      </w:pPr>
    </w:p>
    <w:p>
      <w:pPr>
        <w:ind w:right="80" w:firstLine="464"/>
        <w:spacing w:after="0" w:line="268" w:lineRule="auto"/>
        <w:tabs>
          <w:tab w:leader="none" w:pos="6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276860</wp:posOffset>
            </wp:positionV>
            <wp:extent cx="26670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431165</wp:posOffset>
            </wp:positionV>
            <wp:extent cx="26670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585470</wp:posOffset>
            </wp:positionV>
            <wp:extent cx="26670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739775</wp:posOffset>
            </wp:positionV>
            <wp:extent cx="26670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400"/>
          </w:cols>
          <w:pgMar w:left="240" w:top="280" w:right="259" w:bottom="1440" w:gutter="0" w:footer="0" w:header="0"/>
        </w:sectPr>
      </w:pPr>
    </w:p>
    <w:bookmarkStart w:id="139" w:name="page140"/>
    <w:bookmarkEnd w:id="139"/>
    <w:p>
      <w:pPr>
        <w:ind w:firstLine="464"/>
        <w:spacing w:after="0" w:line="268"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New Subsidiary hereby waives acceptance by the Administrative Agent and the Lenders of the guaranty by the New Subsidiary upon the execution of this Agreement by the New Subsidiary.</w:t>
      </w:r>
    </w:p>
    <w:p>
      <w:pPr>
        <w:spacing w:after="0" w:line="131"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so executed and delivered shall be an original, but all of which shall constitute one and the same instrument.</w:t>
      </w:r>
    </w:p>
    <w:p>
      <w:pPr>
        <w:spacing w:after="0" w:line="131" w:lineRule="exact"/>
        <w:rPr>
          <w:rFonts w:ascii="Arial" w:cs="Arial" w:eastAsia="Arial" w:hAnsi="Arial"/>
          <w:sz w:val="18"/>
          <w:szCs w:val="18"/>
          <w:color w:val="auto"/>
        </w:rPr>
      </w:pPr>
    </w:p>
    <w:p>
      <w:pPr>
        <w:ind w:right="940" w:firstLine="464"/>
        <w:spacing w:after="0" w:line="268"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HEREUNDER SHALL BE GOVERNED BY AND CONSTRUED AND INTERPRETED IN ACCORDANCE WITH THE LAWS OF THE STATE OF NEW YORK.</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JPMORGAN CHASE BANK, N.A., as Administrative Agent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C</w:t>
      </w:r>
    </w:p>
    <w:p>
      <w:pPr>
        <w:sectPr>
          <w:pgSz w:w="11900" w:h="16838" w:orient="portrait"/>
          <w:cols w:equalWidth="0" w:num="1">
            <w:col w:w="11300"/>
          </w:cols>
          <w:pgMar w:left="240" w:top="280" w:right="35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SOLVENCY CERTIFICATE</w:t>
      </w:r>
    </w:p>
    <w:p>
      <w:pPr>
        <w:spacing w:after="0" w:line="165"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18"/>
          <w:szCs w:val="18"/>
          <w:color w:val="auto"/>
        </w:rPr>
        <w:t>The undersigned, being the</w:t>
      </w:r>
      <w:r>
        <w:rPr>
          <w:sz w:val="20"/>
          <w:szCs w:val="20"/>
          <w:color w:val="auto"/>
        </w:rPr>
        <w:tab/>
      </w:r>
      <w:r>
        <w:rPr>
          <w:rFonts w:ascii="Arial" w:cs="Arial" w:eastAsia="Arial" w:hAnsi="Arial"/>
          <w:sz w:val="16"/>
          <w:szCs w:val="16"/>
          <w:color w:val="auto"/>
        </w:rPr>
        <w:t>of EXLSERVICE HOLDINGS, INC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pursuant to that certain Credit</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Agreement, dated as of May 26, 2011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not defined herein shall have the meanings set forth in the Credit Agreement), between Borrower, the other Loan Parties thereto, the Lenders party thereto and JPMORGAN CHASE BANK, N.A., as Administrative Agent, DOES HEREBY CERTIFY on behalf of Borrower that:</w:t>
      </w:r>
    </w:p>
    <w:p>
      <w:pPr>
        <w:spacing w:after="0" w:line="144" w:lineRule="exact"/>
        <w:rPr>
          <w:sz w:val="20"/>
          <w:szCs w:val="20"/>
          <w:color w:val="auto"/>
        </w:rPr>
      </w:pPr>
    </w:p>
    <w:p>
      <w:pPr>
        <w:ind w:left="1100" w:hanging="179"/>
        <w:spacing w:after="0"/>
        <w:tabs>
          <w:tab w:leader="none" w:pos="11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 am familiar with the properties, business and assets of the Borrower and am authorized to execute this Certificate on behalf of the Borrower.</w:t>
      </w:r>
    </w:p>
    <w:p>
      <w:pPr>
        <w:spacing w:after="0" w:line="194" w:lineRule="exact"/>
        <w:rPr>
          <w:rFonts w:ascii="Arial" w:cs="Arial" w:eastAsia="Arial" w:hAnsi="Arial"/>
          <w:sz w:val="16"/>
          <w:szCs w:val="16"/>
          <w:color w:val="auto"/>
        </w:rPr>
      </w:pPr>
    </w:p>
    <w:p>
      <w:pPr>
        <w:ind w:right="100" w:firstLine="921"/>
        <w:spacing w:after="0" w:line="259" w:lineRule="auto"/>
        <w:tabs>
          <w:tab w:leader="none" w:pos="10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carefully reviewed the contents of this Certificate and have made such investigations and inquiries as I deem necessary and prudent in connection with the matters set forth herein. Among other things, I have reviewed the Credit Agreement, together with the other Loan Documents executed or to be executed by the Borrower pursuant to the Credit Agreement.</w:t>
      </w:r>
    </w:p>
    <w:p>
      <w:pPr>
        <w:spacing w:after="0" w:line="140" w:lineRule="exact"/>
        <w:rPr>
          <w:rFonts w:ascii="Arial" w:cs="Arial" w:eastAsia="Arial" w:hAnsi="Arial"/>
          <w:sz w:val="18"/>
          <w:szCs w:val="18"/>
          <w:color w:val="auto"/>
        </w:rPr>
      </w:pPr>
    </w:p>
    <w:p>
      <w:pPr>
        <w:ind w:firstLine="921"/>
        <w:spacing w:after="0" w:line="291" w:lineRule="auto"/>
        <w:tabs>
          <w:tab w:leader="none" w:pos="108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For purposes of this Certificate: (a) the term “Transactions” means (1) the fulfillment of all conditions precedent to the Loans being made under the Credit Agreement and the funding of such Loans, and (2) the execution and delivery of all Loan Documents under the Credit Agreement in connection with such Loans, and (b) the term “indebtedness” means all obligations and liabilities of Borrower, whether matured or unmatured, liquidated or unliquidated, disputed or undisputed, secured or unsecured, subordinated, absolute, fixed or contingent. For purposes of the definition of “indebtedness,”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20" w:lineRule="exact"/>
        <w:rPr>
          <w:rFonts w:ascii="Arial" w:cs="Arial" w:eastAsia="Arial" w:hAnsi="Arial"/>
          <w:sz w:val="16"/>
          <w:szCs w:val="16"/>
          <w:color w:val="auto"/>
        </w:rPr>
      </w:pPr>
    </w:p>
    <w:p>
      <w:pPr>
        <w:ind w:right="60" w:firstLine="921"/>
        <w:spacing w:after="0" w:line="268" w:lineRule="auto"/>
        <w:tabs>
          <w:tab w:leader="none" w:pos="10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of the date hereof, assuming each of the Transactions is consummated on and as of the date hereof and taking into account the effect thereof, it is my opinion that:</w:t>
      </w:r>
    </w:p>
    <w:p>
      <w:pPr>
        <w:spacing w:after="0" w:line="132" w:lineRule="exact"/>
        <w:rPr>
          <w:sz w:val="20"/>
          <w:szCs w:val="20"/>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fair value of the assets and property of the Borrower exceeds the total amount of its indebtedness;</w:t>
      </w:r>
    </w:p>
    <w:p>
      <w:pPr>
        <w:spacing w:after="0" w:line="171"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 going concern basis, the present fair saleable value of the assets and property of the Borrower exceeds the amount that will be required to pay the probable liability of its indebtedness as such indebtedness becomes absolute and matured;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Borrower is able to realize upon its assets and pay its indebtedness as such indebtedness matures in the normal course of business;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Borrower does not have an unreasonably small capital nor will it be left with an unreasonably small capital for it to conduct its business.</w:t>
      </w:r>
    </w:p>
    <w:p>
      <w:pPr>
        <w:spacing w:after="0" w:line="194" w:lineRule="exact"/>
        <w:rPr>
          <w:sz w:val="20"/>
          <w:szCs w:val="20"/>
          <w:color w:val="auto"/>
        </w:rPr>
      </w:pPr>
    </w:p>
    <w:p>
      <w:pPr>
        <w:ind w:right="40" w:firstLine="921"/>
        <w:spacing w:after="0" w:line="370" w:lineRule="auto"/>
        <w:tabs>
          <w:tab w:leader="none" w:pos="108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 consummating the Transactions contemplated by the Credit Agreement, to the best of my knowledge (after due inquiry), the Borrower does not intend to disturb, delay, hinder or defraud either present or future creditors or other persons to which it is or will become, on or after the date hereof, indebted.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11400"/>
          </w:cols>
          <w:pgMar w:left="240" w:top="280" w:right="259" w:bottom="1440" w:gutter="0" w:footer="0" w:header="0"/>
        </w:sectPr>
      </w:pPr>
    </w:p>
    <w:bookmarkStart w:id="141" w:name="page142"/>
    <w:bookmarkEnd w:id="141"/>
    <w:p>
      <w:pPr>
        <w:spacing w:after="0"/>
        <w:tabs>
          <w:tab w:leader="none" w:pos="6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Certificate this</w:t>
      </w:r>
      <w:r>
        <w:rPr>
          <w:sz w:val="20"/>
          <w:szCs w:val="20"/>
          <w:color w:val="auto"/>
        </w:rPr>
        <w:tab/>
      </w:r>
      <w:r>
        <w:rPr>
          <w:rFonts w:ascii="Arial" w:cs="Arial" w:eastAsia="Arial" w:hAnsi="Arial"/>
          <w:sz w:val="16"/>
          <w:szCs w:val="16"/>
          <w:color w:val="auto"/>
        </w:rPr>
        <w:t>day of May, 2011.</w:t>
      </w:r>
    </w:p>
    <w:p>
      <w:pPr>
        <w:spacing w:after="0" w:line="212"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285750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Exhibit D</w:t>
      </w:r>
    </w:p>
    <w:p>
      <w:pPr>
        <w:sectPr>
          <w:pgSz w:w="11900" w:h="16838" w:orient="portrait"/>
          <w:cols w:equalWidth="0" w:num="1">
            <w:col w:w="9759"/>
          </w:cols>
          <w:pgMar w:left="700" w:top="28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12"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2011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2011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1)"/>
      <w:numFmt w:val="lowerLetter"/>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1)"/>
      <w:numFmt w:val="lowerLetter"/>
      <w:start w:val="2"/>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lowerLetter"/>
      <w:start w:val="1"/>
    </w:lvl>
    <w:lvl w:ilvl="1">
      <w:lvlJc w:val="left"/>
      <w:lvlText w:val="(%2)"/>
      <w:numFmt w:val="lowerRoman"/>
      <w:start w:val="1"/>
    </w:lvl>
  </w:abstractNum>
  <w:abstractNum w:abstractNumId="14">
    <w:nsid w:val="7BD3EE7B"/>
    <w:multiLevelType w:val="hybridMultilevel"/>
    <w:lvl w:ilvl="0">
      <w:lvlJc w:val="left"/>
      <w:lvlText w:val="(%1)"/>
      <w:numFmt w:val="lowerRoman"/>
      <w:start w:val="13"/>
    </w:lvl>
  </w:abstractNum>
  <w:abstractNum w:abstractNumId="15">
    <w:nsid w:val="51D9C564"/>
    <w:multiLevelType w:val="hybridMultilevel"/>
    <w:lvl w:ilvl="0">
      <w:lvlJc w:val="left"/>
      <w:lvlText w:val="(%1)"/>
      <w:numFmt w:val="lowerLetter"/>
      <w:start w:val="3"/>
    </w:lvl>
  </w:abstractNum>
  <w:abstractNum w:abstractNumId="16">
    <w:nsid w:val="613EFDC5"/>
    <w:multiLevelType w:val="hybridMultilevel"/>
    <w:lvl w:ilvl="0">
      <w:lvlJc w:val="left"/>
      <w:lvlText w:val="(%1)"/>
      <w:numFmt w:val="lowerLetter"/>
      <w:start w:val="2"/>
    </w:lvl>
  </w:abstractNum>
  <w:abstractNum w:abstractNumId="17">
    <w:nsid w:val="BF72B14"/>
    <w:multiLevelType w:val="hybridMultilevel"/>
    <w:lvl w:ilvl="0">
      <w:lvlJc w:val="left"/>
      <w:lvlText w:val="(%1)"/>
      <w:numFmt w:val="lowerRoman"/>
      <w:start w:val="1"/>
    </w:lvl>
  </w:abstractNum>
  <w:abstractNum w:abstractNumId="18">
    <w:nsid w:val="11447B73"/>
    <w:multiLevelType w:val="hybridMultilevel"/>
    <w:lvl w:ilvl="0">
      <w:lvlJc w:val="left"/>
      <w:lvlText w:val="(%1)"/>
      <w:numFmt w:val="lowerLetter"/>
      <w:start w:val="2"/>
    </w:lvl>
  </w:abstractNum>
  <w:abstractNum w:abstractNumId="19">
    <w:nsid w:val="42963E5A"/>
    <w:multiLevelType w:val="hybridMultilevel"/>
    <w:lvl w:ilvl="0">
      <w:lvlJc w:val="left"/>
      <w:lvlText w:val="%1"/>
      <w:numFmt w:val="upperLetter"/>
      <w:start w:val="1"/>
    </w:lvl>
    <w:lvl w:ilvl="1">
      <w:lvlJc w:val="left"/>
      <w:lvlText w:val="(%2)"/>
      <w:numFmt w:val="lowerRoman"/>
      <w:start w:val="1"/>
    </w:lvl>
  </w:abstractNum>
  <w:abstractNum w:abstractNumId="20">
    <w:nsid w:val="A0382C5"/>
    <w:multiLevelType w:val="hybridMultilevel"/>
    <w:lvl w:ilvl="0">
      <w:lvlJc w:val="left"/>
      <w:lvlText w:val="(%1)"/>
      <w:numFmt w:val="upperLetter"/>
      <w:start w:val="2"/>
    </w:lvl>
    <w:lvl w:ilvl="1">
      <w:lvlJc w:val="left"/>
      <w:lvlText w:val="(%2)"/>
      <w:numFmt w:val="lowerRoman"/>
      <w:start w:val="2"/>
    </w:lvl>
  </w:abstractNum>
  <w:abstractNum w:abstractNumId="21">
    <w:nsid w:val="8F2B15E"/>
    <w:multiLevelType w:val="hybridMultilevel"/>
    <w:lvl w:ilvl="0">
      <w:lvlJc w:val="left"/>
      <w:lvlText w:val="(%1)"/>
      <w:numFmt w:val="lowerRoman"/>
      <w:start w:val="6"/>
    </w:lvl>
  </w:abstractNum>
  <w:abstractNum w:abstractNumId="22">
    <w:nsid w:val="1A32234B"/>
    <w:multiLevelType w:val="hybridMultilevel"/>
    <w:lvl w:ilvl="0">
      <w:lvlJc w:val="left"/>
      <w:lvlText w:val="%1"/>
      <w:numFmt w:val="lowerLetter"/>
      <w:start w:val="1"/>
    </w:lvl>
    <w:lvl w:ilvl="1">
      <w:lvlJc w:val="left"/>
      <w:lvlText w:val="(%2)"/>
      <w:numFmt w:val="lowerLetter"/>
      <w:start w:val="1"/>
    </w:lvl>
  </w:abstractNum>
  <w:abstractNum w:abstractNumId="23">
    <w:nsid w:val="3B0FD379"/>
    <w:multiLevelType w:val="hybridMultilevel"/>
    <w:lvl w:ilvl="0">
      <w:lvlJc w:val="left"/>
      <w:lvlText w:val="(%1)"/>
      <w:numFmt w:val="lowerLetter"/>
      <w:start w:val="3"/>
    </w:lvl>
    <w:lvl w:ilvl="1">
      <w:lvlJc w:val="left"/>
      <w:lvlText w:val="%2"/>
      <w:numFmt w:val="lowerLetter"/>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2"/>
    </w:lvl>
  </w:abstractNum>
  <w:abstractNum w:abstractNumId="26">
    <w:nsid w:val="60B6DF70"/>
    <w:multiLevelType w:val="hybridMultilevel"/>
    <w:lvl w:ilvl="0">
      <w:lvlJc w:val="left"/>
      <w:lvlText w:val="(%1)"/>
      <w:numFmt w:val="lowerRoman"/>
      <w:start w:val="1"/>
    </w:lvl>
  </w:abstractNum>
  <w:abstractNum w:abstractNumId="27">
    <w:nsid w:val="6A5EE64"/>
    <w:multiLevelType w:val="hybridMultilevel"/>
    <w:lvl w:ilvl="0">
      <w:lvlJc w:val="left"/>
      <w:lvlText w:val="(%1)"/>
      <w:numFmt w:val="lowerLetter"/>
      <w:start w:val="2"/>
    </w:lvl>
  </w:abstractNum>
  <w:abstractNum w:abstractNumId="28">
    <w:nsid w:val="14330624"/>
    <w:multiLevelType w:val="hybridMultilevel"/>
    <w:lvl w:ilvl="0">
      <w:lvlJc w:val="left"/>
      <w:lvlText w:val="(%1)"/>
      <w:numFmt w:val="lowerLetter"/>
      <w:start w:val="3"/>
    </w:lvl>
  </w:abstractNum>
  <w:abstractNum w:abstractNumId="29">
    <w:nsid w:val="7FFFCA11"/>
    <w:multiLevelType w:val="hybridMultilevel"/>
    <w:lvl w:ilvl="0">
      <w:lvlJc w:val="left"/>
      <w:lvlText w:val="%1"/>
      <w:numFmt w:val="lowerLetter"/>
      <w:start w:val="1"/>
    </w:lvl>
    <w:lvl w:ilvl="1">
      <w:lvlJc w:val="left"/>
      <w:lvlText w:val="(%2)"/>
      <w:numFmt w:val="lowerLetter"/>
      <w:start w:val="6"/>
    </w:lvl>
  </w:abstractNum>
  <w:abstractNum w:abstractNumId="30">
    <w:nsid w:val="1A27709E"/>
    <w:multiLevelType w:val="hybridMultilevel"/>
    <w:lvl w:ilvl="0">
      <w:lvlJc w:val="left"/>
      <w:lvlText w:val="(%1)"/>
      <w:numFmt w:val="lowerLetter"/>
      <w:start w:val="61"/>
    </w:lvl>
    <w:lvl w:ilvl="1">
      <w:lvlJc w:val="left"/>
      <w:lvlText w:val="%2"/>
      <w:numFmt w:val="lowerLetter"/>
      <w:start w:val="1"/>
    </w:lvl>
  </w:abstractNum>
  <w:abstractNum w:abstractNumId="31">
    <w:nsid w:val="71EA1109"/>
    <w:multiLevelType w:val="hybridMultilevel"/>
    <w:lvl w:ilvl="0">
      <w:lvlJc w:val="left"/>
      <w:lvlText w:val="(%1)"/>
      <w:numFmt w:val="lowerLetter"/>
      <w:start w:val="7"/>
    </w:lvl>
  </w:abstractNum>
  <w:abstractNum w:abstractNumId="32">
    <w:nsid w:val="100F59DC"/>
    <w:multiLevelType w:val="hybridMultilevel"/>
    <w:lvl w:ilvl="0">
      <w:lvlJc w:val="left"/>
      <w:lvlText w:val="(%1)"/>
      <w:numFmt w:val="lowerLetter"/>
      <w:start w:val="2"/>
    </w:lvl>
  </w:abstractNum>
  <w:abstractNum w:abstractNumId="33">
    <w:nsid w:val="7FB7E0AA"/>
    <w:multiLevelType w:val="hybridMultilevel"/>
    <w:lvl w:ilvl="0">
      <w:lvlJc w:val="left"/>
      <w:lvlText w:val="(%1)"/>
      <w:numFmt w:val="lowerLetter"/>
      <w:start w:val="2"/>
    </w:lvl>
  </w:abstractNum>
  <w:abstractNum w:abstractNumId="34">
    <w:nsid w:val="6EB5BD4"/>
    <w:multiLevelType w:val="hybridMultilevel"/>
    <w:lvl w:ilvl="0">
      <w:lvlJc w:val="left"/>
      <w:lvlText w:val="(%1)"/>
      <w:numFmt w:val="lowerLetter"/>
      <w:start w:val="3"/>
    </w:lvl>
    <w:lvl w:ilvl="1">
      <w:lvlJc w:val="left"/>
      <w:lvlText w:val="(%2)"/>
      <w:numFmt w:val="lowerRoman"/>
      <w:start w:val="1"/>
    </w:lvl>
  </w:abstractNum>
  <w:abstractNum w:abstractNumId="35">
    <w:nsid w:val="6F6DD9AC"/>
    <w:multiLevelType w:val="hybridMultilevel"/>
    <w:lvl w:ilvl="0">
      <w:lvlJc w:val="left"/>
      <w:lvlText w:val="(%1)"/>
      <w:numFmt w:val="lowerLetter"/>
      <w:start w:val="4"/>
    </w:lvl>
  </w:abstractNum>
  <w:abstractNum w:abstractNumId="36">
    <w:nsid w:val="94211F2"/>
    <w:multiLevelType w:val="hybridMultilevel"/>
    <w:lvl w:ilvl="0">
      <w:lvlJc w:val="left"/>
      <w:lvlText w:val="(%1)"/>
      <w:numFmt w:val="lowerLetter"/>
      <w:start w:val="2"/>
    </w:lvl>
  </w:abstractNum>
  <w:abstractNum w:abstractNumId="37">
    <w:nsid w:val="885E1B"/>
    <w:multiLevelType w:val="hybridMultilevel"/>
    <w:lvl w:ilvl="0">
      <w:lvlJc w:val="left"/>
      <w:lvlText w:val="(%1)"/>
      <w:numFmt w:val="lowerLetter"/>
      <w:start w:val="4"/>
    </w:lvl>
  </w:abstractNum>
  <w:abstractNum w:abstractNumId="38">
    <w:nsid w:val="76272110"/>
    <w:multiLevelType w:val="hybridMultilevel"/>
    <w:lvl w:ilvl="0">
      <w:lvlJc w:val="left"/>
      <w:lvlText w:val="(%1)"/>
      <w:numFmt w:val="lowerLetter"/>
      <w:start w:val="2"/>
    </w:lvl>
  </w:abstractNum>
  <w:abstractNum w:abstractNumId="39">
    <w:nsid w:val="4C04A8AF"/>
    <w:multiLevelType w:val="hybridMultilevel"/>
    <w:lvl w:ilvl="0">
      <w:lvlJc w:val="left"/>
      <w:lvlText w:val="(%1)"/>
      <w:numFmt w:val="lowerLetter"/>
      <w:start w:val="2"/>
    </w:lvl>
  </w:abstractNum>
  <w:abstractNum w:abstractNumId="40">
    <w:nsid w:val="1716703B"/>
    <w:multiLevelType w:val="hybridMultilevel"/>
    <w:lvl w:ilvl="0">
      <w:lvlJc w:val="left"/>
      <w:lvlText w:val="(%1)"/>
      <w:numFmt w:val="lowerLetter"/>
      <w:start w:val="2"/>
    </w:lvl>
  </w:abstractNum>
  <w:abstractNum w:abstractNumId="41">
    <w:nsid w:val="14E17E33"/>
    <w:multiLevelType w:val="hybridMultilevel"/>
    <w:lvl w:ilvl="0">
      <w:lvlJc w:val="left"/>
      <w:lvlText w:val="(%1)"/>
      <w:numFmt w:val="lowerLetter"/>
      <w:start w:val="2"/>
    </w:lvl>
  </w:abstractNum>
  <w:abstractNum w:abstractNumId="42">
    <w:nsid w:val="3222E7CD"/>
    <w:multiLevelType w:val="hybridMultilevel"/>
    <w:lvl w:ilvl="0">
      <w:lvlJc w:val="left"/>
      <w:lvlText w:val="(%1)"/>
      <w:numFmt w:val="lowerLetter"/>
      <w:start w:val="4"/>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Roman"/>
      <w:start w:val="1"/>
    </w:lvl>
  </w:abstractNum>
  <w:abstractNum w:abstractNumId="45">
    <w:nsid w:val="2DF6D648"/>
    <w:multiLevelType w:val="hybridMultilevel"/>
    <w:lvl w:ilvl="0">
      <w:lvlJc w:val="left"/>
      <w:lvlText w:val="(%1)"/>
      <w:numFmt w:val="lowerLetter"/>
      <w:start w:val="2"/>
    </w:lvl>
  </w:abstractNum>
  <w:abstractNum w:abstractNumId="46">
    <w:nsid w:val="46B7D447"/>
    <w:multiLevelType w:val="hybridMultilevel"/>
    <w:lvl w:ilvl="0">
      <w:lvlJc w:val="left"/>
      <w:lvlText w:val="(%1)"/>
      <w:numFmt w:val="lowerLetter"/>
      <w:start w:val="2"/>
    </w:lvl>
  </w:abstractNum>
  <w:abstractNum w:abstractNumId="47">
    <w:nsid w:val="4A2AC315"/>
    <w:multiLevelType w:val="hybridMultilevel"/>
    <w:lvl w:ilvl="0">
      <w:lvlJc w:val="left"/>
      <w:lvlText w:val="(%1)"/>
      <w:numFmt w:val="lowerLetter"/>
      <w:start w:val="6"/>
    </w:lvl>
  </w:abstractNum>
  <w:abstractNum w:abstractNumId="48">
    <w:nsid w:val="39EE015C"/>
    <w:multiLevelType w:val="hybridMultilevel"/>
    <w:lvl w:ilvl="0">
      <w:lvlJc w:val="left"/>
      <w:lvlText w:val="(%1)"/>
      <w:numFmt w:val="lowerLetter"/>
      <w:start w:val="2"/>
    </w:lvl>
  </w:abstractNum>
  <w:abstractNum w:abstractNumId="49">
    <w:nsid w:val="57FC4FBB"/>
    <w:multiLevelType w:val="hybridMultilevel"/>
    <w:lvl w:ilvl="0">
      <w:lvlJc w:val="left"/>
      <w:lvlText w:val="(%1)"/>
      <w:numFmt w:val="lowerLetter"/>
      <w:start w:val="3"/>
    </w:lvl>
  </w:abstractNum>
  <w:abstractNum w:abstractNumId="50">
    <w:nsid w:val="CC1016F"/>
    <w:multiLevelType w:val="hybridMultilevel"/>
    <w:lvl w:ilvl="0">
      <w:lvlJc w:val="left"/>
      <w:lvlText w:val="(%1)"/>
      <w:numFmt w:val="lowerLetter"/>
      <w:start w:val="6"/>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1"/>
    </w:lvl>
    <w:lvl w:ilvl="1">
      <w:lvlJc w:val="left"/>
      <w:lvlText w:val="(%2)"/>
      <w:numFmt w:val="lowerRoman"/>
      <w:start w:val="1"/>
    </w:lvl>
  </w:abstractNum>
  <w:abstractNum w:abstractNumId="53">
    <w:nsid w:val="26F324BA"/>
    <w:multiLevelType w:val="hybridMultilevel"/>
    <w:lvl w:ilvl="0">
      <w:lvlJc w:val="left"/>
      <w:lvlText w:val="(%1)"/>
      <w:numFmt w:val="lowerLetter"/>
      <w:start w:val="4"/>
    </w:lvl>
  </w:abstractNum>
  <w:abstractNum w:abstractNumId="54">
    <w:nsid w:val="7F01579B"/>
    <w:multiLevelType w:val="hybridMultilevel"/>
    <w:lvl w:ilvl="0">
      <w:lvlJc w:val="left"/>
      <w:lvlText w:val="(%1)"/>
      <w:numFmt w:val="lowerLetter"/>
      <w:start w:val="2"/>
    </w:lvl>
  </w:abstractNum>
  <w:abstractNum w:abstractNumId="55">
    <w:nsid w:val="49DA307D"/>
    <w:multiLevelType w:val="hybridMultilevel"/>
    <w:lvl w:ilvl="0">
      <w:lvlJc w:val="left"/>
      <w:lvlText w:val="(%1)"/>
      <w:numFmt w:val="lowerLetter"/>
      <w:start w:val="2"/>
    </w:lvl>
  </w:abstractNum>
  <w:abstractNum w:abstractNumId="56">
    <w:nsid w:val="7055A5F5"/>
    <w:multiLevelType w:val="hybridMultilevel"/>
    <w:lvl w:ilvl="0">
      <w:lvlJc w:val="left"/>
      <w:lvlText w:val="(%1)"/>
      <w:numFmt w:val="lowerLetter"/>
      <w:start w:val="1"/>
    </w:lvl>
  </w:abstractNum>
  <w:abstractNum w:abstractNumId="57">
    <w:nsid w:val="5FB8370B"/>
    <w:multiLevelType w:val="hybridMultilevel"/>
    <w:lvl w:ilvl="0">
      <w:lvlJc w:val="left"/>
      <w:lvlText w:val="%1"/>
      <w:numFmt w:val="upperLetter"/>
      <w:start w:val="1"/>
    </w:lvl>
    <w:lvl w:ilvl="1">
      <w:lvlJc w:val="left"/>
      <w:lvlText w:val="(%2)"/>
      <w:numFmt w:val="lowerLetter"/>
      <w:start w:val="3"/>
    </w:lvl>
  </w:abstractNum>
  <w:abstractNum w:abstractNumId="58">
    <w:nsid w:val="50801EE1"/>
    <w:multiLevelType w:val="hybridMultilevel"/>
    <w:lvl w:ilvl="0">
      <w:lvlJc w:val="left"/>
      <w:lvlText w:val="(%1)"/>
      <w:numFmt w:val="upperLetter"/>
      <w:start w:val="3"/>
    </w:lvl>
    <w:lvl w:ilvl="1">
      <w:lvlJc w:val="left"/>
      <w:lvlText w:val="(%2)"/>
      <w:numFmt w:val="lowerLetter"/>
      <w:start w:val="4"/>
    </w:lvl>
  </w:abstractNum>
  <w:abstractNum w:abstractNumId="59">
    <w:nsid w:val="488AC1A"/>
    <w:multiLevelType w:val="hybridMultilevel"/>
    <w:lvl w:ilvl="0">
      <w:lvlJc w:val="left"/>
      <w:lvlText w:val="(%1)"/>
      <w:numFmt w:val="lowerLetter"/>
      <w:start w:val="9"/>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2"/>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2"/>
    </w:lvl>
  </w:abstractNum>
  <w:abstractNum w:abstractNumId="66">
    <w:nsid w:val="5F3534A4"/>
    <w:multiLevelType w:val="hybridMultilevel"/>
    <w:lvl w:ilvl="0">
      <w:lvlJc w:val="left"/>
      <w:lvlText w:val="(%1)"/>
      <w:numFmt w:val="lowerLetter"/>
      <w:start w:val="2"/>
    </w:lvl>
  </w:abstractNum>
  <w:abstractNum w:abstractNumId="67">
    <w:nsid w:val="73A1821B"/>
    <w:multiLevelType w:val="hybridMultilevel"/>
    <w:lvl w:ilvl="0">
      <w:lvlJc w:val="left"/>
      <w:lvlText w:val="(%1)"/>
      <w:numFmt w:val="lowerLetter"/>
      <w:start w:val="4"/>
    </w:lvl>
  </w:abstractNum>
  <w:abstractNum w:abstractNumId="68">
    <w:nsid w:val="7DE67713"/>
    <w:multiLevelType w:val="hybridMultilevel"/>
    <w:lvl w:ilvl="0">
      <w:lvlJc w:val="left"/>
      <w:lvlText w:val="(%1)"/>
      <w:numFmt w:val="lowerLetter"/>
      <w:start w:val="1"/>
    </w:lvl>
  </w:abstractNum>
  <w:abstractNum w:abstractNumId="69">
    <w:nsid w:val="555C55B5"/>
    <w:multiLevelType w:val="hybridMultilevel"/>
    <w:lvl w:ilvl="0">
      <w:lvlJc w:val="left"/>
      <w:lvlText w:val="(%1)"/>
      <w:numFmt w:val="lowerLetter"/>
      <w:start w:val="6"/>
    </w:lvl>
  </w:abstractNum>
  <w:abstractNum w:abstractNumId="70">
    <w:nsid w:val="3FA62ACA"/>
    <w:multiLevelType w:val="hybridMultilevel"/>
    <w:lvl w:ilvl="0">
      <w:lvlJc w:val="left"/>
      <w:lvlText w:val="(%1)"/>
      <w:numFmt w:val="lowerLetter"/>
      <w:start w:val="14"/>
    </w:lvl>
  </w:abstractNum>
  <w:abstractNum w:abstractNumId="71">
    <w:nsid w:val="14FCE74E"/>
    <w:multiLevelType w:val="hybridMultilevel"/>
    <w:lvl w:ilvl="0">
      <w:lvlJc w:val="left"/>
      <w:lvlText w:val="%1"/>
      <w:numFmt w:val="lowerLetter"/>
      <w:start w:val="1"/>
    </w:lvl>
    <w:lvl w:ilvl="1">
      <w:lvlJc w:val="left"/>
      <w:lvlText w:val="(%2)"/>
      <w:numFmt w:val="lowerLetter"/>
      <w:start w:val="1"/>
    </w:lvl>
  </w:abstractNum>
  <w:abstractNum w:abstractNumId="72">
    <w:nsid w:val="6A3DD3E8"/>
    <w:multiLevelType w:val="hybridMultilevel"/>
    <w:lvl w:ilvl="0">
      <w:lvlJc w:val="left"/>
      <w:lvlText w:val="(%1)"/>
      <w:numFmt w:val="lowerLetter"/>
      <w:start w:val="9"/>
    </w:lvl>
    <w:lvl w:ilvl="1">
      <w:lvlJc w:val="left"/>
      <w:lvlText w:val="%2"/>
      <w:numFmt w:val="lowerLetter"/>
      <w:start w:val="1"/>
    </w:lvl>
  </w:abstractNum>
  <w:abstractNum w:abstractNumId="73">
    <w:nsid w:val="71C91298"/>
    <w:multiLevelType w:val="hybridMultilevel"/>
    <w:lvl w:ilvl="0">
      <w:lvlJc w:val="left"/>
      <w:lvlText w:val="(%1)"/>
      <w:numFmt w:val="lowerLetter"/>
      <w:start w:val="4"/>
    </w:lvl>
  </w:abstractNum>
  <w:abstractNum w:abstractNumId="74">
    <w:nsid w:val="9DAF632"/>
    <w:multiLevelType w:val="hybridMultilevel"/>
    <w:lvl w:ilvl="0">
      <w:lvlJc w:val="left"/>
      <w:lvlText w:val="(%1)"/>
      <w:numFmt w:val="lowerLetter"/>
      <w:start w:val="15"/>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25"/>
    </w:lvl>
    <w:lvl w:ilvl="1">
      <w:lvlJc w:val="left"/>
      <w:lvlText w:val="(%2)"/>
      <w:numFmt w:val="lowerLetter"/>
      <w:start w:val="2"/>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1"/>
    </w:lvl>
    <w:lvl w:ilvl="1">
      <w:lvlJc w:val="left"/>
      <w:lvlText w:val="(%2)"/>
      <w:numFmt w:val="lowerRoman"/>
      <w:start w:val="1"/>
    </w:lvl>
  </w:abstractNum>
  <w:abstractNum w:abstractNumId="79">
    <w:nsid w:val="59ADEA3D"/>
    <w:multiLevelType w:val="hybridMultilevel"/>
    <w:lvl w:ilvl="0">
      <w:lvlJc w:val="left"/>
      <w:lvlText w:val="(%1)"/>
      <w:numFmt w:val="lowerLetter"/>
      <w:start w:val="2"/>
    </w:lvl>
  </w:abstractNum>
  <w:abstractNum w:abstractNumId="80">
    <w:nsid w:val="288F1A34"/>
    <w:multiLevelType w:val="hybridMultilevel"/>
    <w:lvl w:ilvl="0">
      <w:lvlJc w:val="left"/>
      <w:lvlText w:val="(%1)"/>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3"/>
    </w:lvl>
  </w:abstractNum>
  <w:abstractNum w:abstractNumId="83">
    <w:nsid w:val="97E1B4E"/>
    <w:multiLevelType w:val="hybridMultilevel"/>
    <w:lvl w:ilvl="0">
      <w:lvlJc w:val="left"/>
      <w:lvlText w:val="(%1)"/>
      <w:numFmt w:val="lowerLetter"/>
      <w:start w:val="6"/>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8"/>
    </w:lvl>
  </w:abstractNum>
  <w:abstractNum w:abstractNumId="87">
    <w:nsid w:val="415E286C"/>
    <w:multiLevelType w:val="hybridMultilevel"/>
    <w:lvl w:ilvl="0">
      <w:lvlJc w:val="left"/>
      <w:lvlText w:val="(%1)"/>
      <w:numFmt w:val="lowerLetter"/>
      <w:start w:val="16"/>
    </w:lvl>
  </w:abstractNum>
  <w:abstractNum w:abstractNumId="88">
    <w:nsid w:val="7C58FD05"/>
    <w:multiLevelType w:val="hybridMultilevel"/>
    <w:lvl w:ilvl="0">
      <w:lvlJc w:val="left"/>
      <w:lvlText w:val="(%1)"/>
      <w:numFmt w:val="lowerRoman"/>
      <w:start w:val="1"/>
    </w:lvl>
  </w:abstractNum>
  <w:abstractNum w:abstractNumId="89">
    <w:nsid w:val="23D86AAC"/>
    <w:multiLevelType w:val="hybridMultilevel"/>
    <w:lvl w:ilvl="0">
      <w:lvlJc w:val="left"/>
      <w:lvlText w:val="(%1)"/>
      <w:numFmt w:val="lowerRoman"/>
      <w:start w:val="2"/>
    </w:lvl>
  </w:abstractNum>
  <w:abstractNum w:abstractNumId="90">
    <w:nsid w:val="45E6D486"/>
    <w:multiLevelType w:val="hybridMultilevel"/>
    <w:lvl w:ilvl="0">
      <w:lvlJc w:val="left"/>
      <w:lvlText w:val="(%1)"/>
      <w:numFmt w:val="lowerRoman"/>
      <w:start w:val="3"/>
    </w:lvl>
  </w:abstractNum>
  <w:abstractNum w:abstractNumId="91">
    <w:nsid w:val="5C10FE21"/>
    <w:multiLevelType w:val="hybridMultilevel"/>
    <w:lvl w:ilvl="0">
      <w:lvlJc w:val="left"/>
      <w:lvlText w:val="(%1)"/>
      <w:numFmt w:val="lowerRoman"/>
      <w:start w:val="4"/>
    </w:lvl>
  </w:abstractNum>
  <w:abstractNum w:abstractNumId="92">
    <w:nsid w:val="E7FFA2B"/>
    <w:multiLevelType w:val="hybridMultilevel"/>
    <w:lvl w:ilvl="0">
      <w:lvlJc w:val="left"/>
      <w:lvlText w:val="(%1)"/>
      <w:numFmt w:val="lowerLetter"/>
      <w:start w:val="2"/>
    </w:lvl>
  </w:abstractNum>
  <w:abstractNum w:abstractNumId="93">
    <w:nsid w:val="3C5991AA"/>
    <w:multiLevelType w:val="hybridMultilevel"/>
    <w:lvl w:ilvl="0">
      <w:lvlJc w:val="left"/>
      <w:lvlText w:val="%1"/>
      <w:numFmt w:val="lowerRoman"/>
      <w:start w:val="1"/>
    </w:lvl>
    <w:lvl w:ilvl="1">
      <w:lvlJc w:val="left"/>
      <w:lvlText w:val="(%2)"/>
      <w:numFmt w:val="lowerLetter"/>
      <w:start w:val="2"/>
    </w:lvl>
  </w:abstractNum>
  <w:abstractNum w:abstractNumId="94">
    <w:nsid w:val="4BD8591A"/>
    <w:multiLevelType w:val="hybridMultilevel"/>
    <w:lvl w:ilvl="0">
      <w:lvlJc w:val="left"/>
      <w:lvlText w:val="(%1)"/>
      <w:numFmt w:val="lowerRoman"/>
      <w:start w:val="5"/>
    </w:lvl>
    <w:lvl w:ilvl="1">
      <w:lvlJc w:val="left"/>
      <w:lvlText w:val="%2"/>
      <w:numFmt w:val="lowerLetter"/>
      <w:start w:val="1"/>
    </w:lvl>
  </w:abstractNum>
  <w:abstractNum w:abstractNumId="95">
    <w:nsid w:val="78DF6A55"/>
    <w:multiLevelType w:val="hybridMultilevel"/>
    <w:lvl w:ilvl="0">
      <w:lvlJc w:val="left"/>
      <w:lvlText w:val="(%1)"/>
      <w:numFmt w:val="lowerRoman"/>
      <w:start w:val="9"/>
    </w:lvl>
    <w:lvl w:ilvl="1">
      <w:lvlJc w:val="left"/>
      <w:lvlText w:val="(%2)"/>
      <w:numFmt w:val="lowerLetter"/>
      <w:start w:val="3"/>
    </w:lvl>
  </w:abstractNum>
  <w:abstractNum w:abstractNumId="96">
    <w:nsid w:val="39B7AAA2"/>
    <w:multiLevelType w:val="hybridMultilevel"/>
    <w:lvl w:ilvl="0">
      <w:lvlJc w:val="left"/>
      <w:lvlText w:val="(%1)"/>
      <w:numFmt w:val="lowerRoman"/>
      <w:start w:val="1"/>
    </w:lvl>
  </w:abstractNum>
  <w:abstractNum w:abstractNumId="97">
    <w:nsid w:val="2B0D8DBE"/>
    <w:multiLevelType w:val="hybridMultilevel"/>
    <w:lvl w:ilvl="0">
      <w:lvlJc w:val="left"/>
      <w:lvlText w:val="(%1)"/>
      <w:numFmt w:val="lowerLetter"/>
      <w:start w:val="2"/>
    </w:lvl>
  </w:abstractNum>
  <w:abstractNum w:abstractNumId="98">
    <w:nsid w:val="6C80EC70"/>
    <w:multiLevelType w:val="hybridMultilevel"/>
    <w:lvl w:ilvl="0">
      <w:lvlJc w:val="left"/>
      <w:lvlText w:val="%1"/>
      <w:numFmt w:val="lowerLetter"/>
      <w:start w:val="1"/>
    </w:lvl>
    <w:lvl w:ilvl="1">
      <w:lvlJc w:val="left"/>
      <w:lvlText w:val="(%2)"/>
      <w:numFmt w:val="lowerLetter"/>
      <w:start w:val="3"/>
    </w:lvl>
  </w:abstractNum>
  <w:abstractNum w:abstractNumId="99">
    <w:nsid w:val="379E21B5"/>
    <w:multiLevelType w:val="hybridMultilevel"/>
    <w:lvl w:ilvl="0">
      <w:lvlJc w:val="left"/>
      <w:lvlText w:val="(%1)"/>
      <w:numFmt w:val="lowerLetter"/>
      <w:start w:val="1"/>
    </w:lvl>
    <w:lvl w:ilvl="1">
      <w:lvlJc w:val="left"/>
      <w:lvlText w:val="(%2)"/>
      <w:numFmt w:val="lowerLetter"/>
      <w:start w:val="4"/>
    </w:lvl>
  </w:abstractNum>
  <w:abstractNum w:abstractNumId="100">
    <w:nsid w:val="69E373"/>
    <w:multiLevelType w:val="hybridMultilevel"/>
    <w:lvl w:ilvl="0">
      <w:lvlJc w:val="left"/>
      <w:lvlText w:val="(%1)"/>
      <w:numFmt w:val="lowerLetter"/>
      <w:start w:val="2"/>
    </w:lvl>
    <w:lvl w:ilvl="1">
      <w:lvlJc w:val="left"/>
      <w:lvlText w:val="(%2)"/>
      <w:numFmt w:val="upperLetter"/>
      <w:start w:val="1"/>
    </w:lvl>
  </w:abstractNum>
  <w:abstractNum w:abstractNumId="101">
    <w:nsid w:val="2C27173B"/>
    <w:multiLevelType w:val="hybridMultilevel"/>
    <w:lvl w:ilvl="0">
      <w:lvlJc w:val="left"/>
      <w:lvlText w:val="(%1)"/>
      <w:numFmt w:val="upperLetter"/>
      <w:start w:val="2"/>
    </w:lvl>
  </w:abstractNum>
  <w:abstractNum w:abstractNumId="102">
    <w:nsid w:val="4C9B0904"/>
    <w:multiLevelType w:val="hybridMultilevel"/>
    <w:lvl w:ilvl="0">
      <w:lvlJc w:val="left"/>
      <w:lvlText w:val="(%1)"/>
      <w:numFmt w:val="upperLetter"/>
      <w:start w:val="1"/>
    </w:lvl>
  </w:abstractNum>
  <w:abstractNum w:abstractNumId="103">
    <w:nsid w:val="6AA7B75C"/>
    <w:multiLevelType w:val="hybridMultilevel"/>
    <w:lvl w:ilvl="0">
      <w:lvlJc w:val="left"/>
      <w:lvlText w:val="(%1)"/>
      <w:numFmt w:val="lowerRoman"/>
      <w:start w:val="3"/>
    </w:lvl>
  </w:abstractNum>
  <w:abstractNum w:abstractNumId="104">
    <w:nsid w:val="1DF029D3"/>
    <w:multiLevelType w:val="hybridMultilevel"/>
    <w:lvl w:ilvl="0">
      <w:lvlJc w:val="left"/>
      <w:lvlText w:val="%1"/>
      <w:numFmt w:val="lowerLetter"/>
      <w:start w:val="1"/>
    </w:lvl>
    <w:lvl w:ilvl="1">
      <w:lvlJc w:val="left"/>
      <w:lvlText w:val="(%2)"/>
      <w:numFmt w:val="lowerRoman"/>
      <w:start w:val="4"/>
    </w:lvl>
  </w:abstractNum>
  <w:abstractNum w:abstractNumId="105">
    <w:nsid w:val="5675FF36"/>
    <w:multiLevelType w:val="hybridMultilevel"/>
    <w:lvl w:ilvl="0">
      <w:lvlJc w:val="left"/>
      <w:lvlText w:val="(%1)"/>
      <w:numFmt w:val="lowerLetter"/>
      <w:start w:val="3"/>
    </w:lvl>
    <w:lvl w:ilvl="1">
      <w:lvlJc w:val="left"/>
      <w:lvlText w:val="%2"/>
      <w:numFmt w:val="lowerRoman"/>
      <w:start w:val="1"/>
    </w:lvl>
  </w:abstractNum>
  <w:abstractNum w:abstractNumId="106">
    <w:nsid w:val="3DD15094"/>
    <w:multiLevelType w:val="hybridMultilevel"/>
    <w:lvl w:ilvl="0">
      <w:lvlJc w:val="left"/>
      <w:lvlText w:val="%1"/>
      <w:numFmt w:val="lowerLetter"/>
      <w:start w:val="1"/>
    </w:lvl>
    <w:lvl w:ilvl="1">
      <w:lvlJc w:val="left"/>
      <w:lvlText w:val="(%2)"/>
      <w:numFmt w:val="lowerRoman"/>
      <w:start w:val="2"/>
    </w:lvl>
  </w:abstractNum>
  <w:abstractNum w:abstractNumId="107">
    <w:nsid w:val="3DB012B3"/>
    <w:multiLevelType w:val="hybridMultilevel"/>
    <w:lvl w:ilvl="0">
      <w:lvlJc w:val="left"/>
      <w:lvlText w:val="(%1)"/>
      <w:numFmt w:val="lowerLetter"/>
      <w:start w:val="4"/>
    </w:lvl>
    <w:lvl w:ilvl="1">
      <w:lvlJc w:val="left"/>
      <w:lvlText w:val="%2"/>
      <w:numFmt w:val="lowerRoman"/>
      <w:start w:val="1"/>
    </w:lvl>
  </w:abstractNum>
  <w:abstractNum w:abstractNumId="108">
    <w:nsid w:val="2708C9AF"/>
    <w:multiLevelType w:val="hybridMultilevel"/>
    <w:lvl w:ilvl="0">
      <w:lvlJc w:val="left"/>
      <w:lvlText w:val="(%1)"/>
      <w:numFmt w:val="lowerLetter"/>
      <w:start w:val="2"/>
    </w:lvl>
  </w:abstractNum>
  <w:abstractNum w:abstractNumId="109">
    <w:nsid w:val="5B25ACE2"/>
    <w:multiLevelType w:val="hybridMultilevel"/>
    <w:lvl w:ilvl="0">
      <w:lvlJc w:val="left"/>
      <w:lvlText w:val="(%1)"/>
      <w:numFmt w:val="lowerLetter"/>
      <w:start w:val="4"/>
    </w:lvl>
  </w:abstractNum>
  <w:abstractNum w:abstractNumId="110">
    <w:nsid w:val="175DFCF0"/>
    <w:multiLevelType w:val="hybridMultilevel"/>
    <w:lvl w:ilvl="0">
      <w:lvlJc w:val="left"/>
      <w:lvlText w:val="(%1)"/>
      <w:numFmt w:val="lowerLetter"/>
      <w:start w:val="6"/>
    </w:lvl>
  </w:abstractNum>
  <w:abstractNum w:abstractNumId="111">
    <w:nsid w:val="4F97E3E4"/>
    <w:multiLevelType w:val="hybridMultilevel"/>
    <w:lvl w:ilvl="0">
      <w:lvlJc w:val="left"/>
      <w:lvlText w:val="(%1)"/>
      <w:numFmt w:val="lowerLetter"/>
      <w:start w:val="2"/>
    </w:lvl>
  </w:abstractNum>
  <w:abstractNum w:abstractNumId="112">
    <w:nsid w:val="53B0A9E"/>
    <w:multiLevelType w:val="hybridMultilevel"/>
    <w:lvl w:ilvl="0">
      <w:lvlJc w:val="left"/>
      <w:lvlText w:val="%1."/>
      <w:numFmt w:val="decimal"/>
      <w:start w:val="1"/>
    </w:lvl>
    <w:lvl w:ilvl="1">
      <w:lvlJc w:val="left"/>
      <w:lvlText w:val="(%2)"/>
      <w:numFmt w:val="lowerLetter"/>
      <w:start w:val="1"/>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1"/>
    </w:lvl>
  </w:abstractNum>
  <w:abstractNum w:abstractNumId="116">
    <w:nsid w:val="519E3149"/>
    <w:multiLevelType w:val="hybridMultilevel"/>
    <w:lvl w:ilvl="0">
      <w:lvlJc w:val="left"/>
      <w:lvlText w:val="%1."/>
      <w:numFmt w:val="decimal"/>
      <w:start w:val="1"/>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lowerRoman"/>
      <w:start w:val="2"/>
    </w:lvl>
  </w:abstractNum>
  <w:abstractNum w:abstractNumId="119">
    <w:nsid w:val="4DF72E4E"/>
    <w:multiLevelType w:val="hybridMultilevel"/>
    <w:lvl w:ilvl="0">
      <w:lvlJc w:val="left"/>
      <w:lvlText w:val="%1."/>
      <w:numFmt w:val="decimal"/>
      <w:start w:val="1"/>
    </w:lvl>
  </w:abstractNum>
  <w:abstractNum w:abstractNumId="120">
    <w:nsid w:val="5046B5A9"/>
    <w:multiLevelType w:val="hybridMultilevel"/>
    <w:lvl w:ilvl="0">
      <w:lvlJc w:val="left"/>
      <w:lvlText w:val="%1."/>
      <w:numFmt w:val="decimal"/>
      <w:start w:val="6"/>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1."/>
      <w:numFmt w:val="decimal"/>
      <w:start w:val="2"/>
    </w:lvl>
  </w:abstractNum>
  <w:abstractNum w:abstractNumId="123">
    <w:nsid w:val="5EC6AFD4"/>
    <w:multiLevelType w:val="hybridMultilevel"/>
    <w:lvl w:ilvl="0">
      <w:lvlJc w:val="left"/>
      <w:lvlText w:val="%1"/>
      <w:numFmt w:val="lowerRoman"/>
      <w:start w:val="1"/>
    </w:lvl>
    <w:lvl w:ilvl="1">
      <w:lvlJc w:val="left"/>
      <w:lvlText w:val="%2."/>
      <w:numFmt w:val="decimal"/>
      <w:start w:val="2"/>
    </w:lvl>
  </w:abstractNum>
  <w:abstractNum w:abstractNumId="124">
    <w:nsid w:val="19E21BB2"/>
    <w:multiLevelType w:val="hybridMultilevel"/>
    <w:lvl w:ilvl="0">
      <w:lvlJc w:val="left"/>
      <w:lvlText w:val="(%1)"/>
      <w:numFmt w:val="lowerRoman"/>
      <w:start w:val="2"/>
    </w:lvl>
    <w:lvl w:ilvl="1">
      <w:lvlJc w:val="left"/>
      <w:lvlText w:val="%2."/>
      <w:numFmt w:val="decimal"/>
      <w:start w:val="4"/>
    </w:lvl>
  </w:abstractNum>
  <w:abstractNum w:abstractNumId="125">
    <w:nsid w:val="75E0858A"/>
    <w:multiLevelType w:val="hybridMultilevel"/>
    <w:lvl w:ilvl="0">
      <w:lvlJc w:val="left"/>
      <w:lvlText w:val="(%1)"/>
      <w:numFmt w:val="lowerRoman"/>
      <w:start w:val="5"/>
    </w:lvl>
    <w:lvl w:ilvl="1">
      <w:lvlJc w:val="left"/>
      <w:lvlText w:val="%2."/>
      <w:numFmt w:val="decimal"/>
      <w:start w:val="5"/>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1."/>
      <w:numFmt w:val="decimal"/>
      <w:start w:val="4"/>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decimal"/>
      <w:start w:val="5"/>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lowerLetter"/>
      <w:start w:val="1"/>
    </w:lvl>
  </w:abstractNum>
  <w:abstractNum w:abstractNumId="134">
    <w:nsid w:val="BFFAE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2019-12-11T00:18:32Z</dcterms:created>
  <dcterms:modified xsi:type="dcterms:W3CDTF">2019-12-11T00:18:32Z</dcterms:modified>
</cp:coreProperties>
</file>