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Sections 13 or 15(d) of the Securities Exchange Act of 1934</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Date of Report (Date of earliest event reported):  August 1, 2024</w:t>
      </w:r>
      <w:r>
        <w:rPr>
          <w:color w:val="000000"/>
        </w:rPr>
        <w:t xml:space="preserve"> </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EXLSERVICE HOLDINGS,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tbl>
      <w:tblPr>
        <w:tblW w:w="5953" w:type="dxa"/>
        <w:jc w:val="left"/>
        <w:tblInd w:w="0" w:type="dxa"/>
        <w:tblLayout w:type="fixed"/>
        <w:tblCellMar>
          <w:top w:w="28" w:type="dxa"/>
          <w:left w:w="28" w:type="dxa"/>
          <w:bottom w:w="28" w:type="dxa"/>
          <w:right w:w="28" w:type="dxa"/>
        </w:tblCellMar>
      </w:tblPr>
      <w:tblGrid>
        <w:gridCol w:w="877"/>
        <w:gridCol w:w="773"/>
        <w:gridCol w:w="779"/>
        <w:gridCol w:w="687"/>
        <w:gridCol w:w="687"/>
        <w:gridCol w:w="695"/>
        <w:gridCol w:w="424"/>
        <w:gridCol w:w="424"/>
        <w:gridCol w:w="607"/>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001-33089</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82-0572194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br/>
              <w:t>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before="0" w:after="0"/>
        <w:jc w:val="left"/>
        <w:rPr/>
      </w:pPr>
      <w:r>
        <w:rPr/>
      </w:r>
    </w:p>
    <w:tbl>
      <w:tblPr>
        <w:tblW w:w="4134" w:type="dxa"/>
        <w:jc w:val="center"/>
        <w:tblInd w:w="0" w:type="dxa"/>
        <w:tblLayout w:type="fixed"/>
        <w:tblCellMar>
          <w:top w:w="28" w:type="dxa"/>
          <w:left w:w="28" w:type="dxa"/>
          <w:bottom w:w="28" w:type="dxa"/>
          <w:right w:w="28" w:type="dxa"/>
        </w:tblCellMar>
      </w:tblPr>
      <w:tblGrid>
        <w:gridCol w:w="124"/>
        <w:gridCol w:w="109"/>
        <w:gridCol w:w="109"/>
        <w:gridCol w:w="596"/>
        <w:gridCol w:w="596"/>
        <w:gridCol w:w="599"/>
        <w:gridCol w:w="371"/>
        <w:gridCol w:w="371"/>
        <w:gridCol w:w="374"/>
        <w:gridCol w:w="259"/>
        <w:gridCol w:w="259"/>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 xml:space="preserve">320 Park Avenue,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29th Floor,</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New York,</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New York</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Registrant’s telephone number, including area code:</w:t>
      </w:r>
      <w:r>
        <w:rPr>
          <w:color w:val="000000"/>
        </w:rPr>
        <w:t>  </w:t>
      </w:r>
      <w:r>
        <w:rPr>
          <w:rFonts w:ascii="Times New Roman;sans-serif" w:hAnsi="Times New Roman;sans-serif"/>
          <w:b/>
          <w:color w:val="000000"/>
          <w:sz w:val="18"/>
        </w:rPr>
        <w:t xml:space="preserve">(212) 277-7100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address, if changed since last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5"/>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8234" w:type="dxa"/>
        <w:jc w:val="center"/>
        <w:tblInd w:w="0" w:type="dxa"/>
        <w:tblLayout w:type="fixed"/>
        <w:tblCellMar>
          <w:top w:w="28" w:type="dxa"/>
          <w:left w:w="28" w:type="dxa"/>
          <w:bottom w:w="28" w:type="dxa"/>
          <w:right w:w="28" w:type="dxa"/>
        </w:tblCellMar>
      </w:tblPr>
      <w:tblGrid>
        <w:gridCol w:w="1159"/>
        <w:gridCol w:w="1018"/>
        <w:gridCol w:w="1018"/>
        <w:gridCol w:w="520"/>
        <w:gridCol w:w="520"/>
        <w:gridCol w:w="520"/>
        <w:gridCol w:w="1019"/>
        <w:gridCol w:w="1019"/>
        <w:gridCol w:w="1441"/>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234"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w:t>
            </w:r>
          </w:p>
        </w:tc>
        <w:tc>
          <w:tcPr>
            <w:tcW w:w="15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EXLS</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ans-serif" w:hAnsi="Times New Roman;sans-serif"/>
          <w:b/>
          <w:color w:val="000000"/>
          <w:sz w:val="20"/>
        </w:rPr>
        <w:t xml:space="preserve">Item 2.02. </w:t>
      </w:r>
      <w:r>
        <w:rPr>
          <w:rFonts w:ascii="Times New Roman;sans-serif" w:hAnsi="Times New Roman;sans-serif"/>
          <w:b/>
          <w:color w:val="000000"/>
          <w:sz w:val="20"/>
          <w:shd w:fill="FFFFFF" w:val="clear"/>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August 1, 2024, ExlService Holdings, Inc. (the “Company”) reported its results of operations for the three months ended June 30, 2024.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pStyle w:val="TextBody"/>
        <w:bidi w:val="0"/>
        <w:spacing w:before="0" w:after="0"/>
        <w:ind w:left="0" w:right="0" w:firstLine="720"/>
        <w:jc w:val="both"/>
        <w:rPr/>
      </w:pPr>
      <w:r>
        <w:rPr/>
      </w:r>
    </w:p>
    <w:p>
      <w:pPr>
        <w:pStyle w:val="TextBody"/>
        <w:bidi w:val="0"/>
        <w:spacing w:lineRule="auto" w:line="328" w:before="0" w:after="0"/>
        <w:ind w:left="0" w:right="0" w:hanging="990"/>
        <w:jc w:val="left"/>
        <w:rPr>
          <w:color w:val="000000"/>
        </w:rPr>
      </w:pPr>
      <w:r>
        <w:rPr>
          <w:color w:val="000000"/>
        </w:rPr>
        <w:t> </w:t>
      </w: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1782"/>
        <w:gridCol w:w="1782"/>
        <w:gridCol w:w="1787"/>
        <w:gridCol w:w="538"/>
        <w:gridCol w:w="538"/>
        <w:gridCol w:w="538"/>
        <w:gridCol w:w="538"/>
        <w:gridCol w:w="538"/>
        <w:gridCol w:w="770"/>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lq224pressrelease.htm">
              <w:r>
                <w:rPr>
                  <w:rStyle w:val="InternetLink"/>
                  <w:rFonts w:ascii="Times New Roman;sans-serif" w:hAnsi="Times New Roman;sans-serif"/>
                  <w:b w:val="false"/>
                  <w:color w:val="0000FF"/>
                  <w:sz w:val="20"/>
                  <w:u w:val="single"/>
                </w:rPr>
                <w:t>Press Release, dated August 1, 2024 (furnished pursuant to Item 2.02).</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248" w:type="dxa"/>
        <w:jc w:val="left"/>
        <w:tblInd w:w="0" w:type="dxa"/>
        <w:tblLayout w:type="fixed"/>
        <w:tblCellMar>
          <w:top w:w="28" w:type="dxa"/>
          <w:left w:w="28" w:type="dxa"/>
          <w:bottom w:w="28" w:type="dxa"/>
          <w:right w:w="28" w:type="dxa"/>
        </w:tblCellMar>
      </w:tblPr>
      <w:tblGrid>
        <w:gridCol w:w="493"/>
        <w:gridCol w:w="435"/>
        <w:gridCol w:w="437"/>
        <w:gridCol w:w="463"/>
        <w:gridCol w:w="463"/>
        <w:gridCol w:w="463"/>
        <w:gridCol w:w="1024"/>
        <w:gridCol w:w="1024"/>
        <w:gridCol w:w="144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2024</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Ajay Ayyappan</w:t>
            </w:r>
          </w:p>
        </w:tc>
      </w:tr>
      <w:tr>
        <w:trPr/>
        <w:tc>
          <w:tcPr>
            <w:tcW w:w="1365"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2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Ayyappan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bidi w:val="0"/>
        <w:ind w:left="0" w:right="0" w:hanging="28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140" w:after="283"/>
        <w:jc w:val="left"/>
        <w:rPr/>
      </w:pPr>
      <w:r>
        <w:rPr/>
      </w:r>
    </w:p>
    <w:p>
      <w:pPr>
        <w:pStyle w:val="TextBody"/>
        <w:bidi w:val="0"/>
        <w:spacing w:before="140"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EXL REPORTS 2024 SECOND QUARTER RESULTS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4"/>
        </w:rPr>
      </w:pPr>
      <w:r>
        <w:rPr>
          <w:rFonts w:ascii="Times New Roman;sans-serif" w:hAnsi="Times New Roman;sans-serif"/>
          <w:b/>
          <w:i/>
          <w:color w:val="000000"/>
          <w:sz w:val="24"/>
        </w:rPr>
        <w:t>2024 Second Quarter Revenue of $448.4 Million, up 10.7% year-over-year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4"/>
        </w:rPr>
      </w:pPr>
      <w:r>
        <w:rPr>
          <w:rFonts w:ascii="Times New Roman;sans-serif" w:hAnsi="Times New Roman;sans-serif"/>
          <w:b/>
          <w:i/>
          <w:color w:val="000000"/>
          <w:sz w:val="24"/>
        </w:rPr>
        <w:t>Q2 Diluted EPS (GAAP) of $0.28, down 4.1% from $0.29 in Q2 of 2023</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i/>
          <w:color w:val="000000"/>
          <w:sz w:val="24"/>
        </w:rPr>
        <w:t xml:space="preserve">Q2 Adjusted Diluted EPS (Non-GAAP) </w:t>
      </w:r>
      <w:r>
        <w:rPr>
          <w:rFonts w:ascii="Times New Roman;sans-serif" w:hAnsi="Times New Roman;sans-serif"/>
          <w:b/>
          <w:i/>
          <w:color w:val="000000"/>
          <w:sz w:val="16"/>
        </w:rPr>
        <w:t>(1) (2)</w:t>
      </w:r>
      <w:r>
        <w:rPr>
          <w:color w:val="000000"/>
        </w:rPr>
        <w:t xml:space="preserve"> </w:t>
      </w:r>
      <w:r>
        <w:rPr>
          <w:rFonts w:ascii="Times New Roman;sans-serif" w:hAnsi="Times New Roman;sans-serif"/>
          <w:b/>
          <w:i/>
          <w:color w:val="000000"/>
          <w:sz w:val="24"/>
        </w:rPr>
        <w:t>of $0.40, up 10.8% from $0.36 in Q2 of 2023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YORK – Aug. 1, 2024 (GLOBE NEWSWIRE) - ExlService Holdings, Inc. (Nasdaq: EXLS), a leading data analytics and digital operations and solutions company, today announced its financial results for the quarter ended June 30, 2024.</w:t>
      </w:r>
    </w:p>
    <w:p>
      <w:pPr>
        <w:pStyle w:val="TextBody"/>
        <w:bidi w:val="0"/>
        <w:spacing w:before="0" w:after="0"/>
        <w:jc w:val="left"/>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Rohit Kapoor, chairman and chief executive officer, said, “We are pleased with our second quarter results. We delivered both revenue and adjusted diluted EPS growth of 11%. The ongoing execution of our data and AI-led strategy enabled us to accelerate our growth rates across both our data analytics and digital operations and solutions businesses during the quarter as we continue our momentum heading into the second half of 2024.”</w:t>
      </w:r>
    </w:p>
    <w:p>
      <w:pPr>
        <w:pStyle w:val="TextBody"/>
        <w:bidi w:val="0"/>
        <w:spacing w:before="0" w:after="0"/>
        <w:jc w:val="left"/>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Maurizio Nicolelli, chief financial officer, said, “Based on our current visibility for the remainder of the year and the ITI Data acquisition, we are raising the full-year guidance range for revenue. We now expect revenue to be in the range of $1.805 billion to $1.830 billion, up from our prior guidance of $1.790 billion to $1.820 billion. This represents 11% to 12% year-over-year growth on both a reported and constant currency basis. We now expect our adjusted diluted earnings per share for 2024 to be in the range of $1.59 to $1.62, up from our prior guidance of $1.58 to $1.62, representing growth of 11% to 13% over the prior year.”</w:t>
      </w:r>
    </w:p>
    <w:p>
      <w:pPr>
        <w:pStyle w:val="TextBody"/>
        <w:bidi w:val="0"/>
        <w:spacing w:before="0" w:after="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lineRule="auto" w:line="336" w:before="100" w:after="100"/>
        <w:jc w:val="both"/>
        <w:rPr>
          <w:rFonts w:ascii="Times New Roman;sans-serif" w:hAnsi="Times New Roman;sans-serif"/>
          <w:b/>
          <w:i/>
          <w:color w:val="000000"/>
          <w:sz w:val="20"/>
        </w:rPr>
      </w:pPr>
      <w:r>
        <w:rPr>
          <w:rFonts w:ascii="Times New Roman;sans-serif" w:hAnsi="Times New Roman;sans-serif"/>
          <w:b/>
          <w:i/>
          <w:color w:val="000000"/>
          <w:sz w:val="20"/>
        </w:rPr>
        <w:t>__________________________________________________________</w:t>
      </w:r>
    </w:p>
    <w:p>
      <w:pPr>
        <w:pStyle w:val="TextBody"/>
        <w:bidi w:val="0"/>
        <w:spacing w:before="0" w:after="0"/>
        <w:jc w:val="left"/>
        <w:rPr/>
      </w:pPr>
      <w:r>
        <w:rPr/>
      </w:r>
    </w:p>
    <w:p>
      <w:pPr>
        <w:pStyle w:val="TextBody"/>
        <w:bidi w:val="0"/>
        <w:spacing w:lineRule="auto" w:line="288" w:before="0" w:after="0"/>
        <w:ind w:left="0" w:right="0" w:hanging="360"/>
        <w:jc w:val="both"/>
        <w:rPr>
          <w:rFonts w:ascii="Calibri;sans-serif" w:hAnsi="Calibri;sans-serif"/>
          <w:b w:val="false"/>
          <w:color w:val="000000"/>
          <w:sz w:val="16"/>
        </w:rPr>
      </w:pPr>
      <w:r>
        <w:rPr>
          <w:rFonts w:ascii="Calibri;sans-serif" w:hAnsi="Calibri;sans-serif"/>
          <w:b w:val="false"/>
          <w:color w:val="000000"/>
          <w:sz w:val="16"/>
        </w:rPr>
        <w:t>(1)Prior period information has been adjusted to reflect the 5-for-1 forward stock split of our common stock effected in August 2023. See Note 19 – Capital Structure to consolidated financial statements included in our Annual Report on Form 10-K for the year ended December 31, 2023, for further details.</w:t>
      </w:r>
    </w:p>
    <w:p>
      <w:pPr>
        <w:pStyle w:val="TextBody"/>
        <w:bidi w:val="0"/>
        <w:spacing w:lineRule="auto" w:line="288"/>
        <w:ind w:left="0" w:right="0" w:hanging="360"/>
        <w:jc w:val="both"/>
        <w:rPr>
          <w:rFonts w:ascii="Calibri;sans-serif" w:hAnsi="Calibri;sans-serif"/>
          <w:b w:val="false"/>
          <w:color w:val="000000"/>
          <w:sz w:val="16"/>
        </w:rPr>
      </w:pPr>
      <w:r>
        <w:rPr>
          <w:rFonts w:ascii="Calibri;sans-serif" w:hAnsi="Calibri;sans-serif"/>
          <w:b w:val="false"/>
          <w:color w:val="000000"/>
          <w:sz w:val="16"/>
        </w:rPr>
        <w:t>(2)Reconciliations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00" w:after="283"/>
        <w:jc w:val="both"/>
        <w:rPr>
          <w:rFonts w:ascii="Times New Roman;sans-serif" w:hAnsi="Times New Roman;sans-serif"/>
          <w:b/>
          <w:color w:val="000000"/>
          <w:sz w:val="20"/>
        </w:rPr>
      </w:pPr>
      <w:r>
        <w:rPr>
          <w:rFonts w:ascii="Times New Roman;sans-serif" w:hAnsi="Times New Roman;sans-serif"/>
          <w:b/>
          <w:color w:val="000000"/>
          <w:sz w:val="20"/>
        </w:rPr>
        <w:t>Financial Highlights: Second Quarter 2024</w:t>
      </w:r>
    </w:p>
    <w:p>
      <w:pPr>
        <w:pStyle w:val="TextBody"/>
        <w:bidi w:val="0"/>
        <w:spacing w:before="100" w:after="283"/>
        <w:jc w:val="both"/>
        <w:rPr/>
      </w:pPr>
      <w:r>
        <w:rPr/>
      </w:r>
    </w:p>
    <w:p>
      <w:pPr>
        <w:pStyle w:val="TextBody"/>
        <w:bidi w:val="0"/>
        <w:spacing w:lineRule="auto" w:line="345" w:before="0" w:after="0"/>
        <w:ind w:left="0" w:right="0" w:hanging="360"/>
        <w:jc w:val="both"/>
        <w:rPr/>
      </w:pPr>
      <w:r>
        <w:rPr>
          <w:color w:val="000000"/>
        </w:rPr>
        <w:t>•</w:t>
      </w:r>
      <w:r>
        <w:rPr>
          <w:rFonts w:ascii="Times New Roman;sans-serif" w:hAnsi="Times New Roman;sans-serif"/>
          <w:b w:val="false"/>
          <w:color w:val="000000"/>
          <w:sz w:val="20"/>
        </w:rPr>
        <w:t>Revenue for the quarter ended June 30, 2024 increased to $448.4 million compared to $405.0 million for the second quarter of 2023, an increase of 10.7% on a reported basis and 10.8% on a constant currency basis. Revenue increased by 2.7% sequentially on a reported basis and 2.8% on a constant currency basis, from the first quarter of 2024.</w:t>
      </w:r>
    </w:p>
    <w:tbl>
      <w:tblPr>
        <w:tblW w:w="10205" w:type="dxa"/>
        <w:jc w:val="left"/>
        <w:tblInd w:w="0" w:type="dxa"/>
        <w:tblLayout w:type="fixed"/>
        <w:tblCellMar>
          <w:top w:w="28" w:type="dxa"/>
          <w:left w:w="28" w:type="dxa"/>
          <w:bottom w:w="28" w:type="dxa"/>
          <w:right w:w="28" w:type="dxa"/>
        </w:tblCellMar>
      </w:tblPr>
      <w:tblGrid>
        <w:gridCol w:w="545"/>
        <w:gridCol w:w="480"/>
        <w:gridCol w:w="481"/>
        <w:gridCol w:w="109"/>
        <w:gridCol w:w="109"/>
        <w:gridCol w:w="109"/>
        <w:gridCol w:w="241"/>
        <w:gridCol w:w="723"/>
        <w:gridCol w:w="124"/>
        <w:gridCol w:w="109"/>
        <w:gridCol w:w="109"/>
        <w:gridCol w:w="109"/>
        <w:gridCol w:w="241"/>
        <w:gridCol w:w="723"/>
        <w:gridCol w:w="124"/>
        <w:gridCol w:w="109"/>
        <w:gridCol w:w="109"/>
        <w:gridCol w:w="109"/>
        <w:gridCol w:w="262"/>
        <w:gridCol w:w="784"/>
        <w:gridCol w:w="134"/>
        <w:gridCol w:w="109"/>
        <w:gridCol w:w="109"/>
        <w:gridCol w:w="109"/>
        <w:gridCol w:w="262"/>
        <w:gridCol w:w="264"/>
        <w:gridCol w:w="552"/>
        <w:gridCol w:w="109"/>
        <w:gridCol w:w="109"/>
        <w:gridCol w:w="109"/>
        <w:gridCol w:w="262"/>
        <w:gridCol w:w="264"/>
        <w:gridCol w:w="552"/>
        <w:gridCol w:w="109"/>
        <w:gridCol w:w="109"/>
        <w:gridCol w:w="109"/>
        <w:gridCol w:w="263"/>
        <w:gridCol w:w="263"/>
        <w:gridCol w:w="699"/>
      </w:tblGrid>
      <w:tr>
        <w:trPr/>
        <w:tc>
          <w:tcPr>
            <w:tcW w:w="5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Margin</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80"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78"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448.4</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405.0</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436.5</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37.1</w:t>
            </w:r>
            <w:r>
              <w:rPr>
                <w:color w:val="000000"/>
              </w:rPr>
              <w:t>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37.5</w:t>
            </w:r>
            <w:r>
              <w:rPr>
                <w:color w:val="000000"/>
              </w:rPr>
              <w:t>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37.4</w:t>
            </w:r>
            <w:r>
              <w:rPr>
                <w:color w:val="000000"/>
              </w:rPr>
              <w:t>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140" w:after="283"/>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Operating income margin for the quarter ended June 30, 2024, was 13.7%, compared to 16.0% for the second quarter of 2023 and 14.1% for the first quarter of 2024. Adjusted operating income margin for the quarter ended June 30, 2024, was 19.8%, compared to 20.0% for the second quarter of 2023 and 18.9% for the first quarter of 2024.</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Diluted earnings per share for the quarter ended June 30, 2024, was $0.28, compared to $0.29, both, for the second quarter of 2023 and first quarter of 2024. Adjusted diluted earnings per share for the quarter ended June 30, 2024, was $0.40, compared to $0.36 for the second quarter of 2023 and $0.38 for the first quarter of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Business Highlights: Second Quarter 2024</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Won 23 new clients in the second quarter of 2024, with 10 clients in digital operations and solutions business and 13 clients in analytics.</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Established a strategic collaboration with NVIDIA to create domain-trained, enterprise-wide data and AI applications for insurance, healthcare, banking, retail and other industries.</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Announced the acquisition of ITI Data, a data management solutions firm that works with the world’s largest banks, financial services and healthcare companies. This acquisition is expected to add $7 million to $9 million in revenue for the remainder of 2024 and be neutral to adjusted diluted EPS.</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EXL celebrated its 25th anniversary, marking the event by ringing the opening bell at Nasdaq.</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04" w:before="0" w:after="0"/>
        <w:jc w:val="both"/>
        <w:rPr>
          <w:rFonts w:ascii="Times New Roman;sans-serif" w:hAnsi="Times New Roman;sans-serif"/>
          <w:b/>
          <w:color w:val="000000"/>
          <w:sz w:val="20"/>
        </w:rPr>
      </w:pPr>
      <w:r>
        <w:rPr>
          <w:rFonts w:ascii="Times New Roman;sans-serif" w:hAnsi="Times New Roman;sans-serif"/>
          <w:b/>
          <w:color w:val="000000"/>
          <w:sz w:val="20"/>
        </w:rPr>
        <w:t>2024 Guidance</w:t>
      </w:r>
    </w:p>
    <w:p>
      <w:pPr>
        <w:pStyle w:val="TextBody"/>
        <w:bidi w:val="0"/>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current visibility, and a U.S. dollar to Indian rupee exchange rate of 83.5, U.K. pound sterling to U.S. dollar exchange rate of 1.27, U.S. dollar to the Philippine peso exchange rate of 58.5 and all other currencies at current exchange rates, we are providing the following guidance for the full year 2024:</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ans-serif" w:hAnsi="Times New Roman;sans-serif"/>
          <w:b w:val="false"/>
          <w:color w:val="000000"/>
          <w:sz w:val="20"/>
        </w:rPr>
        <w:t>Revenue of $1.805 billion to $1.830 billion, representing an increase of 11% to 12% on both a reported and constant currency basis from 2023.</w:t>
      </w:r>
    </w:p>
    <w:p>
      <w:pPr>
        <w:pStyle w:val="TextBody"/>
        <w:bidi w:val="0"/>
        <w:spacing w:before="0" w:after="0"/>
        <w:jc w:val="left"/>
        <w:rPr/>
      </w:pPr>
      <w:r>
        <w:rPr/>
      </w:r>
    </w:p>
    <w:p>
      <w:pPr>
        <w:pStyle w:val="TextBody"/>
        <w:bidi w:val="0"/>
        <w:spacing w:lineRule="auto" w:line="345" w:before="0" w:after="0"/>
        <w:ind w:left="0" w:right="0" w:hanging="360"/>
        <w:jc w:val="both"/>
        <w:rPr>
          <w:color w:val="000000"/>
        </w:rPr>
      </w:pPr>
      <w:r>
        <w:rPr>
          <w:color w:val="000000"/>
        </w:rPr>
        <w:t>•    </w:t>
      </w:r>
      <w:r>
        <w:rPr>
          <w:rFonts w:ascii="Times New Roman;sans-serif" w:hAnsi="Times New Roman;sans-serif"/>
          <w:b w:val="false"/>
          <w:color w:val="000000"/>
          <w:sz w:val="20"/>
        </w:rPr>
        <w:t>Adjusted diluted earnings per share of $1.59 to $1.62, representing an increase of 11% to 13% from 2023.</w:t>
      </w:r>
    </w:p>
    <w:p>
      <w:pPr>
        <w:pStyle w:val="TextBody"/>
        <w:bidi w:val="0"/>
        <w:spacing w:before="0" w:after="0"/>
        <w:ind w:left="0" w:right="0" w:firstLine="135"/>
        <w:jc w:val="left"/>
        <w:rPr/>
      </w:pPr>
      <w:r>
        <w:rPr/>
      </w:r>
    </w:p>
    <w:p>
      <w:pPr>
        <w:pStyle w:val="TextBody"/>
        <w:bidi w:val="0"/>
        <w:spacing w:lineRule="auto" w:line="345"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Conference Call</w:t>
      </w:r>
    </w:p>
    <w:p>
      <w:pPr>
        <w:pStyle w:val="TextBody"/>
        <w:bidi w:val="0"/>
        <w:spacing w:before="0" w:after="0"/>
        <w:jc w:val="both"/>
        <w:rPr/>
      </w:pPr>
      <w:r>
        <w:rPr/>
      </w:r>
    </w:p>
    <w:p>
      <w:pPr>
        <w:pStyle w:val="TextBody"/>
        <w:bidi w:val="0"/>
        <w:spacing w:lineRule="auto" w:line="345" w:before="0" w:after="0"/>
        <w:jc w:val="both"/>
        <w:rPr/>
      </w:pPr>
      <w:r>
        <w:rPr>
          <w:rFonts w:ascii="Times New Roman;sans-serif" w:hAnsi="Times New Roman;sans-serif"/>
          <w:b w:val="false"/>
          <w:color w:val="000000"/>
          <w:sz w:val="20"/>
        </w:rPr>
        <w:t xml:space="preserve">ExlService Holdings, Inc. will host a conference call on Thursday, Aug. 1, 2024, at 10:00 A.M. ET to discuss the Company’s quarterly operating and financial results. The conference call will be available live via the internet by accessing the investor relations section of EXL’s website at </w:t>
      </w:r>
      <w:r>
        <w:rPr>
          <w:rFonts w:ascii="Times New Roman;sans-serif" w:hAnsi="Times New Roman;sans-serif"/>
          <w:b w:val="false"/>
          <w:color w:val="0000FF"/>
          <w:sz w:val="20"/>
          <w:u w:val="single"/>
        </w:rPr>
        <w:t>ir.exlservice.com</w:t>
      </w:r>
      <w:r>
        <w:rPr>
          <w:rFonts w:ascii="Times New Roman;sans-serif" w:hAnsi="Times New Roman;sans-serif"/>
          <w:b w:val="false"/>
          <w:color w:val="000000"/>
          <w:sz w:val="20"/>
        </w:rPr>
        <w:t>, where an accompanying investor-friendly spreadsheet of historical operating and financial data can also be accessed. Please access the website at least fifteen minutes prior to the call to register, download and install any necessary audio software.</w:t>
      </w:r>
    </w:p>
    <w:p>
      <w:pPr>
        <w:pStyle w:val="TextBody"/>
        <w:bidi w:val="0"/>
        <w:spacing w:before="0" w:after="0"/>
        <w:jc w:val="both"/>
        <w:rPr/>
      </w:pPr>
      <w:r>
        <w:rPr/>
      </w:r>
    </w:p>
    <w:p>
      <w:pPr>
        <w:pStyle w:val="TextBody"/>
        <w:bidi w:val="0"/>
        <w:spacing w:lineRule="auto" w:line="345"/>
        <w:jc w:val="both"/>
        <w:rPr/>
      </w:pPr>
      <w:r>
        <w:rPr>
          <w:rFonts w:ascii="Times New Roman;sans-serif" w:hAnsi="Times New Roman;sans-serif"/>
          <w:b w:val="false"/>
          <w:color w:val="000000"/>
          <w:sz w:val="20"/>
        </w:rPr>
        <w:t xml:space="preserve">Please note that there is a new system to access the live call-in order to ask questions. To join the live call, please register </w:t>
      </w:r>
      <w:r>
        <w:rPr>
          <w:rFonts w:ascii="Times New Roman;sans-serif" w:hAnsi="Times New Roman;sans-serif"/>
          <w:b w:val="false"/>
          <w:color w:val="0000FF"/>
          <w:sz w:val="20"/>
          <w:u w:val="single"/>
        </w:rPr>
        <w:t>here</w:t>
      </w:r>
      <w:r>
        <w:rPr>
          <w:rFonts w:ascii="Times New Roman;sans-serif" w:hAnsi="Times New Roman;sans-serif"/>
          <w:b w:val="false"/>
          <w:color w:val="0000FF"/>
          <w:sz w:val="20"/>
        </w:rPr>
        <w:t xml:space="preserve">. </w:t>
      </w:r>
      <w:r>
        <w:rPr>
          <w:rFonts w:ascii="Times New Roman;sans-serif" w:hAnsi="Times New Roman;sans-serif"/>
          <w:b w:val="false"/>
          <w:color w:val="000000"/>
          <w:sz w:val="20"/>
        </w:rPr>
        <w:t xml:space="preserve">A dial-in and unique PIN will be provided to join the call. For those who cannot access the live broadcast, a replay will be available on the EXL website </w:t>
      </w:r>
      <w:r>
        <w:rPr>
          <w:rFonts w:ascii="Times New Roman;sans-serif" w:hAnsi="Times New Roman;sans-serif"/>
          <w:b w:val="false"/>
          <w:color w:val="0000FF"/>
          <w:sz w:val="20"/>
          <w:u w:val="single"/>
        </w:rPr>
        <w:t>ir.exlservice.com</w:t>
      </w:r>
      <w:r>
        <w:rPr>
          <w:color w:val="000000"/>
        </w:rPr>
        <w:t xml:space="preserve"> </w:t>
      </w:r>
      <w:r>
        <w:rPr>
          <w:rFonts w:ascii="Times New Roman;sans-serif" w:hAnsi="Times New Roman;sans-serif"/>
          <w:b w:val="false"/>
          <w:color w:val="000000"/>
          <w:sz w:val="20"/>
        </w:rPr>
        <w:t>for a period of twelve months.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About ExlService Holdings, Inc.</w:t>
      </w:r>
    </w:p>
    <w:p>
      <w:pPr>
        <w:pStyle w:val="TextBody"/>
        <w:bidi w:val="0"/>
        <w:spacing w:lineRule="auto" w:line="417" w:before="120" w:after="283"/>
        <w:jc w:val="both"/>
        <w:rPr/>
      </w:pPr>
      <w:r>
        <w:rPr>
          <w:rFonts w:ascii="Times New Roman;sans-serif" w:hAnsi="Times New Roman;sans-serif"/>
          <w:b w:val="false"/>
          <w:color w:val="000000"/>
          <w:sz w:val="20"/>
        </w:rPr>
        <w:t xml:space="preserve">EXL (Nasdaq: EXLS) is a leading data analytics and digital operations and solutions company. We partner with clients using a data and AI-led approach to reinvent business models, drive better business outcomes and unlock growth with speed. EXL harnesses the power of data, analytics, AI, and deep 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55,000 employees spanning six continents. For more information, visit </w:t>
      </w:r>
      <w:r>
        <w:rPr>
          <w:rFonts w:ascii="Times New Roman;sans-serif" w:hAnsi="Times New Roman;sans-serif"/>
          <w:b w:val="false"/>
          <w:color w:val="0000FF"/>
          <w:sz w:val="20"/>
          <w:u w:val="single"/>
        </w:rPr>
        <w:t>www.exlservice.com.</w:t>
      </w:r>
    </w:p>
    <w:p>
      <w:pPr>
        <w:pStyle w:val="TextBody"/>
        <w:bidi w:val="0"/>
        <w:spacing w:before="0" w:after="0"/>
        <w:jc w:val="both"/>
        <w:rPr/>
      </w:pPr>
      <w:r>
        <w:rPr/>
      </w:r>
    </w:p>
    <w:p>
      <w:pPr>
        <w:pStyle w:val="TextBody"/>
        <w:bidi w:val="0"/>
        <w:spacing w:lineRule="auto" w:line="345" w:before="120" w:after="283"/>
        <w:jc w:val="both"/>
        <w:rPr/>
      </w:pPr>
      <w:r>
        <w:rPr>
          <w:rFonts w:ascii="Times New Roman;sans-serif" w:hAnsi="Times New Roman;sans-serif"/>
          <w:b/>
          <w:color w:val="000000"/>
          <w:sz w:val="20"/>
        </w:rPr>
        <w:t>Cautionary Statement Regarding Forward-Looking Statements</w:t>
      </w:r>
      <w:r>
        <w:rPr>
          <w:color w:val="000000"/>
        </w:rPr>
        <w:t xml:space="preserve"> </w:t>
      </w:r>
      <w:r>
        <w:rPr>
          <w:rFonts w:ascii="Times New Roman;sans-serif" w:hAnsi="Times New Roman;sans-serif"/>
          <w:b w:val="false"/>
          <w:i/>
          <w:color w:val="000000"/>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recessionary economic trends, and ability to successfully integrate strategic acquisitions,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722"/>
        <w:gridCol w:w="1150"/>
        <w:gridCol w:w="1125"/>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37"/>
        <w:gridCol w:w="949"/>
        <w:gridCol w:w="156"/>
      </w:tblGrid>
      <w:tr>
        <w:trPr/>
        <w:tc>
          <w:tcPr>
            <w:tcW w:w="1722"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805,639 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revenues </w:t>
            </w:r>
            <w:r>
              <w:rPr>
                <w:rFonts w:ascii="Times New Roman;sans-serif" w:hAnsi="Times New Roman;sans-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504,689 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Gross profit </w:t>
            </w:r>
            <w:r>
              <w:rPr>
                <w:rFonts w:ascii="Times New Roman;sans-serif" w:hAnsi="Times New Roman;sans-serif"/>
                <w:b/>
                <w:color w:val="000000"/>
                <w:sz w:val="13"/>
              </w:rPr>
              <w:t>(1)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166,260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151,776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329,343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300,950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206,370 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61,449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64,811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122,973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124,259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64,556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122,251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123,879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49,002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100,267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from equity-method investment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ExlService Holdings, Inc. stockholders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49,068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94,588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100,399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attributable to ExlService Holdings, Inc. stockholders:</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used in computing earnings per share attributable to ExlService Holdings, Inc. stockholders: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162,794,138 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166,776,770 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163,938,263 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166,986,130 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163,961,754 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168,442,245 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165,344,304 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169,047,775 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27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Exclusive of depreciation and amortization expense.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639"/>
        <w:gridCol w:w="2065"/>
        <w:gridCol w:w="2098"/>
        <w:gridCol w:w="109"/>
        <w:gridCol w:w="109"/>
        <w:gridCol w:w="109"/>
        <w:gridCol w:w="211"/>
        <w:gridCol w:w="991"/>
        <w:gridCol w:w="109"/>
        <w:gridCol w:w="109"/>
        <w:gridCol w:w="109"/>
        <w:gridCol w:w="109"/>
        <w:gridCol w:w="223"/>
        <w:gridCol w:w="1050"/>
        <w:gridCol w:w="165"/>
      </w:tblGrid>
      <w:tr>
        <w:trPr/>
        <w:tc>
          <w:tcPr>
            <w:tcW w:w="2639"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76,669 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703,712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679,673</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1,503,767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1,441,972</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286,862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326,403</w:t>
            </w:r>
            <w:r>
              <w:rPr>
                <w:color w:val="000000"/>
              </w:rPr>
              <w:t>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borrowings,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651,161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552,535</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ExlService Holdings, Inc.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15,000,000 shares authorized, none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400,000,000 shares authorized, 204,783,113 shares issued and 162,176,382 shares outstanding as of June 30, 2024 and 203,410,038 shares issued and 165,277,880 shares 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508,028 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1,083,663 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(127,040)</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including shares held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1,563,269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1,464,854</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42,606,731 shares as of June 30, 2024 and 38,132,158 shares as of December 31, 2023, held in treasury,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(575,417)</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852,606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889,437</w:t>
            </w:r>
            <w:r>
              <w:rPr>
                <w:color w:val="000000"/>
              </w:rPr>
              <w:t>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1,503,767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1,441,972</w:t>
            </w:r>
            <w:r>
              <w:rPr>
                <w:color w:val="000000"/>
              </w:rPr>
              <w:t>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4"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44" w:after="283"/>
        <w:jc w:val="center"/>
        <w:rPr>
          <w:rFonts w:ascii="Times New Roman;sans-serif" w:hAnsi="Times New Roman;sans-serif"/>
          <w:b/>
          <w:color w:val="000000"/>
          <w:sz w:val="20"/>
        </w:rPr>
      </w:pPr>
      <w:r>
        <w:rPr>
          <w:rFonts w:ascii="Times New Roman;sans-serif" w:hAnsi="Times New Roman;sans-serif"/>
          <w:b/>
          <w:color w:val="000000"/>
          <w:sz w:val="20"/>
        </w:rPr>
        <w:t>Reconciliation of Adjusted Financial Measures to GAAP Measures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reported operating results in accordance with U.S. generally accepted accounting principles (GAAP), EXL has included in this release certain financial measures that are considered non-GAAP financial measures, including the following: </w:t>
      </w:r>
    </w:p>
    <w:p>
      <w:pPr>
        <w:pStyle w:val="TextBody"/>
        <w:bidi w:val="0"/>
        <w:spacing w:lineRule="auto" w:line="417"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(i)Adjusted operating income and adjusted operating income margin;</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(ii)Adjusted EBITDA and adjusted EBITDA margin;</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(iii)Adjusted net income and adjusted diluted earnings per share; and</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(iv)Revenue growth on constant currency basis.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pStyle w:val="TextBody"/>
        <w:bidi w:val="0"/>
        <w:spacing w:before="0" w:after="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EXL non-GAAP financial measures exclude, where applicable, stock-based compensation expense, amortization of acquisition-related intangible assets, restructuring costs, litigation settlement costs and associated legal fees,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pStyle w:val="TextBody"/>
        <w:bidi w:val="0"/>
        <w:spacing w:before="0" w:after="0"/>
        <w:ind w:left="0" w:right="0" w:firstLine="450"/>
        <w:jc w:val="both"/>
        <w:rPr/>
      </w:pPr>
      <w:r>
        <w:rPr/>
      </w:r>
    </w:p>
    <w:p>
      <w:pPr>
        <w:pStyle w:val="TextBody"/>
        <w:bidi w:val="0"/>
        <w:spacing w:lineRule="auto" w:line="345"/>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EXL’s primary exchange rate exposure is with the Indian rupee, the Philippine peso, the U.K. pound sterling and the South African rand. The average exchange rate of the U.S. dollar against the Indian rupee increased from 82.20 during the quarter ended June 30, 2023 to 83.42 during the quarter ended June 30, 2024, representing a depreciation of 1.5% against the U.S. dollar. The average exchange rate of the U.S. dollar against the Philippine peso increased from 55.58 during the quarter ended June 30, 2023 to 58.29 during the quarter ended June 30, 2024, representing a depreciation of 4.9% against the U.S. dollar. The average exchange rate of the U.K. pound sterling against the U.S. dollar increased from 1.25 during the quarter ended June 30, 2023 to 1.26 during the quarter ended June 30, 2024, representing an appreciation of 0.8% against the U.S. dollar. The average exchange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rate of the U.S. dollar against the South African rand decreased from 19.02 during the quarter ended June 30, 2023 to 18.53 during the quarter ended June 30, 2024, representing an appreciation of 2.6% against the U.S. dollar.</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reconciliation of these non-GAAP financial measures for the three months ended June 30, 2024 and June 30, 2023, and the three months ended March 31,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Operating Income and Adjusted EBITDA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9779" w:type="dxa"/>
        <w:jc w:val="center"/>
        <w:tblInd w:w="0" w:type="dxa"/>
        <w:tblLayout w:type="fixed"/>
        <w:tblCellMar>
          <w:top w:w="28" w:type="dxa"/>
          <w:left w:w="28" w:type="dxa"/>
          <w:bottom w:w="28" w:type="dxa"/>
          <w:right w:w="28" w:type="dxa"/>
        </w:tblCellMar>
      </w:tblPr>
      <w:tblGrid>
        <w:gridCol w:w="1862"/>
        <w:gridCol w:w="1638"/>
        <w:gridCol w:w="1644"/>
        <w:gridCol w:w="109"/>
        <w:gridCol w:w="109"/>
        <w:gridCol w:w="109"/>
        <w:gridCol w:w="211"/>
        <w:gridCol w:w="736"/>
        <w:gridCol w:w="256"/>
        <w:gridCol w:w="109"/>
        <w:gridCol w:w="109"/>
        <w:gridCol w:w="109"/>
        <w:gridCol w:w="211"/>
        <w:gridCol w:w="736"/>
        <w:gridCol w:w="256"/>
        <w:gridCol w:w="109"/>
        <w:gridCol w:w="109"/>
        <w:gridCol w:w="109"/>
        <w:gridCol w:w="211"/>
        <w:gridCol w:w="736"/>
        <w:gridCol w:w="301"/>
      </w:tblGrid>
      <w:tr>
        <w:trPr/>
        <w:tc>
          <w:tcPr>
            <w:tcW w:w="186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45,825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49,068</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48,763</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add/(subtract): Foreign exchange gain, net, interest expense, </w:t>
              <w:br/>
              <w:t>gain/(loss) from equity-method investment and other income/(loss),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from operations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61,449</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64,811</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61,524</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Restructuring and litigation settlement costs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Other expenses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operating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88,795</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81,104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82,456</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 as a % of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18.9 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Depreciation on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98,628</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89,393</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91,722</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 as a % of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21.0 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before="0" w:after="0"/>
        <w:jc w:val="left"/>
        <w:rPr/>
      </w:pPr>
      <w:r>
        <w:rPr/>
      </w:r>
    </w:p>
    <w:p>
      <w:pPr>
        <w:pStyle w:val="TextBody"/>
        <w:bidi w:val="0"/>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(a) To exclude effects of employee severance costs and outplacement support costs of $4,762 and litigation settlement costs and associated legal fees of $1,412 during the three months ended June 30, 2024.</w:t>
      </w:r>
    </w:p>
    <w:p>
      <w:pPr>
        <w:pStyle w:val="TextBody"/>
        <w:bidi w:val="0"/>
        <w:spacing w:before="0" w:after="0"/>
        <w:ind w:left="0" w:right="0" w:hanging="270"/>
        <w:jc w:val="both"/>
        <w:rPr/>
      </w:pPr>
      <w:r>
        <w:rPr/>
      </w:r>
    </w:p>
    <w:p>
      <w:pPr>
        <w:pStyle w:val="TextBody"/>
        <w:bidi w:val="0"/>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(b) To exclude effects of lease termination of $578 during the three months ended June 30, 2023.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Net Income and Adjusted Diluted Earnings Per Share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data)</w:t>
      </w:r>
    </w:p>
    <w:tbl>
      <w:tblPr>
        <w:tblW w:w="9218" w:type="dxa"/>
        <w:jc w:val="center"/>
        <w:tblInd w:w="0" w:type="dxa"/>
        <w:tblLayout w:type="fixed"/>
        <w:tblCellMar>
          <w:top w:w="28" w:type="dxa"/>
          <w:left w:w="28" w:type="dxa"/>
          <w:bottom w:w="28" w:type="dxa"/>
          <w:right w:w="28" w:type="dxa"/>
        </w:tblCellMar>
      </w:tblPr>
      <w:tblGrid>
        <w:gridCol w:w="1818"/>
        <w:gridCol w:w="1599"/>
        <w:gridCol w:w="1607"/>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81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49,068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48,763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Restructuring and litigation settlement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Other expenses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Changes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stock-based compensation expense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restructuring and litigation settlement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Tax impact on changes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66,199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61,391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63,133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diluted earnings per share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0.40</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0.36</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0.38</w:t>
            </w: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(a) To exclude effects of employee severance costs and outplacement support costs of $4,762 and litigation settlement costs and associated legal fees of $1,412 during the three months ended June 30, 2024.</w:t>
      </w:r>
    </w:p>
    <w:p>
      <w:pPr>
        <w:pStyle w:val="TextBody"/>
        <w:bidi w:val="0"/>
        <w:spacing w:lineRule="auto" w:line="288" w:before="120" w:after="12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(b) To exclude effects of lease termination of $578 during the three months ended June 30, 2023.</w:t>
      </w:r>
    </w:p>
    <w:p>
      <w:pPr>
        <w:pStyle w:val="TextBody"/>
        <w:bidi w:val="0"/>
        <w:spacing w:lineRule="auto" w:line="288" w:before="120" w:after="12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(c) Tax impact includes $18 and $190 during the three months ended June 30, 2024 and 2023 respectively, and $7,523 during the three months ended March 31, 2024, related to discrete benefits recognized in income tax expense in accordance with ASU No. 2016-09, Compensation - Stock Compensation.</w:t>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Contacts: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Kristoff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Investor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+1 212 209 4613</w:t>
      </w:r>
    </w:p>
    <w:p>
      <w:pPr>
        <w:pStyle w:val="TextBody"/>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ir@exlservice.com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 - 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Keith Little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Assistant Vice President, Media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+1 703 598 0980</w:t>
      </w:r>
    </w:p>
    <w:p>
      <w:pPr>
        <w:pStyle w:val="TextBody"/>
        <w:bidi w:val="0"/>
        <w:spacing w:lineRule="auto" w:line="288"/>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media.relations@exlservice.com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3674</Words>
  <Characters>21090</Characters>
  <CharactersWithSpaces>24455</CharactersWithSpaces>
  <Paragraphs>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