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60" w:type="dxa"/>
            <w:vAlign w:val="bottom"/>
            <w:gridSpan w:val="7"/>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2"/>
                <w:szCs w:val="2"/>
                <w:color w:val="auto"/>
              </w:rPr>
            </w:pP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ind w:left="260"/>
              <w:spacing w:after="0" w:line="155" w:lineRule="exact"/>
              <w:rPr>
                <w:sz w:val="20"/>
                <w:szCs w:val="20"/>
                <w:color w:val="auto"/>
              </w:rPr>
            </w:pPr>
            <w:r>
              <w:rPr>
                <w:rFonts w:ascii="Arial" w:cs="Arial" w:eastAsia="Arial" w:hAnsi="Arial"/>
                <w:sz w:val="14"/>
                <w:szCs w:val="14"/>
                <w:color w:val="auto"/>
              </w:rPr>
              <w:t>Line)</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820" w:type="dxa"/>
            <w:vAlign w:val="bottom"/>
            <w:tcBorders>
              <w:bottom w:val="single" w:sz="8" w:color="2C2C2C"/>
            </w:tcBorders>
            <w:gridSpan w:val="6"/>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5"/>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8"/>
                <w:szCs w:val="18"/>
                <w:color w:val="0000FF"/>
              </w:rPr>
              <w:t>01/30/2018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53,044</w:t>
            </w:r>
          </w:p>
        </w:tc>
        <w:tc>
          <w:tcPr>
            <w:tcW w:w="4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(1)</w:t>
            </w:r>
          </w:p>
        </w:tc>
        <w:tc>
          <w:tcPr>
            <w:tcW w:w="1480" w:type="dxa"/>
            <w:vAlign w:val="bottom"/>
            <w:tcBorders>
              <w:bottom w:val="single" w:sz="8" w:color="2C2C2C"/>
            </w:tcBorders>
            <w:gridSpan w:val="3"/>
          </w:tcPr>
          <w:p>
            <w:pPr>
              <w:jc w:val="center"/>
              <w:ind w:left="101"/>
              <w:spacing w:after="0"/>
              <w:rPr>
                <w:sz w:val="20"/>
                <w:szCs w:val="20"/>
                <w:color w:val="auto"/>
              </w:rPr>
            </w:pPr>
            <w:r>
              <w:rPr>
                <w:rFonts w:ascii="Arial" w:cs="Arial" w:eastAsia="Arial" w:hAnsi="Arial"/>
                <w:sz w:val="18"/>
                <w:szCs w:val="18"/>
                <w:color w:val="0000FF"/>
                <w:w w:val="84"/>
              </w:rPr>
              <w:t>222,730</w:t>
            </w:r>
            <w:r>
              <w:rPr>
                <w:rFonts w:ascii="Arial" w:cs="Arial" w:eastAsia="Arial" w:hAnsi="Arial"/>
                <w:sz w:val="22"/>
                <w:szCs w:val="22"/>
                <w:color w:val="008000"/>
                <w:w w:val="84"/>
                <w:vertAlign w:val="superscript"/>
              </w:rPr>
              <w:t>(2)</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8"/>
                <w:szCs w:val="18"/>
                <w:color w:val="0000FF"/>
              </w:rPr>
              <w:t>01/30/2018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200,000</w:t>
            </w:r>
          </w:p>
        </w:tc>
        <w:tc>
          <w:tcPr>
            <w:tcW w:w="4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(4)</w:t>
            </w:r>
          </w:p>
        </w:tc>
        <w:tc>
          <w:tcPr>
            <w:tcW w:w="1480" w:type="dxa"/>
            <w:vAlign w:val="bottom"/>
            <w:tcBorders>
              <w:bottom w:val="single" w:sz="8" w:color="2C2C2C"/>
            </w:tcBorders>
            <w:gridSpan w:val="3"/>
          </w:tcPr>
          <w:p>
            <w:pPr>
              <w:jc w:val="center"/>
              <w:ind w:left="101"/>
              <w:spacing w:after="0"/>
              <w:rPr>
                <w:sz w:val="20"/>
                <w:szCs w:val="20"/>
                <w:color w:val="auto"/>
              </w:rPr>
            </w:pPr>
            <w:r>
              <w:rPr>
                <w:rFonts w:ascii="Arial" w:cs="Arial" w:eastAsia="Arial" w:hAnsi="Arial"/>
                <w:sz w:val="18"/>
                <w:szCs w:val="18"/>
                <w:color w:val="0000FF"/>
                <w:w w:val="89"/>
              </w:rPr>
              <w:t>422,730</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3"/>
            <w:vMerge w:val="restart"/>
          </w:tcPr>
          <w:p>
            <w:pPr>
              <w:jc w:val="center"/>
              <w:ind w:left="101"/>
              <w:spacing w:after="0"/>
              <w:rPr>
                <w:sz w:val="20"/>
                <w:szCs w:val="20"/>
                <w:color w:val="auto"/>
              </w:rPr>
            </w:pPr>
            <w:r>
              <w:rPr>
                <w:rFonts w:ascii="Arial" w:cs="Arial" w:eastAsia="Arial" w:hAnsi="Arial"/>
                <w:sz w:val="18"/>
                <w:szCs w:val="18"/>
                <w:color w:val="0000FF"/>
                <w:w w:val="90"/>
              </w:rPr>
              <w:t>40,219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3"/>
            <w:vMerge w:val="restart"/>
          </w:tcPr>
          <w:p>
            <w:pPr>
              <w:jc w:val="center"/>
              <w:ind w:left="101"/>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3"/>
            <w:vMerge w:val="restart"/>
          </w:tcPr>
          <w:p>
            <w:pPr>
              <w:jc w:val="center"/>
              <w:ind w:left="101"/>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3"/>
            <w:vMerge w:val="restart"/>
          </w:tcPr>
          <w:p>
            <w:pPr>
              <w:jc w:val="center"/>
              <w:ind w:left="101"/>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(8)</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3"/>
            <w:vMerge w:val="restart"/>
          </w:tcPr>
          <w:p>
            <w:pPr>
              <w:jc w:val="center"/>
              <w:ind w:left="101"/>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26, 2015 and voluntarily reported in a Form 4 filed on March 12, 2015. Such shares of Common Stock were deemed earned on January 30, 2018 based on the Compensation Committee of the Board of Directors administering the award certifying the achievement of performance targets applicable to the PRSUs for the performance period ending on December 31, 2017.</w:t>
      </w:r>
    </w:p>
    <w:p>
      <w:pPr>
        <w:spacing w:after="0" w:line="3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an additional 8,000 shares, which the reporting person inadvertently reported as having been disposed of in a gift transaction that was voluntarily reported on the reporting person's Form 4 filed November 17, 2018 but that was never completed.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reported in this report were earned pursuant to the PRSU's of the Company granted on April 29, 2015 and voluntarily reported in a Form 4 filed on May 1, 2015. Such shares of Common Stock were deemed earned on January 30, 2018 based on the Compensation Committee of the Board of Directors administering the award certifying the achievement of performance targets applicable to the PRSUs for the performance period ending on December 31,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p>
      <w:pPr>
        <w:spacing w:after="0" w:line="5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2019-12-04T01:58:00Z</dcterms:created>
  <dcterms:modified xsi:type="dcterms:W3CDTF">2019-12-04T01:58:00Z</dcterms:modified>
</cp:coreProperties>
</file>