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995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956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BAGAI PAVAN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02/03/2011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Chief Operating Officer</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2,390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0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02/03/2011</w:t>
            </w:r>
          </w:p>
        </w:tc>
        <w:tc>
          <w:tcPr>
            <w:tcW w:w="1120" w:type="dxa"/>
            <w:vAlign w:val="bottom"/>
          </w:tcPr>
          <w:p>
            <w:pPr>
              <w:spacing w:after="0"/>
              <w:rPr>
                <w:sz w:val="5"/>
                <w:szCs w:val="5"/>
                <w:color w:val="auto"/>
              </w:rPr>
            </w:pPr>
          </w:p>
        </w:tc>
        <w:tc>
          <w:tcPr>
            <w:tcW w:w="84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2,390</w:t>
            </w:r>
          </w:p>
        </w:tc>
        <w:tc>
          <w:tcPr>
            <w:tcW w:w="3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02/03/2021</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72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2,390</w:t>
            </w:r>
          </w:p>
        </w:tc>
        <w:tc>
          <w:tcPr>
            <w:tcW w:w="76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ind w:right="10"/>
              <w:spacing w:after="0"/>
              <w:rPr>
                <w:sz w:val="20"/>
                <w:szCs w:val="20"/>
                <w:color w:val="auto"/>
              </w:rPr>
            </w:pPr>
            <w:r>
              <w:rPr>
                <w:rFonts w:ascii="Arial" w:cs="Arial" w:eastAsia="Arial" w:hAnsi="Arial"/>
                <w:sz w:val="17"/>
                <w:szCs w:val="17"/>
                <w:color w:val="0000FF"/>
                <w:w w:val="92"/>
              </w:rPr>
              <w:t>32,500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jc w:val="center"/>
              <w:spacing w:after="0" w:line="14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19.76</w:t>
            </w:r>
          </w:p>
        </w:tc>
        <w:tc>
          <w:tcPr>
            <w:tcW w:w="1140" w:type="dxa"/>
            <w:vAlign w:val="bottom"/>
          </w:tcPr>
          <w:p>
            <w:pPr>
              <w:jc w:val="center"/>
              <w:spacing w:after="0" w:line="148" w:lineRule="exact"/>
              <w:rPr>
                <w:sz w:val="20"/>
                <w:szCs w:val="20"/>
                <w:color w:val="auto"/>
              </w:rPr>
            </w:pPr>
            <w:r>
              <w:rPr>
                <w:rFonts w:ascii="Arial" w:cs="Arial" w:eastAsia="Arial" w:hAnsi="Arial"/>
                <w:sz w:val="13"/>
                <w:szCs w:val="13"/>
                <w:color w:val="0000FF"/>
                <w:w w:val="92"/>
              </w:rPr>
              <w:t>02/03/2011</w:t>
            </w:r>
          </w:p>
        </w:tc>
        <w:tc>
          <w:tcPr>
            <w:tcW w:w="1120" w:type="dxa"/>
            <w:vAlign w:val="bottom"/>
          </w:tcPr>
          <w:p>
            <w:pPr>
              <w:spacing w:after="0"/>
              <w:rPr>
                <w:sz w:val="12"/>
                <w:szCs w:val="12"/>
                <w:color w:val="auto"/>
              </w:rPr>
            </w:pPr>
          </w:p>
        </w:tc>
        <w:tc>
          <w:tcPr>
            <w:tcW w:w="8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0000FF"/>
                <w:w w:val="90"/>
              </w:rPr>
              <w:t>32,500</w:t>
            </w: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02/03/2021</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tcPr>
          <w:p>
            <w:pPr>
              <w:jc w:val="center"/>
              <w:spacing w:after="0" w:line="148" w:lineRule="exact"/>
              <w:rPr>
                <w:sz w:val="20"/>
                <w:szCs w:val="20"/>
                <w:color w:val="auto"/>
              </w:rPr>
            </w:pPr>
            <w:r>
              <w:rPr>
                <w:rFonts w:ascii="Arial" w:cs="Arial" w:eastAsia="Arial" w:hAnsi="Arial"/>
                <w:sz w:val="13"/>
                <w:szCs w:val="13"/>
                <w:color w:val="0000FF"/>
                <w:w w:val="90"/>
              </w:rPr>
              <w:t>32,500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ind w:right="10"/>
              <w:spacing w:after="0"/>
              <w:rPr>
                <w:sz w:val="20"/>
                <w:szCs w:val="20"/>
                <w:color w:val="auto"/>
              </w:rPr>
            </w:pPr>
            <w:r>
              <w:rPr>
                <w:rFonts w:ascii="Arial" w:cs="Arial" w:eastAsia="Arial" w:hAnsi="Arial"/>
                <w:sz w:val="17"/>
                <w:szCs w:val="17"/>
                <w:color w:val="0000FF"/>
                <w:w w:val="92"/>
              </w:rPr>
              <w:t>12,500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0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02/03/2011</w:t>
            </w:r>
          </w:p>
        </w:tc>
        <w:tc>
          <w:tcPr>
            <w:tcW w:w="1120" w:type="dxa"/>
            <w:vAlign w:val="bottom"/>
          </w:tcPr>
          <w:p>
            <w:pPr>
              <w:spacing w:after="0"/>
              <w:rPr>
                <w:sz w:val="5"/>
                <w:szCs w:val="5"/>
                <w:color w:val="auto"/>
              </w:rPr>
            </w:pPr>
          </w:p>
        </w:tc>
        <w:tc>
          <w:tcPr>
            <w:tcW w:w="84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0"/>
              </w:rPr>
              <w:t>12,500</w:t>
            </w:r>
          </w:p>
        </w:tc>
        <w:tc>
          <w:tcPr>
            <w:tcW w:w="3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02/03/2021</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72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0"/>
              </w:rPr>
              <w:t>12,500</w:t>
            </w:r>
          </w:p>
        </w:tc>
        <w:tc>
          <w:tcPr>
            <w:tcW w:w="76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120"/>
        <w:spacing w:after="0"/>
        <w:rPr>
          <w:sz w:val="20"/>
          <w:szCs w:val="20"/>
          <w:color w:val="auto"/>
        </w:rPr>
      </w:pPr>
      <w:r>
        <w:rPr>
          <w:rFonts w:ascii="Arial" w:cs="Arial" w:eastAsia="Arial" w:hAnsi="Arial"/>
          <w:sz w:val="13"/>
          <w:szCs w:val="13"/>
          <w:color w:val="0000FF"/>
        </w:rPr>
        <w:t>per share</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will vest in three equal annual installments, beginning on February 3, 2012. Vesting of some or all of the restricted stock may be accelerated upon or in connection with the occurrence of a "Change in Control" as such term is defined in agreement governing the grant of the restricted stock.</w:t>
      </w:r>
    </w:p>
    <w:p>
      <w:pPr>
        <w:spacing w:after="0" w:line="9" w:lineRule="exact"/>
        <w:rPr>
          <w:rFonts w:ascii="Arial" w:cs="Arial" w:eastAsia="Arial" w:hAnsi="Arial"/>
          <w:sz w:val="13"/>
          <w:szCs w:val="13"/>
          <w:color w:val="008000"/>
        </w:rPr>
      </w:pPr>
    </w:p>
    <w:p>
      <w:pPr>
        <w:ind w:left="40" w:right="3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 percent of the options will vest and become exercisable on February 3, 2012; an additional 20 percent of the options will vest and become exercisable on February 3, 2013; an additional 30 percent of the options will vest and become exercisable on February 3, 2014; and the remaining 40 percent of the options will vest and become exercisable on February 3, 2015. Vesting will be accelerated upon certain terminations of employment and upon a change in control (as defined in the ExlService Holdings, Inc. 2006 Omnibus Award Plan).</w:t>
      </w:r>
    </w:p>
    <w:p>
      <w:pPr>
        <w:spacing w:after="0" w:line="21" w:lineRule="exact"/>
        <w:rPr>
          <w:rFonts w:ascii="Arial" w:cs="Arial" w:eastAsia="Arial" w:hAnsi="Arial"/>
          <w:sz w:val="13"/>
          <w:szCs w:val="13"/>
          <w:color w:val="008000"/>
        </w:rPr>
      </w:pPr>
    </w:p>
    <w:p>
      <w:pPr>
        <w:ind w:left="40" w:right="340" w:firstLine="8"/>
        <w:spacing w:after="0" w:line="29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10 percent of restricted stock will vest on February 3, 2012; an additional 20 percent will vest on February 3, 2013; an additional 30 percent will vest on February 3, 2014; and the remaining 40 percent will vest on February 3, 2015. Vesting will be accelerated upon certain terminations of employment and upon a change in control (as defined in the ExlService Holdings, Inc. 2006 Omnibus Award Plan).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02/07/2011</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2019-12-16T15:15:32Z</dcterms:created>
  <dcterms:modified xsi:type="dcterms:W3CDTF">2019-12-16T15:15:32Z</dcterms:modified>
</cp:coreProperties>
</file>