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rPr/>
      </w:pPr>
      <w:hyperlink w:anchor="i94c2d3dd1ce14e10b7b4d9e6b8321d18_1824">
        <w:r>
          <w:rPr>
            <w:rStyle w:val="InternetLink"/>
            <w:rFonts w:ascii="Times New Roman;sans-serif" w:hAnsi="Times New Roman;sans-serif"/>
            <w:b/>
            <w:color w:val="0000FF"/>
            <w:sz w:val="20"/>
            <w:u w:val="single"/>
          </w:rPr>
          <w:t>Table of Contents</w:t>
        </w:r>
      </w:hyperlink>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w:t>
      </w: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(Mark One)</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MARCH 31, 2023</w:t>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10205" w:type="dxa"/>
        <w:jc w:val="left"/>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0" w:after="0"/>
        <w:jc w:val="center"/>
        <w:rPr/>
      </w:pPr>
      <w:r>
        <w:rPr>
          <w:rFonts w:ascii="Times New Roman;sans-serif" w:hAnsi="Times New Roman;sans-serif"/>
          <w:b/>
          <w:color w:val="000000"/>
          <w:sz w:val="18"/>
        </w:rPr>
        <w:t>FOR THE TRANSITION PERIOD FROM</w:t>
      </w:r>
      <w:r>
        <w:rPr>
          <w:color w:val="000000"/>
        </w:rPr>
        <w:t xml:space="preserve"> </w:t>
      </w:r>
      <w:r>
        <w:rPr>
          <w:color w:val="000000"/>
          <w:u w:val="single"/>
        </w:rPr>
        <w:t>                    </w:t>
      </w:r>
      <w:r>
        <w:rPr>
          <w:color w:val="000000"/>
        </w:rPr>
        <w:t xml:space="preserve"> </w:t>
      </w:r>
      <w:r>
        <w:rPr>
          <w:rFonts w:ascii="Times New Roman;sans-serif" w:hAnsi="Times New Roman;sans-serif"/>
          <w:b/>
          <w:color w:val="000000"/>
          <w:sz w:val="18"/>
        </w:rPr>
        <w:t>TO</w:t>
      </w:r>
      <w:r>
        <w:rPr>
          <w:color w:val="000000"/>
        </w:rPr>
        <w:t xml:space="preserve"> </w:t>
      </w:r>
      <w:r>
        <w:rPr>
          <w:color w:val="000000"/>
          <w:u w:val="single"/>
        </w:rPr>
        <w:t>                    </w:t>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001-33089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w:t>
      </w:r>
    </w:p>
    <w:p>
      <w:pPr>
        <w:pStyle w:val="TextBody"/>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EXLSERVICE HOLDINGS, INC.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w:t>
      </w:r>
    </w:p>
    <w:tbl>
      <w:tblPr>
        <w:tblW w:w="4733" w:type="dxa"/>
        <w:jc w:val="center"/>
        <w:tblInd w:w="0" w:type="dxa"/>
        <w:tblCellMar>
          <w:top w:w="28" w:type="dxa"/>
          <w:left w:w="28" w:type="dxa"/>
          <w:bottom w:w="28" w:type="dxa"/>
          <w:right w:w="28" w:type="dxa"/>
        </w:tblCellMar>
      </w:tblPr>
      <w:tblGrid>
        <w:gridCol w:w="592"/>
        <w:gridCol w:w="523"/>
        <w:gridCol w:w="523"/>
        <w:gridCol w:w="425"/>
        <w:gridCol w:w="425"/>
        <w:gridCol w:w="434"/>
        <w:gridCol w:w="109"/>
        <w:gridCol w:w="109"/>
        <w:gridCol w:w="109"/>
        <w:gridCol w:w="432"/>
        <w:gridCol w:w="432"/>
        <w:gridCol w:w="620"/>
      </w:tblGrid>
      <w:tr>
        <w:trPr/>
        <w:tc>
          <w:tcPr>
            <w:tcW w:w="592"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r>
      <w:tr>
        <w:trPr/>
        <w:tc>
          <w:tcPr>
            <w:tcW w:w="292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82-0572194</w:t>
            </w:r>
          </w:p>
        </w:tc>
      </w:tr>
      <w:tr>
        <w:trPr/>
        <w:tc>
          <w:tcPr>
            <w:tcW w:w="292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1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320 Park Avenue,</w:t>
            </w:r>
          </w:p>
        </w:tc>
        <w:tc>
          <w:tcPr>
            <w:tcW w:w="12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29th Floor,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New York,</w:t>
            </w:r>
          </w:p>
        </w:tc>
        <w:tc>
          <w:tcPr>
            <w:tcW w:w="12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New York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10022</w:t>
            </w:r>
          </w:p>
        </w:tc>
      </w:tr>
      <w:tr>
        <w:trPr/>
        <w:tc>
          <w:tcPr>
            <w:tcW w:w="292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(212) 277-7100 </w:t>
      </w:r>
    </w:p>
    <w:p>
      <w:pPr>
        <w:pStyle w:val="TextBody"/>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tbl>
      <w:tblPr>
        <w:tblW w:w="8249" w:type="dxa"/>
        <w:jc w:val="center"/>
        <w:tblInd w:w="0" w:type="dxa"/>
        <w:tblCellMar>
          <w:top w:w="28" w:type="dxa"/>
          <w:left w:w="28" w:type="dxa"/>
          <w:bottom w:w="28" w:type="dxa"/>
          <w:right w:w="28" w:type="dxa"/>
        </w:tblCellMar>
      </w:tblPr>
      <w:tblGrid>
        <w:gridCol w:w="1160"/>
        <w:gridCol w:w="1017"/>
        <w:gridCol w:w="1017"/>
        <w:gridCol w:w="510"/>
        <w:gridCol w:w="510"/>
        <w:gridCol w:w="510"/>
        <w:gridCol w:w="1033"/>
        <w:gridCol w:w="1033"/>
        <w:gridCol w:w="1459"/>
      </w:tblGrid>
      <w:tr>
        <w:trPr/>
        <w:tc>
          <w:tcPr>
            <w:tcW w:w="1160"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r>
      <w:tr>
        <w:trPr/>
        <w:tc>
          <w:tcPr>
            <w:tcW w:w="8249" w:type="dxa"/>
            <w:gridSpan w:val="9"/>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c>
      </w:tr>
      <w:tr>
        <w:trPr/>
        <w:tc>
          <w:tcPr>
            <w:tcW w:w="31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53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symbol(s)</w:t>
            </w:r>
          </w:p>
        </w:tc>
        <w:tc>
          <w:tcPr>
            <w:tcW w:w="352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319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$0.001 per share</w:t>
            </w:r>
          </w:p>
        </w:tc>
        <w:tc>
          <w:tcPr>
            <w:tcW w:w="153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16"/>
              </w:rPr>
              <w:t>EXLS</w:t>
            </w:r>
          </w:p>
        </w:tc>
        <w:tc>
          <w:tcPr>
            <w:tcW w:w="352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w:t>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12(g) of the Act:</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None</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w:t>
      </w:r>
    </w:p>
    <w:p>
      <w:pPr>
        <w:pStyle w:val="TextBody"/>
        <w:spacing w:before="0" w:after="0"/>
        <w:jc w:val="center"/>
        <w:rPr/>
      </w:pPr>
      <w:r>
        <w:rPr/>
      </w:r>
    </w:p>
    <w:p>
      <w:pPr>
        <w:pStyle w:val="TextBody"/>
        <w:spacing w:lineRule="auto" w:line="288" w:before="0" w:after="0"/>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pStyle w:val="TextBody"/>
        <w:spacing w:lineRule="auto" w:line="288" w:before="0" w:after="0"/>
        <w:rPr/>
      </w:pPr>
      <w:r>
        <w:rPr>
          <w:rFonts w:ascii="Times New Roman;sans-serif" w:hAnsi="Times New Roman;sans-serif"/>
          <w:b w:val="false"/>
          <w:color w:val="000000"/>
          <w:sz w:val="18"/>
        </w:rPr>
        <w:t>(2)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spacing w:before="0" w:after="0"/>
        <w:rPr/>
      </w:pPr>
      <w:r>
        <w:rPr/>
      </w:r>
    </w:p>
    <w:p>
      <w:pPr>
        <w:pStyle w:val="TextBody"/>
        <w:spacing w:lineRule="auto" w:line="288" w:before="0" w:after="0"/>
        <w:ind w:left="0" w:right="0" w:firstLine="360"/>
        <w:jc w:val="both"/>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760" w:type="dxa"/>
        <w:jc w:val="left"/>
        <w:tblInd w:w="0" w:type="dxa"/>
        <w:tblCellMar>
          <w:top w:w="28" w:type="dxa"/>
          <w:left w:w="28" w:type="dxa"/>
          <w:bottom w:w="28" w:type="dxa"/>
          <w:right w:w="28" w:type="dxa"/>
        </w:tblCellMar>
      </w:tblPr>
      <w:tblGrid>
        <w:gridCol w:w="743"/>
        <w:gridCol w:w="653"/>
        <w:gridCol w:w="658"/>
        <w:gridCol w:w="109"/>
        <w:gridCol w:w="109"/>
        <w:gridCol w:w="109"/>
        <w:gridCol w:w="109"/>
        <w:gridCol w:w="109"/>
        <w:gridCol w:w="109"/>
        <w:gridCol w:w="109"/>
        <w:gridCol w:w="109"/>
        <w:gridCol w:w="109"/>
        <w:gridCol w:w="674"/>
        <w:gridCol w:w="674"/>
        <w:gridCol w:w="678"/>
        <w:gridCol w:w="109"/>
        <w:gridCol w:w="109"/>
        <w:gridCol w:w="109"/>
        <w:gridCol w:w="109"/>
        <w:gridCol w:w="109"/>
        <w:gridCol w:w="154"/>
      </w:tblGrid>
      <w:tr>
        <w:trPr/>
        <w:tc>
          <w:tcPr>
            <w:tcW w:w="74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 Yes  ☐    No  ☒</w:t>
      </w:r>
    </w:p>
    <w:p>
      <w:pPr>
        <w:pStyle w:val="TextBody"/>
        <w:spacing w:before="60" w:after="283"/>
        <w:ind w:left="0" w:right="0" w:firstLine="360"/>
        <w:rPr/>
      </w:pPr>
      <w:r>
        <w:rPr/>
      </w:r>
    </w:p>
    <w:p>
      <w:pPr>
        <w:pStyle w:val="TextBody"/>
        <w:spacing w:lineRule="auto" w:line="288" w:before="0" w:after="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As of April 25, 2023, there were 33,246,709 shares of the registrant’s common stock outstanding, par value $0.001 per share.</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94c2d3dd1ce14e10b7b4d9e6b8321d18_1824">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CellMar>
          <w:top w:w="28" w:type="dxa"/>
          <w:left w:w="28" w:type="dxa"/>
          <w:bottom w:w="28" w:type="dxa"/>
          <w:right w:w="28" w:type="dxa"/>
        </w:tblCellMar>
      </w:tblPr>
      <w:tblGrid>
        <w:gridCol w:w="217"/>
        <w:gridCol w:w="191"/>
        <w:gridCol w:w="193"/>
        <w:gridCol w:w="109"/>
        <w:gridCol w:w="109"/>
        <w:gridCol w:w="109"/>
        <w:gridCol w:w="2887"/>
        <w:gridCol w:w="2882"/>
        <w:gridCol w:w="2890"/>
        <w:gridCol w:w="180"/>
        <w:gridCol w:w="180"/>
        <w:gridCol w:w="258"/>
      </w:tblGrid>
      <w:tr>
        <w:trPr/>
        <w:tc>
          <w:tcPr>
            <w:tcW w:w="21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rPr>
                <w:sz w:val="4"/>
                <w:szCs w:val="4"/>
              </w:rPr>
            </w:pPr>
            <w:r>
              <w:rPr>
                <w:sz w:val="4"/>
                <w:szCs w:val="4"/>
              </w:rPr>
            </w:r>
          </w:p>
        </w:tc>
        <w:tc>
          <w:tcPr>
            <w:tcW w:w="289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r>
      <w:tr>
        <w:trPr/>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4c2d3dd1ce14e10b7b4d9e6b8321d18_10">
              <w:r>
                <w:rPr>
                  <w:rStyle w:val="InternetLink"/>
                  <w:rFonts w:ascii="Times New Roman;sans-serif" w:hAnsi="Times New Roman;sans-serif"/>
                  <w:b w:val="false"/>
                  <w:color w:val="0000FF"/>
                  <w:sz w:val="20"/>
                  <w:u w:val="single"/>
                </w:rPr>
                <w:t>Part I. Financial Information</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4c2d3dd1ce14e10b7b4d9e6b8321d18_10">
              <w:r>
                <w:rPr>
                  <w:rStyle w:val="InternetLink"/>
                  <w:rFonts w:ascii="Times New Roman;sans-serif" w:hAnsi="Times New Roman;sans-serif"/>
                  <w:b w:val="false"/>
                  <w:strike w:val="false"/>
                  <w:dstrike w:val="false"/>
                  <w:color w:val="0000FF"/>
                  <w:sz w:val="20"/>
                  <w:u w:val="none"/>
                  <w:effect w:val="none"/>
                </w:rPr>
                <w:t>1</w:t>
              </w:r>
            </w:hyperlink>
          </w:p>
        </w:tc>
      </w:tr>
      <w:tr>
        <w:trPr/>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FINANCIAL STATEMENTS (UNAUDITED)</w:t>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94c2d3dd1ce14e10b7b4d9e6b8321d18_1723">
              <w:r>
                <w:rPr>
                  <w:rStyle w:val="InternetLink"/>
                  <w:rFonts w:ascii="Times New Roman;sans-serif" w:hAnsi="Times New Roman;sans-serif"/>
                  <w:b w:val="false"/>
                  <w:color w:val="0000FF"/>
                  <w:sz w:val="20"/>
                  <w:u w:val="single"/>
                </w:rPr>
                <w:t>Consolidated Balance Sheets as of March 31, 2023 and December 31, 2022</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4c2d3dd1ce14e10b7b4d9e6b8321d18_1723">
              <w:r>
                <w:rPr>
                  <w:rStyle w:val="InternetLink"/>
                  <w:rFonts w:ascii="Times New Roman;sans-serif" w:hAnsi="Times New Roman;sans-serif"/>
                  <w:b w:val="false"/>
                  <w:strike w:val="false"/>
                  <w:dstrike w:val="false"/>
                  <w:color w:val="0000FF"/>
                  <w:sz w:val="20"/>
                  <w:u w:val="none"/>
                  <w:effect w:val="none"/>
                </w:rPr>
                <w:t>1</w:t>
              </w:r>
            </w:hyperlink>
          </w:p>
        </w:tc>
      </w:tr>
      <w:tr>
        <w:trPr/>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94c2d3dd1ce14e10b7b4d9e6b8321d18_103">
              <w:r>
                <w:rPr>
                  <w:rStyle w:val="InternetLink"/>
                </w:rPr>
                <w:t xml:space="preserve">Consolidated Statements of Income for the Three </w:t>
              </w:r>
            </w:hyperlink>
            <w:hyperlink w:anchor="i94c2d3dd1ce14e10b7b4d9e6b8321d18_103">
              <w:r>
                <w:rPr>
                  <w:rStyle w:val="InternetLink"/>
                </w:rPr>
                <w:t xml:space="preserve">Months Ended </w:t>
              </w:r>
            </w:hyperlink>
            <w:hyperlink w:anchor="i94c2d3dd1ce14e10b7b4d9e6b8321d18_103">
              <w:r>
                <w:rPr>
                  <w:rStyle w:val="InternetLink"/>
                </w:rPr>
                <w:t xml:space="preserve">March </w:t>
              </w:r>
            </w:hyperlink>
            <w:hyperlink w:anchor="i94c2d3dd1ce14e10b7b4d9e6b8321d18_103">
              <w:r>
                <w:rPr>
                  <w:rStyle w:val="InternetLink"/>
                </w:rPr>
                <w:t>3</w:t>
              </w:r>
            </w:hyperlink>
            <w:hyperlink w:anchor="i94c2d3dd1ce14e10b7b4d9e6b8321d18_103">
              <w:r>
                <w:rPr>
                  <w:rStyle w:val="InternetLink"/>
                </w:rPr>
                <w:t>1</w:t>
              </w:r>
            </w:hyperlink>
            <w:hyperlink w:anchor="i94c2d3dd1ce14e10b7b4d9e6b8321d18_103">
              <w:r>
                <w:rPr>
                  <w:rStyle w:val="InternetLink"/>
                </w:rPr>
                <w:t>, 202</w:t>
              </w:r>
            </w:hyperlink>
            <w:hyperlink w:anchor="i94c2d3dd1ce14e10b7b4d9e6b8321d18_103">
              <w:r>
                <w:rPr>
                  <w:rStyle w:val="InternetLink"/>
                </w:rPr>
                <w:t>3</w:t>
              </w:r>
            </w:hyperlink>
            <w:hyperlink w:anchor="i94c2d3dd1ce14e10b7b4d9e6b8321d18_103">
              <w:r>
                <w:rPr>
                  <w:rStyle w:val="InternetLink"/>
                </w:rPr>
                <w:t xml:space="preserve"> and 202</w:t>
              </w:r>
            </w:hyperlink>
            <w:hyperlink w:anchor="i94c2d3dd1ce14e10b7b4d9e6b8321d18_103">
              <w:r>
                <w:rPr>
                  <w:rStyle w:val="InternetLink"/>
                </w:rPr>
                <w:t>2</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4c2d3dd1ce14e10b7b4d9e6b8321d18_103">
              <w:r>
                <w:rPr>
                  <w:rStyle w:val="InternetLink"/>
                  <w:rFonts w:ascii="Times New Roman;sans-serif" w:hAnsi="Times New Roman;sans-serif"/>
                  <w:b w:val="false"/>
                  <w:strike w:val="false"/>
                  <w:dstrike w:val="false"/>
                  <w:color w:val="0000FF"/>
                  <w:sz w:val="20"/>
                  <w:u w:val="none"/>
                  <w:effect w:val="none"/>
                </w:rPr>
                <w:t>3</w:t>
              </w:r>
            </w:hyperlink>
          </w:p>
        </w:tc>
      </w:tr>
      <w:tr>
        <w:trPr/>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94c2d3dd1ce14e10b7b4d9e6b8321d18_106">
              <w:r>
                <w:rPr>
                  <w:rStyle w:val="InternetLink"/>
                  <w:rFonts w:ascii="Times New Roman;sans-serif" w:hAnsi="Times New Roman;sans-serif"/>
                  <w:b w:val="false"/>
                  <w:color w:val="0000FF"/>
                  <w:sz w:val="20"/>
                  <w:u w:val="single"/>
                </w:rPr>
                <w:t>Consolidated Statements of Comprehensive Income for the Three Months Ended March 31, 2023 and 2022</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4c2d3dd1ce14e10b7b4d9e6b8321d18_106">
              <w:r>
                <w:rPr>
                  <w:rStyle w:val="InternetLink"/>
                  <w:rFonts w:ascii="Times New Roman;sans-serif" w:hAnsi="Times New Roman;sans-serif"/>
                  <w:b w:val="false"/>
                  <w:strike w:val="false"/>
                  <w:dstrike w:val="false"/>
                  <w:color w:val="0000FF"/>
                  <w:sz w:val="20"/>
                  <w:u w:val="none"/>
                  <w:effect w:val="none"/>
                </w:rPr>
                <w:t>4</w:t>
              </w:r>
            </w:hyperlink>
          </w:p>
        </w:tc>
      </w:tr>
      <w:tr>
        <w:trPr/>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94c2d3dd1ce14e10b7b4d9e6b8321d18_109">
              <w:r>
                <w:rPr>
                  <w:rStyle w:val="InternetLink"/>
                  <w:rFonts w:ascii="Times New Roman;sans-serif" w:hAnsi="Times New Roman;sans-serif"/>
                  <w:b w:val="false"/>
                  <w:color w:val="0000FF"/>
                  <w:sz w:val="20"/>
                  <w:u w:val="single"/>
                </w:rPr>
                <w:t>Consolidated Statements of Stockholders' Equity for the Three Months Ended March 31, 2023 and 2022</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4c2d3dd1ce14e10b7b4d9e6b8321d18_109">
              <w:r>
                <w:rPr>
                  <w:rStyle w:val="InternetLink"/>
                  <w:rFonts w:ascii="Times New Roman;sans-serif" w:hAnsi="Times New Roman;sans-serif"/>
                  <w:b w:val="false"/>
                  <w:strike w:val="false"/>
                  <w:dstrike w:val="false"/>
                  <w:color w:val="0000FF"/>
                  <w:sz w:val="20"/>
                  <w:u w:val="none"/>
                  <w:effect w:val="none"/>
                </w:rPr>
                <w:t>5</w:t>
              </w:r>
            </w:hyperlink>
          </w:p>
        </w:tc>
      </w:tr>
      <w:tr>
        <w:trPr/>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94c2d3dd1ce14e10b7b4d9e6b8321d18_112">
              <w:r>
                <w:rPr>
                  <w:rStyle w:val="InternetLink"/>
                  <w:rFonts w:ascii="Times New Roman;sans-serif" w:hAnsi="Times New Roman;sans-serif"/>
                  <w:b w:val="false"/>
                  <w:color w:val="0000FF"/>
                  <w:sz w:val="20"/>
                  <w:u w:val="single"/>
                </w:rPr>
                <w:t>Consolidated Statements of Cash Flows for the Three Months Ended March 31, 2023 and 2022</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4c2d3dd1ce14e10b7b4d9e6b8321d18_112">
              <w:r>
                <w:rPr>
                  <w:rStyle w:val="InternetLink"/>
                  <w:rFonts w:ascii="Times New Roman;sans-serif" w:hAnsi="Times New Roman;sans-serif"/>
                  <w:b w:val="false"/>
                  <w:strike w:val="false"/>
                  <w:dstrike w:val="false"/>
                  <w:color w:val="0000FF"/>
                  <w:sz w:val="20"/>
                  <w:u w:val="none"/>
                  <w:effect w:val="none"/>
                </w:rPr>
                <w:t>6</w:t>
              </w:r>
            </w:hyperlink>
          </w:p>
        </w:tc>
      </w:tr>
      <w:tr>
        <w:trPr/>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4c2d3dd1ce14e10b7b4d9e6b8321d18_115">
              <w:r>
                <w:rPr>
                  <w:rStyle w:val="InternetLink"/>
                  <w:rFonts w:ascii="Times New Roman;sans-serif" w:hAnsi="Times New Roman;sans-serif"/>
                  <w:b w:val="false"/>
                  <w:color w:val="0000FF"/>
                  <w:sz w:val="20"/>
                  <w:u w:val="single"/>
                </w:rPr>
                <w:t>Notes to Consolidated Financial Statements</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4c2d3dd1ce14e10b7b4d9e6b8321d18_115">
              <w:r>
                <w:rPr>
                  <w:rStyle w:val="InternetLink"/>
                  <w:rFonts w:ascii="Times New Roman;sans-serif" w:hAnsi="Times New Roman;sans-serif"/>
                  <w:b w:val="false"/>
                  <w:strike w:val="false"/>
                  <w:dstrike w:val="false"/>
                  <w:color w:val="0000FF"/>
                  <w:sz w:val="20"/>
                  <w:u w:val="none"/>
                  <w:effect w:val="none"/>
                </w:rPr>
                <w:t>7</w:t>
              </w:r>
            </w:hyperlink>
          </w:p>
        </w:tc>
      </w:tr>
      <w:tr>
        <w:trPr/>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4c2d3dd1ce14e10b7b4d9e6b8321d18_40">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4c2d3dd1ce14e10b7b4d9e6b8321d18_40">
              <w:r>
                <w:rPr>
                  <w:rStyle w:val="InternetLink"/>
                  <w:rFonts w:ascii="Times New Roman;sans-serif" w:hAnsi="Times New Roman;sans-serif"/>
                  <w:b w:val="false"/>
                  <w:strike w:val="false"/>
                  <w:dstrike w:val="false"/>
                  <w:color w:val="0000FF"/>
                  <w:sz w:val="20"/>
                  <w:u w:val="none"/>
                  <w:effect w:val="none"/>
                </w:rPr>
                <w:t>34</w:t>
              </w:r>
            </w:hyperlink>
          </w:p>
        </w:tc>
      </w:tr>
      <w:tr>
        <w:trPr/>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4c2d3dd1ce14e10b7b4d9e6b8321d18_43">
              <w:r>
                <w:rPr>
                  <w:rStyle w:val="InternetLink"/>
                  <w:rFonts w:ascii="Times New Roman;sans-serif" w:hAnsi="Times New Roman;sans-serif"/>
                  <w:b w:val="false"/>
                  <w:color w:val="0000FF"/>
                  <w:sz w:val="20"/>
                  <w:u w:val="single"/>
                </w:rPr>
                <w:t>Quantitative and Qualitative Disclosures About Market Risk</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4c2d3dd1ce14e10b7b4d9e6b8321d18_43">
              <w:r>
                <w:rPr>
                  <w:rStyle w:val="InternetLink"/>
                  <w:rFonts w:ascii="Times New Roman;sans-serif" w:hAnsi="Times New Roman;sans-serif"/>
                  <w:b w:val="false"/>
                  <w:strike w:val="false"/>
                  <w:dstrike w:val="false"/>
                  <w:color w:val="0000FF"/>
                  <w:sz w:val="20"/>
                  <w:u w:val="none"/>
                  <w:effect w:val="none"/>
                </w:rPr>
                <w:t>45</w:t>
              </w:r>
            </w:hyperlink>
          </w:p>
        </w:tc>
      </w:tr>
      <w:tr>
        <w:trPr/>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4c2d3dd1ce14e10b7b4d9e6b8321d18_52">
              <w:r>
                <w:rPr>
                  <w:rStyle w:val="InternetLink"/>
                  <w:rFonts w:ascii="Times New Roman;sans-serif" w:hAnsi="Times New Roman;sans-serif"/>
                  <w:b w:val="false"/>
                  <w:color w:val="0000FF"/>
                  <w:sz w:val="20"/>
                  <w:u w:val="single"/>
                </w:rPr>
                <w:t>Controls and Procedures</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4c2d3dd1ce14e10b7b4d9e6b8321d18_52">
              <w:r>
                <w:rPr>
                  <w:rStyle w:val="InternetLink"/>
                  <w:rFonts w:ascii="Times New Roman;sans-serif" w:hAnsi="Times New Roman;sans-serif"/>
                  <w:b w:val="false"/>
                  <w:strike w:val="false"/>
                  <w:dstrike w:val="false"/>
                  <w:color w:val="0000FF"/>
                  <w:sz w:val="20"/>
                  <w:u w:val="none"/>
                  <w:effect w:val="none"/>
                </w:rPr>
                <w:t>45</w:t>
              </w:r>
            </w:hyperlink>
          </w:p>
        </w:tc>
      </w:tr>
      <w:tr>
        <w:trPr/>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4c2d3dd1ce14e10b7b4d9e6b8321d18_31">
              <w:r>
                <w:rPr>
                  <w:rStyle w:val="InternetLink"/>
                  <w:rFonts w:ascii="Times New Roman;sans-serif" w:hAnsi="Times New Roman;sans-serif"/>
                  <w:b w:val="false"/>
                  <w:color w:val="0000FF"/>
                  <w:sz w:val="20"/>
                  <w:u w:val="single"/>
                </w:rPr>
                <w:t>Part II. Other Information</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4c2d3dd1ce14e10b7b4d9e6b8321d18_31">
              <w:r>
                <w:rPr>
                  <w:rStyle w:val="InternetLink"/>
                  <w:rFonts w:ascii="Times New Roman;sans-serif" w:hAnsi="Times New Roman;sans-serif"/>
                  <w:b w:val="false"/>
                  <w:strike w:val="false"/>
                  <w:dstrike w:val="false"/>
                  <w:color w:val="0000FF"/>
                  <w:sz w:val="20"/>
                  <w:u w:val="none"/>
                  <w:effect w:val="none"/>
                </w:rPr>
                <w:t>45</w:t>
              </w:r>
            </w:hyperlink>
          </w:p>
        </w:tc>
      </w:tr>
      <w:tr>
        <w:trPr/>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4c2d3dd1ce14e10b7b4d9e6b8321d18_25">
              <w:r>
                <w:rPr>
                  <w:rStyle w:val="InternetLink"/>
                  <w:rFonts w:ascii="Times New Roman;sans-serif" w:hAnsi="Times New Roman;sans-serif"/>
                  <w:b w:val="false"/>
                  <w:color w:val="0000FF"/>
                  <w:sz w:val="20"/>
                  <w:u w:val="single"/>
                </w:rPr>
                <w:t>Legal Proceedings</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4c2d3dd1ce14e10b7b4d9e6b8321d18_25">
              <w:r>
                <w:rPr>
                  <w:rStyle w:val="InternetLink"/>
                  <w:rFonts w:ascii="Times New Roman;sans-serif" w:hAnsi="Times New Roman;sans-serif"/>
                  <w:b w:val="false"/>
                  <w:strike w:val="false"/>
                  <w:dstrike w:val="false"/>
                  <w:color w:val="0000FF"/>
                  <w:sz w:val="20"/>
                  <w:u w:val="none"/>
                  <w:effect w:val="none"/>
                </w:rPr>
                <w:t>45</w:t>
              </w:r>
            </w:hyperlink>
          </w:p>
        </w:tc>
      </w:tr>
      <w:tr>
        <w:trPr/>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4c2d3dd1ce14e10b7b4d9e6b8321d18_1649267443327">
              <w:r>
                <w:rPr>
                  <w:rStyle w:val="InternetLink"/>
                  <w:rFonts w:ascii="Times New Roman;sans-serif" w:hAnsi="Times New Roman;sans-serif"/>
                  <w:b w:val="false"/>
                  <w:color w:val="0000FF"/>
                  <w:sz w:val="20"/>
                  <w:u w:val="single"/>
                </w:rPr>
                <w:t>Risk Factors</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4c2d3dd1ce14e10b7b4d9e6b8321d18_1649267443327">
              <w:r>
                <w:rPr>
                  <w:rStyle w:val="InternetLink"/>
                  <w:rFonts w:ascii="Times New Roman;sans-serif" w:hAnsi="Times New Roman;sans-serif"/>
                  <w:b w:val="false"/>
                  <w:strike w:val="false"/>
                  <w:dstrike w:val="false"/>
                  <w:color w:val="0000FF"/>
                  <w:sz w:val="20"/>
                  <w:u w:val="none"/>
                  <w:effect w:val="none"/>
                </w:rPr>
                <w:t>45</w:t>
              </w:r>
            </w:hyperlink>
          </w:p>
        </w:tc>
      </w:tr>
      <w:tr>
        <w:trPr/>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4c2d3dd1ce14e10b7b4d9e6b8321d18_34">
              <w:r>
                <w:rPr>
                  <w:rStyle w:val="InternetLink"/>
                  <w:rFonts w:ascii="Times New Roman;sans-serif" w:hAnsi="Times New Roman;sans-serif"/>
                  <w:b w:val="false"/>
                  <w:color w:val="0000FF"/>
                  <w:sz w:val="20"/>
                  <w:u w:val="single"/>
                </w:rPr>
                <w:t>Unregistered Sales of Equity Securities and Use of Proceeds</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4c2d3dd1ce14e10b7b4d9e6b8321d18_34">
              <w:r>
                <w:rPr>
                  <w:rStyle w:val="InternetLink"/>
                  <w:rFonts w:ascii="Times New Roman;sans-serif" w:hAnsi="Times New Roman;sans-serif"/>
                  <w:b w:val="false"/>
                  <w:strike w:val="false"/>
                  <w:dstrike w:val="false"/>
                  <w:color w:val="0000FF"/>
                  <w:sz w:val="20"/>
                  <w:u w:val="none"/>
                  <w:effect w:val="none"/>
                </w:rPr>
                <w:t>45</w:t>
              </w:r>
            </w:hyperlink>
          </w:p>
        </w:tc>
      </w:tr>
      <w:tr>
        <w:trPr/>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4c2d3dd1ce14e10b7b4d9e6b8321d18_28">
              <w:r>
                <w:rPr>
                  <w:rStyle w:val="InternetLink"/>
                  <w:rFonts w:ascii="Times New Roman;sans-serif" w:hAnsi="Times New Roman;sans-serif"/>
                  <w:b w:val="false"/>
                  <w:color w:val="0000FF"/>
                  <w:sz w:val="20"/>
                  <w:u w:val="single"/>
                </w:rPr>
                <w:t>Defaults Upon Senior Securities</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4c2d3dd1ce14e10b7b4d9e6b8321d18_28">
              <w:r>
                <w:rPr>
                  <w:rStyle w:val="InternetLink"/>
                  <w:rFonts w:ascii="Times New Roman;sans-serif" w:hAnsi="Times New Roman;sans-serif"/>
                  <w:b w:val="false"/>
                  <w:strike w:val="false"/>
                  <w:dstrike w:val="false"/>
                  <w:color w:val="0000FF"/>
                  <w:sz w:val="20"/>
                  <w:u w:val="none"/>
                  <w:effect w:val="none"/>
                </w:rPr>
                <w:t>46</w:t>
              </w:r>
            </w:hyperlink>
          </w:p>
        </w:tc>
      </w:tr>
      <w:tr>
        <w:trPr/>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4c2d3dd1ce14e10b7b4d9e6b8321d18_549755815571">
              <w:r>
                <w:rPr>
                  <w:rStyle w:val="InternetLink"/>
                  <w:rFonts w:ascii="Times New Roman;sans-serif" w:hAnsi="Times New Roman;sans-serif"/>
                  <w:b w:val="false"/>
                  <w:color w:val="0000FF"/>
                  <w:sz w:val="20"/>
                  <w:u w:val="single"/>
                </w:rPr>
                <w:t>Mine Safety Disclosures</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4c2d3dd1ce14e10b7b4d9e6b8321d18_549755815571">
              <w:r>
                <w:rPr>
                  <w:rStyle w:val="InternetLink"/>
                  <w:rFonts w:ascii="Times New Roman;sans-serif" w:hAnsi="Times New Roman;sans-serif"/>
                  <w:b w:val="false"/>
                  <w:strike w:val="false"/>
                  <w:dstrike w:val="false"/>
                  <w:color w:val="0000FF"/>
                  <w:sz w:val="20"/>
                  <w:u w:val="none"/>
                  <w:effect w:val="none"/>
                </w:rPr>
                <w:t>46</w:t>
              </w:r>
            </w:hyperlink>
          </w:p>
        </w:tc>
      </w:tr>
      <w:tr>
        <w:trPr/>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4c2d3dd1ce14e10b7b4d9e6b8321d18_55">
              <w:r>
                <w:rPr>
                  <w:rStyle w:val="InternetLink"/>
                  <w:rFonts w:ascii="Times New Roman;sans-serif" w:hAnsi="Times New Roman;sans-serif"/>
                  <w:b w:val="false"/>
                  <w:color w:val="0000FF"/>
                  <w:sz w:val="20"/>
                  <w:u w:val="single"/>
                </w:rPr>
                <w:t>Other Information</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4c2d3dd1ce14e10b7b4d9e6b8321d18_55">
              <w:r>
                <w:rPr>
                  <w:rStyle w:val="InternetLink"/>
                  <w:rFonts w:ascii="Times New Roman;sans-serif" w:hAnsi="Times New Roman;sans-serif"/>
                  <w:b w:val="false"/>
                  <w:strike w:val="false"/>
                  <w:dstrike w:val="false"/>
                  <w:color w:val="0000FF"/>
                  <w:sz w:val="20"/>
                  <w:u w:val="none"/>
                  <w:effect w:val="none"/>
                </w:rPr>
                <w:t>46</w:t>
              </w:r>
            </w:hyperlink>
          </w:p>
        </w:tc>
      </w:tr>
      <w:tr>
        <w:trPr/>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4c2d3dd1ce14e10b7b4d9e6b8321d18_91">
              <w:r>
                <w:rPr>
                  <w:rStyle w:val="InternetLink"/>
                  <w:rFonts w:ascii="Times New Roman;sans-serif" w:hAnsi="Times New Roman;sans-serif"/>
                  <w:b w:val="false"/>
                  <w:color w:val="0000FF"/>
                  <w:sz w:val="20"/>
                  <w:u w:val="single"/>
                </w:rPr>
                <w:t>Exhibits</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4c2d3dd1ce14e10b7b4d9e6b8321d18_91">
              <w:r>
                <w:rPr>
                  <w:rStyle w:val="InternetLink"/>
                  <w:rFonts w:ascii="Times New Roman;sans-serif" w:hAnsi="Times New Roman;sans-serif"/>
                  <w:b w:val="false"/>
                  <w:strike w:val="false"/>
                  <w:dstrike w:val="false"/>
                  <w:color w:val="0000FF"/>
                  <w:sz w:val="20"/>
                  <w:u w:val="none"/>
                  <w:effect w:val="none"/>
                </w:rPr>
                <w:t>47</w:t>
              </w:r>
            </w:hyperlink>
          </w:p>
        </w:tc>
      </w:tr>
      <w:tr>
        <w:trPr/>
        <w:tc>
          <w:tcPr>
            <w:tcW w:w="9587"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87"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4c2d3dd1ce14e10b7b4d9e6b8321d18_88">
              <w:r>
                <w:rPr>
                  <w:rStyle w:val="InternetLink"/>
                  <w:rFonts w:ascii="Times New Roman;sans-serif" w:hAnsi="Times New Roman;sans-serif"/>
                  <w:b w:val="false"/>
                  <w:color w:val="0000FF"/>
                  <w:sz w:val="20"/>
                  <w:u w:val="single"/>
                </w:rPr>
                <w:t>Signatures</w:t>
              </w:r>
            </w:hyperlink>
          </w:p>
        </w:tc>
        <w:tc>
          <w:tcPr>
            <w:tcW w:w="61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4c2d3dd1ce14e10b7b4d9e6b8321d18_88">
              <w:r>
                <w:rPr>
                  <w:rStyle w:val="InternetLink"/>
                  <w:rFonts w:ascii="Times New Roman;sans-serif" w:hAnsi="Times New Roman;sans-serif"/>
                  <w:b w:val="false"/>
                  <w:strike w:val="false"/>
                  <w:dstrike w:val="false"/>
                  <w:color w:val="0000FF"/>
                  <w:sz w:val="20"/>
                  <w:u w:val="none"/>
                  <w:effect w:val="none"/>
                </w:rPr>
                <w:t>48</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94c2d3dd1ce14e10b7b4d9e6b8321d18_1824">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tbl>
      <w:tblPr>
        <w:tblW w:w="10205" w:type="dxa"/>
        <w:jc w:val="center"/>
        <w:tblInd w:w="0" w:type="dxa"/>
        <w:tblCellMar>
          <w:top w:w="28" w:type="dxa"/>
          <w:left w:w="28" w:type="dxa"/>
          <w:bottom w:w="28" w:type="dxa"/>
          <w:right w:w="28" w:type="dxa"/>
        </w:tblCellMar>
      </w:tblPr>
      <w:tblGrid>
        <w:gridCol w:w="2697"/>
        <w:gridCol w:w="2118"/>
        <w:gridCol w:w="2141"/>
        <w:gridCol w:w="109"/>
        <w:gridCol w:w="109"/>
        <w:gridCol w:w="109"/>
        <w:gridCol w:w="201"/>
        <w:gridCol w:w="913"/>
        <w:gridCol w:w="112"/>
        <w:gridCol w:w="109"/>
        <w:gridCol w:w="109"/>
        <w:gridCol w:w="109"/>
        <w:gridCol w:w="216"/>
        <w:gridCol w:w="979"/>
        <w:gridCol w:w="174"/>
      </w:tblGrid>
      <w:tr>
        <w:trPr/>
        <w:tc>
          <w:tcPr>
            <w:tcW w:w="2697" w:type="dxa"/>
            <w:tcBorders/>
            <w:shd w:fill="auto" w:val="clear"/>
            <w:vAlign w:val="center"/>
          </w:tcPr>
          <w:p>
            <w:pPr>
              <w:pStyle w:val="TableContents"/>
              <w:spacing w:before="0" w:after="283"/>
              <w:rPr>
                <w:sz w:val="4"/>
                <w:szCs w:val="4"/>
              </w:rPr>
            </w:pPr>
            <w:r>
              <w:rPr>
                <w:sz w:val="4"/>
                <w:szCs w:val="4"/>
              </w:rPr>
            </w:r>
          </w:p>
        </w:tc>
        <w:tc>
          <w:tcPr>
            <w:tcW w:w="2118" w:type="dxa"/>
            <w:tcBorders/>
            <w:shd w:fill="auto" w:val="clear"/>
            <w:vAlign w:val="center"/>
          </w:tcPr>
          <w:p>
            <w:pPr>
              <w:pStyle w:val="TableContents"/>
              <w:spacing w:before="0" w:after="283"/>
              <w:rPr>
                <w:sz w:val="4"/>
                <w:szCs w:val="4"/>
              </w:rPr>
            </w:pPr>
            <w:r>
              <w:rPr>
                <w:sz w:val="4"/>
                <w:szCs w:val="4"/>
              </w:rPr>
            </w:r>
          </w:p>
        </w:tc>
        <w:tc>
          <w:tcPr>
            <w:tcW w:w="2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69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of</w:t>
            </w:r>
          </w:p>
        </w:tc>
      </w:tr>
      <w:tr>
        <w:trPr/>
        <w:tc>
          <w:tcPr>
            <w:tcW w:w="69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6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87,298 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118,669 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Short-term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116,479 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179,027 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Restricted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5,598 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4,897 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Accounts receivable, net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290,512 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259,222 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66,340 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50,979 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7"/>
              </w:rPr>
              <w:t>566,227</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7"/>
              </w:rPr>
              <w:t>612,794</w:t>
            </w: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Property and equipment, net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86,652 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82,828 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52,782 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55,347 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Restricted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2,069 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2,055 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tax assets,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62,252 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55,791 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Intangible assets, net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60,681 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64,819 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405,824 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405,637 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Long-term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35,559 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34,779 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36,525 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32,069 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7"/>
              </w:rPr>
              <w:t>1,308,571</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7"/>
              </w:rPr>
              <w:t>1,346,119</w:t>
            </w: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3,384 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7,789 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portion of long-term borrowings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40,000 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30,000 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21,525 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18,782 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employee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49,955 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108,100 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133,400 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95,352 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14,095 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14,978 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taxes payable,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18,545 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2,945 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7"/>
              </w:rPr>
              <w:t>280,904</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7"/>
              </w:rPr>
              <w:t>277,946</w:t>
            </w: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Long-term borrowings, less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160,000 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220,000 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liabilities, less 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45,655 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48,155 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tax liabilities,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493 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547 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26,297 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41,292 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7"/>
              </w:rPr>
              <w:t>513,349</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7"/>
              </w:rPr>
              <w:t>587,940</w:t>
            </w: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Commitments and contingencies (Refer to Note 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ExlService Holdings, Inc.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Preferred stock, $0.001 par value; 15,000,000 shares authorized, none issued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$0.001 par value; 100,000,000 shares authorized, 40,334,368 shares issued and 33,321,455 shares outstanding as of March 31, 2023 and 39,987,976 shares issued and 33,234,444 shares outstanding as of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460,527 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445,108 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Retained earnings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950,436 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899,105 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(131,487)</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(144,143)</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including shares held in treasury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7"/>
              </w:rPr>
              <w:t>1,279,516</w:t>
            </w:r>
            <w:r>
              <w:rPr>
                <w:color w:val="000000"/>
              </w:rPr>
              <w:t> </w:t>
            </w:r>
          </w:p>
        </w:tc>
        <w:tc>
          <w:tcPr>
            <w:tcW w:w="1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7"/>
              </w:rPr>
              <w:t>1,200,110</w:t>
            </w:r>
            <w:r>
              <w:rPr>
                <w:color w:val="000000"/>
              </w:rPr>
              <w:t> </w:t>
            </w:r>
          </w:p>
        </w:tc>
        <w:tc>
          <w:tcPr>
            <w:tcW w:w="1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lineRule="auto" w:line="288" w:before="0" w:after="0"/>
        <w:rPr/>
      </w:pPr>
      <w:hyperlink w:anchor="i94c2d3dd1ce14e10b7b4d9e6b8321d18_1824">
        <w:r>
          <w:rPr>
            <w:rStyle w:val="InternetLink"/>
            <w:rFonts w:ascii="Times New Roman;sans-serif" w:hAnsi="Times New Roman;sans-serif"/>
            <w:b/>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2580"/>
        <w:gridCol w:w="2268"/>
        <w:gridCol w:w="2274"/>
        <w:gridCol w:w="109"/>
        <w:gridCol w:w="109"/>
        <w:gridCol w:w="109"/>
        <w:gridCol w:w="196"/>
        <w:gridCol w:w="886"/>
        <w:gridCol w:w="109"/>
        <w:gridCol w:w="109"/>
        <w:gridCol w:w="109"/>
        <w:gridCol w:w="109"/>
        <w:gridCol w:w="196"/>
        <w:gridCol w:w="886"/>
        <w:gridCol w:w="156"/>
      </w:tblGrid>
      <w:tr>
        <w:trPr/>
        <w:tc>
          <w:tcPr>
            <w:tcW w:w="2580" w:type="dxa"/>
            <w:tcBorders/>
            <w:shd w:fill="auto" w:val="clear"/>
            <w:vAlign w:val="center"/>
          </w:tcPr>
          <w:p>
            <w:pPr>
              <w:pStyle w:val="TableContents"/>
              <w:spacing w:before="0" w:after="283"/>
              <w:rPr>
                <w:sz w:val="4"/>
                <w:szCs w:val="4"/>
              </w:rPr>
            </w:pPr>
            <w:r>
              <w:rPr>
                <w:sz w:val="4"/>
                <w:szCs w:val="4"/>
              </w:rPr>
            </w:r>
          </w:p>
        </w:tc>
        <w:tc>
          <w:tcPr>
            <w:tcW w:w="2268" w:type="dxa"/>
            <w:tcBorders/>
            <w:shd w:fill="auto" w:val="clear"/>
            <w:vAlign w:val="center"/>
          </w:tcPr>
          <w:p>
            <w:pPr>
              <w:pStyle w:val="TableContents"/>
              <w:spacing w:before="0" w:after="283"/>
              <w:rPr>
                <w:sz w:val="4"/>
                <w:szCs w:val="4"/>
              </w:rPr>
            </w:pPr>
            <w:r>
              <w:rPr>
                <w:sz w:val="4"/>
                <w:szCs w:val="4"/>
              </w:rPr>
            </w:r>
          </w:p>
        </w:tc>
        <w:tc>
          <w:tcPr>
            <w:tcW w:w="2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Less: 7,012,913 shares as of March 31, 2023 and 6,753,532 shares as of December 31, 2022, held in treasury, at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(484,294)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(441,931)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7"/>
              </w:rPr>
              <w:t>795,222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7"/>
              </w:rPr>
              <w:t>758,179</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 xml:space="preserve">Total liabilities and stockholders’ equity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7"/>
              </w:rPr>
              <w:t>1,308,571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7"/>
              </w:rPr>
              <w:t>1,346,119</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lineRule="auto" w:line="288" w:before="0" w:after="0"/>
        <w:rPr/>
      </w:pPr>
      <w:hyperlink w:anchor="i94c2d3dd1ce14e10b7b4d9e6b8321d18_1824">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652"/>
        <w:gridCol w:w="2241"/>
        <w:gridCol w:w="2232"/>
        <w:gridCol w:w="109"/>
        <w:gridCol w:w="109"/>
        <w:gridCol w:w="109"/>
        <w:gridCol w:w="219"/>
        <w:gridCol w:w="862"/>
        <w:gridCol w:w="109"/>
        <w:gridCol w:w="109"/>
        <w:gridCol w:w="109"/>
        <w:gridCol w:w="109"/>
        <w:gridCol w:w="219"/>
        <w:gridCol w:w="862"/>
        <w:gridCol w:w="155"/>
      </w:tblGrid>
      <w:tr>
        <w:trPr/>
        <w:tc>
          <w:tcPr>
            <w:tcW w:w="2652" w:type="dxa"/>
            <w:tcBorders/>
            <w:shd w:fill="auto" w:val="clear"/>
            <w:vAlign w:val="center"/>
          </w:tcPr>
          <w:p>
            <w:pPr>
              <w:pStyle w:val="TableContents"/>
              <w:spacing w:before="0" w:after="283"/>
              <w:rPr>
                <w:sz w:val="4"/>
                <w:szCs w:val="4"/>
              </w:rPr>
            </w:pPr>
            <w:r>
              <w:rPr>
                <w:sz w:val="4"/>
                <w:szCs w:val="4"/>
              </w:rPr>
            </w:r>
          </w:p>
        </w:tc>
        <w:tc>
          <w:tcPr>
            <w:tcW w:w="2241" w:type="dxa"/>
            <w:tcBorders/>
            <w:shd w:fill="auto" w:val="clear"/>
            <w:vAlign w:val="center"/>
          </w:tcPr>
          <w:p>
            <w:pPr>
              <w:pStyle w:val="TableContents"/>
              <w:spacing w:before="0" w:after="283"/>
              <w:rPr>
                <w:sz w:val="4"/>
                <w:szCs w:val="4"/>
              </w:rPr>
            </w:pPr>
            <w:r>
              <w:rPr>
                <w:sz w:val="4"/>
                <w:szCs w:val="4"/>
              </w:rPr>
            </w:r>
          </w:p>
        </w:tc>
        <w:tc>
          <w:tcPr>
            <w:tcW w:w="2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Cost of revenues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207,516 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 xml:space="preserve">Gross profit </w:t>
            </w:r>
            <w:r>
              <w:rPr>
                <w:rFonts w:ascii="Times New Roman;sans-serif" w:hAnsi="Times New Roman;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149,174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121,692</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59,448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43,975</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 expense and earnings from equity affiliates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59,323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47,266</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earnings from equity affiliates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51,265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36,064</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from equity-method investment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ExlService Holdings, Inc.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51,331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36,178</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attributable to ExlService Holdings, Inc.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used in computing earnings per share attributable to ExlService Holdings, Inc.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33,439,564 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33,442,038 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33,931,480 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33,894,868 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(1) Exclusive of depreciation and amortization expense.</w:t>
      </w:r>
    </w:p>
    <w:p>
      <w:pPr>
        <w:pStyle w:val="TextBody"/>
        <w:spacing w:before="120" w:after="283"/>
        <w:jc w:val="both"/>
        <w:rPr/>
      </w:pPr>
      <w:r>
        <w:rPr/>
      </w:r>
    </w:p>
    <w:p>
      <w:pPr>
        <w:pStyle w:val="TextBody"/>
        <w:spacing w:before="180" w:after="283"/>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lineRule="auto" w:line="288" w:before="0" w:after="0"/>
        <w:rPr/>
      </w:pPr>
      <w:hyperlink w:anchor="i94c2d3dd1ce14e10b7b4d9e6b8321d18_1824">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6235" w:type="dxa"/>
        <w:jc w:val="center"/>
        <w:tblInd w:w="0" w:type="dxa"/>
        <w:tblCellMar>
          <w:top w:w="28" w:type="dxa"/>
          <w:left w:w="28" w:type="dxa"/>
          <w:bottom w:w="28" w:type="dxa"/>
          <w:right w:w="28" w:type="dxa"/>
        </w:tblCellMar>
      </w:tblPr>
      <w:tblGrid>
        <w:gridCol w:w="1329"/>
        <w:gridCol w:w="1165"/>
        <w:gridCol w:w="1180"/>
        <w:gridCol w:w="217"/>
        <w:gridCol w:w="760"/>
        <w:gridCol w:w="112"/>
        <w:gridCol w:w="112"/>
        <w:gridCol w:w="112"/>
        <w:gridCol w:w="112"/>
        <w:gridCol w:w="217"/>
        <w:gridCol w:w="760"/>
        <w:gridCol w:w="159"/>
      </w:tblGrid>
      <w:tr>
        <w:trPr/>
        <w:tc>
          <w:tcPr>
            <w:tcW w:w="1329"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51,331</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36,178</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Other comprehensive income/(loss):</w:t>
            </w:r>
          </w:p>
        </w:tc>
        <w:tc>
          <w:tcPr>
            <w:tcW w:w="1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gain/(loss) on cash flow hedges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7,294 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4"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gain/(loss)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5,313 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(7,445)</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4"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Reclassification adjustments:</w:t>
            </w:r>
          </w:p>
        </w:tc>
        <w:tc>
          <w:tcPr>
            <w:tcW w:w="1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(Gain)/loss on cash flow hedges</w:t>
            </w:r>
            <w:r>
              <w:rPr>
                <w:rFonts w:ascii="Times New Roman;sans-serif" w:hAnsi="Times New Roman;sans-serif"/>
                <w:b w:val="false"/>
                <w:color w:val="000000"/>
                <w:sz w:val="13"/>
              </w:rPr>
              <w:t>(1)</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Retirement benefits</w:t>
            </w:r>
            <w:r>
              <w:rPr>
                <w:rFonts w:ascii="Times New Roman;sans-serif" w:hAnsi="Times New Roman;sans-serif"/>
                <w:b w:val="false"/>
                <w:color w:val="000000"/>
                <w:sz w:val="13"/>
              </w:rPr>
              <w:t>(2)</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Income tax effects relating to above</w:t>
            </w:r>
            <w:r>
              <w:rPr>
                <w:rFonts w:ascii="Times New Roman;sans-serif" w:hAnsi="Times New Roman;sans-serif"/>
                <w:b/>
                <w:color w:val="000000"/>
                <w:sz w:val="13"/>
              </w:rPr>
              <w:t>(3)</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Total other comprehensive income/(loss)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12,656</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(8,832)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63,987</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27,346</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120" w:after="283"/>
        <w:ind w:left="0" w:right="0" w:hanging="630"/>
        <w:jc w:val="both"/>
        <w:rPr>
          <w:rFonts w:ascii="Times New Roman;sans-serif" w:hAnsi="Times New Roman;sans-serif"/>
          <w:b w:val="false"/>
          <w:i/>
          <w:color w:val="000000"/>
          <w:sz w:val="18"/>
        </w:rPr>
      </w:pPr>
      <w:r>
        <w:rPr>
          <w:rFonts w:ascii="Times New Roman;sans-serif" w:hAnsi="Times New Roman;sans-serif"/>
          <w:b w:val="false"/>
          <w:i/>
          <w:color w:val="000000"/>
          <w:sz w:val="18"/>
        </w:rPr>
        <w:t>(1)These are reclassified to net income and are included in cost of revenues, operating expenses and interest expense, as applicable in the unaudited consolidated statements of income. Refer to Note 17 - Derivatives and Hedge Accounting to the unaudited consolidated financial statements.</w:t>
      </w:r>
    </w:p>
    <w:p>
      <w:pPr>
        <w:pStyle w:val="TextBody"/>
        <w:spacing w:lineRule="auto" w:line="288" w:before="120" w:after="283"/>
        <w:ind w:left="0" w:right="0" w:hanging="630"/>
        <w:jc w:val="both"/>
        <w:rPr>
          <w:rFonts w:ascii="Times New Roman;sans-serif" w:hAnsi="Times New Roman;sans-serif"/>
          <w:b w:val="false"/>
          <w:i/>
          <w:color w:val="000000"/>
          <w:sz w:val="18"/>
        </w:rPr>
      </w:pPr>
      <w:r>
        <w:rPr>
          <w:rFonts w:ascii="Times New Roman;sans-serif" w:hAnsi="Times New Roman;sans-serif"/>
          <w:b w:val="false"/>
          <w:i/>
          <w:color w:val="000000"/>
          <w:sz w:val="18"/>
        </w:rPr>
        <w:t>(2)These are reclassified to net income and are included in other income, net in the unaudited consolidated statements of income. Refer to Note 20 - Employee Benefit Plans to the unaudited consolidated financial statements.</w:t>
      </w:r>
    </w:p>
    <w:p>
      <w:pPr>
        <w:pStyle w:val="TextBody"/>
        <w:spacing w:lineRule="auto" w:line="288" w:before="120" w:after="283"/>
        <w:ind w:left="0" w:right="0" w:hanging="630"/>
        <w:jc w:val="both"/>
        <w:rPr>
          <w:rFonts w:ascii="Times New Roman;sans-serif" w:hAnsi="Times New Roman;sans-serif"/>
          <w:b w:val="false"/>
          <w:i/>
          <w:color w:val="000000"/>
          <w:sz w:val="18"/>
        </w:rPr>
      </w:pPr>
      <w:r>
        <w:rPr>
          <w:rFonts w:ascii="Times New Roman;sans-serif" w:hAnsi="Times New Roman;sans-serif"/>
          <w:b w:val="false"/>
          <w:i/>
          <w:color w:val="000000"/>
          <w:sz w:val="18"/>
        </w:rPr>
        <w:t>(3)These are income tax effects recognized on cash flow hedges, retirement benefits and foreign currency translation gain/(loss). Refer to Note 22 - Income Taxes to the unaudited consolidated financial statements.</w:t>
      </w:r>
    </w:p>
    <w:p>
      <w:pPr>
        <w:pStyle w:val="TextBody"/>
        <w:spacing w:before="120" w:after="283"/>
        <w:ind w:left="0" w:right="0" w:hanging="630"/>
        <w:jc w:val="both"/>
        <w:rPr/>
      </w:pPr>
      <w:r>
        <w:rPr/>
      </w:r>
    </w:p>
    <w:p>
      <w:pPr>
        <w:pStyle w:val="TextBody"/>
        <w:spacing w:before="120" w:after="283"/>
        <w:ind w:left="0" w:right="0" w:hanging="630"/>
        <w:jc w:val="both"/>
        <w:rPr/>
      </w:pPr>
      <w:r>
        <w:rPr/>
      </w:r>
    </w:p>
    <w:p>
      <w:pPr>
        <w:pStyle w:val="TextBody"/>
        <w:spacing w:lineRule="auto" w:line="288" w:before="1800" w:after="283"/>
        <w:ind w:left="0" w:right="0" w:hanging="63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unaudited consolidated financial statements.</w:t>
      </w:r>
    </w:p>
    <w:p>
      <w:pPr>
        <w:pStyle w:val="TextBody"/>
        <w:spacing w:before="1800" w:after="283"/>
        <w:jc w:val="center"/>
        <w:rPr/>
      </w:pPr>
      <w:r>
        <w:rPr/>
      </w:r>
    </w:p>
    <w:p>
      <w:pPr>
        <w:pStyle w:val="TextBody"/>
        <w:spacing w:before="1800" w:after="283"/>
        <w:jc w:val="center"/>
        <w:rPr/>
      </w:pPr>
      <w:r>
        <w:rPr/>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lineRule="auto" w:line="288" w:before="0" w:after="0"/>
        <w:rPr/>
      </w:pPr>
      <w:hyperlink w:anchor="i94c2d3dd1ce14e10b7b4d9e6b8321d18_1824">
        <w:r>
          <w:rPr>
            <w:rStyle w:val="InternetLink"/>
            <w:rFonts w:ascii="Times New Roman;sans-serif" w:hAnsi="Times New Roman;sans-serif"/>
            <w:b/>
            <w:color w:val="0000FF"/>
            <w:sz w:val="20"/>
            <w:u w:val="single"/>
          </w:rPr>
          <w:t>Table of Contents</w:t>
        </w:r>
      </w:hyperlink>
    </w:p>
    <w:p>
      <w:pPr>
        <w:pStyle w:val="TextBody"/>
        <w:spacing w:before="180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2023 and 2022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count)</w:t>
      </w:r>
    </w:p>
    <w:tbl>
      <w:tblPr>
        <w:tblW w:w="12326" w:type="dxa"/>
        <w:jc w:val="center"/>
        <w:tblInd w:w="0" w:type="dxa"/>
        <w:tblCellMar>
          <w:top w:w="28" w:type="dxa"/>
          <w:left w:w="28" w:type="dxa"/>
          <w:bottom w:w="28" w:type="dxa"/>
          <w:right w:w="28" w:type="dxa"/>
        </w:tblCellMar>
      </w:tblPr>
      <w:tblGrid>
        <w:gridCol w:w="701"/>
        <w:gridCol w:w="234"/>
        <w:gridCol w:w="236"/>
        <w:gridCol w:w="488"/>
        <w:gridCol w:w="488"/>
        <w:gridCol w:w="196"/>
        <w:gridCol w:w="109"/>
        <w:gridCol w:w="109"/>
        <w:gridCol w:w="109"/>
        <w:gridCol w:w="208"/>
        <w:gridCol w:w="367"/>
        <w:gridCol w:w="116"/>
        <w:gridCol w:w="109"/>
        <w:gridCol w:w="109"/>
        <w:gridCol w:w="109"/>
        <w:gridCol w:w="196"/>
        <w:gridCol w:w="751"/>
        <w:gridCol w:w="109"/>
        <w:gridCol w:w="109"/>
        <w:gridCol w:w="109"/>
        <w:gridCol w:w="109"/>
        <w:gridCol w:w="196"/>
        <w:gridCol w:w="751"/>
        <w:gridCol w:w="109"/>
        <w:gridCol w:w="109"/>
        <w:gridCol w:w="109"/>
        <w:gridCol w:w="109"/>
        <w:gridCol w:w="225"/>
        <w:gridCol w:w="864"/>
        <w:gridCol w:w="127"/>
        <w:gridCol w:w="109"/>
        <w:gridCol w:w="109"/>
        <w:gridCol w:w="109"/>
        <w:gridCol w:w="443"/>
        <w:gridCol w:w="443"/>
        <w:gridCol w:w="196"/>
        <w:gridCol w:w="109"/>
        <w:gridCol w:w="109"/>
        <w:gridCol w:w="109"/>
        <w:gridCol w:w="196"/>
        <w:gridCol w:w="751"/>
        <w:gridCol w:w="109"/>
        <w:gridCol w:w="109"/>
        <w:gridCol w:w="109"/>
        <w:gridCol w:w="109"/>
        <w:gridCol w:w="109"/>
        <w:gridCol w:w="109"/>
        <w:gridCol w:w="109"/>
        <w:gridCol w:w="109"/>
        <w:gridCol w:w="196"/>
        <w:gridCol w:w="751"/>
        <w:gridCol w:w="154"/>
      </w:tblGrid>
      <w:tr>
        <w:trPr/>
        <w:tc>
          <w:tcPr>
            <w:tcW w:w="70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9"/>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5" w:type="dxa"/>
            <w:gridSpan w:val="9"/>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9"/>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5" w:type="dxa"/>
            <w:gridSpan w:val="9"/>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10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10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January 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39,987,976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445,108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899,105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(144,143)</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(6,753,532)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(441,931)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758,179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issued against stock-based compensation plans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346,392 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treasury stock</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(259,381)</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(42,363)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12,656 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40,334,368</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460,527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950,436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(131,487)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(7,012,913)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(484,294)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795,222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9"/>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5" w:type="dxa"/>
            <w:gridSpan w:val="9"/>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9"/>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5" w:type="dxa"/>
            <w:gridSpan w:val="9"/>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10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10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January 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39,508,340</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395,742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756,137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(89,474)</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(6,216,858)</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(369,289)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693,156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issued against stock-based compensation plans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285,814 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treasury stock</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(248,552)</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(31,385)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(8,832)</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39,794,154</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406,966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792,315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(98,306)</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(6,465,410)</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(400,674)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700,341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lineRule="auto" w:line="288" w:before="0" w:after="0"/>
        <w:rPr/>
      </w:pPr>
      <w:hyperlink w:anchor="i94c2d3dd1ce14e10b7b4d9e6b8321d18_1824">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174" w:type="dxa"/>
        <w:jc w:val="center"/>
        <w:tblInd w:w="0" w:type="dxa"/>
        <w:tblCellMar>
          <w:top w:w="28" w:type="dxa"/>
          <w:left w:w="28" w:type="dxa"/>
          <w:bottom w:w="28" w:type="dxa"/>
          <w:right w:w="28" w:type="dxa"/>
        </w:tblCellMar>
      </w:tblPr>
      <w:tblGrid>
        <w:gridCol w:w="2337"/>
        <w:gridCol w:w="2048"/>
        <w:gridCol w:w="2065"/>
        <w:gridCol w:w="109"/>
        <w:gridCol w:w="109"/>
        <w:gridCol w:w="109"/>
        <w:gridCol w:w="199"/>
        <w:gridCol w:w="656"/>
        <w:gridCol w:w="110"/>
        <w:gridCol w:w="110"/>
        <w:gridCol w:w="110"/>
        <w:gridCol w:w="110"/>
        <w:gridCol w:w="199"/>
        <w:gridCol w:w="747"/>
        <w:gridCol w:w="156"/>
      </w:tblGrid>
      <w:tr>
        <w:trPr/>
        <w:tc>
          <w:tcPr>
            <w:tcW w:w="2337" w:type="dxa"/>
            <w:tcBorders/>
            <w:shd w:fill="auto" w:val="clear"/>
            <w:vAlign w:val="center"/>
          </w:tcPr>
          <w:p>
            <w:pPr>
              <w:pStyle w:val="TableContents"/>
              <w:spacing w:before="0" w:after="283"/>
              <w:rPr>
                <w:sz w:val="4"/>
                <w:szCs w:val="4"/>
              </w:rPr>
            </w:pPr>
            <w:r>
              <w:rPr>
                <w:sz w:val="4"/>
                <w:szCs w:val="4"/>
              </w:rPr>
            </w:r>
          </w:p>
        </w:tc>
        <w:tc>
          <w:tcPr>
            <w:tcW w:w="2048" w:type="dxa"/>
            <w:tcBorders/>
            <w:shd w:fill="auto" w:val="clear"/>
            <w:vAlign w:val="center"/>
          </w:tcPr>
          <w:p>
            <w:pPr>
              <w:pStyle w:val="TableContents"/>
              <w:spacing w:before="0" w:after="283"/>
              <w:rPr>
                <w:sz w:val="4"/>
                <w:szCs w:val="4"/>
              </w:rPr>
            </w:pPr>
            <w:r>
              <w:rPr>
                <w:sz w:val="4"/>
                <w:szCs w:val="4"/>
              </w:rPr>
            </w:r>
          </w:p>
        </w:tc>
        <w:tc>
          <w:tcPr>
            <w:tcW w:w="20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51,331 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36,178 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by/(used for)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13,408 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13,669 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14,407 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11,224 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4,883 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loss/(gain) on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8,186 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foreign currency exchange loss/(gain),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2,814 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(3,165)</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benefit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(9,444)</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Allowance for expected credit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1,160 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operating assets and liabilities, net of effects of acquisitions: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(30,896)</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(45,659)</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(6,046)</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(1,116)</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7,883 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(4,172)</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(2,924)</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(4,445)</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Deferred revenue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2,451 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employee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(57,315)</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(60,008)</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26,931 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15,647 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(5,453)</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(6,005)</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by/(used for)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16,025 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(26,870)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(12,479)</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(16,101)</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Business acquisition (net of cash and cash equivalents acquired)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(1,367)</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(51,495)</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(36,804)</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redemption of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106,750 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49,515 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by/(used for)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43,341 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of finance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borrowings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borrowings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treasury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(42,363)</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(31,385)</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ESPP contribution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1,102 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for)/provided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(91,304)</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(30,656)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(28,741)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the beginning of the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125,621 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143,810 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the end of the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94,965 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115,069 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cash flow information: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3,325 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net of refunds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6,525 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acquired under finance lease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p>
      <w:pPr>
        <w:pStyle w:val="TextBody"/>
        <w:spacing w:lineRule="auto" w:line="288" w:before="0" w:after="0"/>
        <w:rPr/>
      </w:pPr>
      <w:hyperlink w:anchor="i94c2d3dd1ce14e10b7b4d9e6b8321d18_1824">
        <w:r>
          <w:rPr>
            <w:rStyle w:val="InternetLink"/>
            <w:rFonts w:ascii="Times New Roman;sans-serif" w:hAnsi="Times New Roman;sans-serif"/>
            <w:b/>
            <w:color w:val="0000FF"/>
            <w:sz w:val="20"/>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March 31, 2023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1. Organization</w:t>
      </w:r>
    </w:p>
    <w:p>
      <w:pPr>
        <w:pStyle w:val="TextBody"/>
        <w:spacing w:lineRule="auto" w:line="26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ExlService Holdings, Inc. (“ExlService Holdings”) is organized as a corporation under the laws of the state of Delaware. ExlService Holdings, together with its subsidiaries and affiliates (collectively, the “Company”), is a leading data analytics and digital operations and solutions company that partners with clients to improve business outcomes and unlock growth. By bringing together deep domain expertise with robust data, powerful analytics, cloud, artificial intelligence and machine learning, the Company creates agile, scalable solutions and executes complex operations for the world’s leading corporations in industries including insurance, healthcare, banking and financial services, media, and retail, among others. The Company’s data-led value creation framework enables better and faster decision making, leveraging its end-to-end data and analytics capabilities to drive improved business outcomes, and re-designing of operating models to integrate advanced technology into operational workflows. The Company embeds digital operations and solutions into clients’ businesses and introduces its data led approach to transform operations.</w:t>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clients are located principally in the United States of America (“U.S.”) and the United Kingdom (“U.K.”).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lineRule="auto" w:line="288" w:before="180" w:after="180"/>
        <w:ind w:left="0" w:right="0" w:hanging="360"/>
        <w:rPr>
          <w:rFonts w:ascii="Times New Roman;sans-serif" w:hAnsi="Times New Roman;sans-serif"/>
          <w:b/>
          <w:i/>
          <w:color w:val="000000"/>
          <w:sz w:val="20"/>
        </w:rPr>
      </w:pPr>
      <w:r>
        <w:rPr>
          <w:rFonts w:ascii="Times New Roman;sans-serif" w:hAnsi="Times New Roman;sans-serif"/>
          <w:b/>
          <w:i/>
          <w:color w:val="000000"/>
          <w:sz w:val="20"/>
        </w:rPr>
        <w:t>(a)Basis of Preparation and Principles of Consolidation</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consolidated financial statements have been prepared in conformity with United States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2022.</w:t>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pStyle w:val="TextBody"/>
        <w:spacing w:before="0" w:after="0"/>
        <w:rPr/>
      </w:pPr>
      <w:r>
        <w:rPr/>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consolidated financial statements include the financial statements of ExlService Holdings and all of its subsidiaries. The standalone financial statements of subsidiaries are fully consolidated on a line-by-line basis. Intra-group balances and transactions, and gains and losses arising from intra-group transactions, are eliminated while preparing consolidated financial statements.</w:t>
      </w:r>
    </w:p>
    <w:p>
      <w:pPr>
        <w:pStyle w:val="TextBody"/>
        <w:spacing w:before="0" w:after="0"/>
        <w:rPr/>
      </w:pPr>
      <w:r>
        <w:rPr/>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in equity affiliates are initially recorded at cost and any excess purchase consideration paid over proportionate share of the fair value of the net assets of the investee at the acquisition date is recognized as goodwill. The proportionate share of net income or loss of the investee after its acquisition is recognized in the unaudited consolidated statements of income.</w:t>
      </w:r>
    </w:p>
    <w:p>
      <w:pPr>
        <w:pStyle w:val="TextBody"/>
        <w:spacing w:before="0" w:after="0"/>
        <w:ind w:left="0" w:right="0" w:firstLine="450"/>
        <w:jc w:val="both"/>
        <w:rPr/>
      </w:pPr>
      <w:r>
        <w:rPr/>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Accounting policies of the respective individual subsidiaries and equity affiliates are aligned wherever necessary, so as to ensure consistency with the accounting policies that are adopted by the Company under U.S. GAAP.</w:t>
      </w:r>
    </w:p>
    <w:p>
      <w:pPr>
        <w:pStyle w:val="TextBody"/>
        <w:spacing w:before="180" w:after="180"/>
        <w:ind w:left="0" w:right="0" w:firstLine="450"/>
        <w:jc w:val="both"/>
        <w:rPr/>
      </w:pPr>
      <w:r>
        <w:rPr/>
      </w:r>
    </w:p>
    <w:p>
      <w:pPr>
        <w:pStyle w:val="TextBody"/>
        <w:spacing w:before="180" w:after="180"/>
        <w:ind w:left="0" w:right="0" w:firstLine="450"/>
        <w:jc w:val="both"/>
        <w:rPr/>
      </w:pPr>
      <w:r>
        <w:rPr/>
      </w:r>
    </w:p>
    <w:p>
      <w:pPr>
        <w:pStyle w:val="TextBody"/>
        <w:spacing w:before="180" w:after="18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rFonts w:ascii="Times New Roman;sans-serif" w:hAnsi="Times New Roman;sans-serif"/>
          <w:b/>
          <w:color w:val="0000FF"/>
          <w:sz w:val="20"/>
          <w:u w:val="single"/>
        </w:rPr>
      </w:pPr>
      <w:r>
        <w:rPr>
          <w:rFonts w:ascii="Times New Roman;sans-serif" w:hAnsi="Times New Roman;sans-serif"/>
          <w:b/>
          <w:color w:val="0000FF"/>
          <w:sz w:val="20"/>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spacing w:lineRule="auto" w:line="288" w:before="180" w:after="180"/>
        <w:ind w:left="0" w:right="0" w:hanging="360"/>
        <w:rPr>
          <w:rFonts w:ascii="Times New Roman;sans-serif" w:hAnsi="Times New Roman;sans-serif"/>
          <w:b/>
          <w:i/>
          <w:color w:val="000000"/>
          <w:sz w:val="20"/>
        </w:rPr>
      </w:pPr>
      <w:r>
        <w:rPr>
          <w:rFonts w:ascii="Times New Roman;sans-serif" w:hAnsi="Times New Roman;sans-serif"/>
          <w:b/>
          <w:i/>
          <w:color w:val="000000"/>
          <w:sz w:val="20"/>
        </w:rPr>
        <w:t>(b)Use of Estimates</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unaudited consolidated financial statements in conformity with U.S.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Although these estimates are based on management’s best assessment of the current business environment, actual results may be different from those estimates. The significant estimates and assumptions that affect the unaudited consolidated financial statements include, but are not limited to, estimates of the fair value of the identifiable intangible assets and contingent consideration, purchase price allocation, including revenue projections and the discount rate applied within the discounted cash flow model for business acquisitions, credit risk of customers, the nature and timing of the satisfaction of performance obligations, the standalone selling price of performance obligations, and variable consideration in a customer contract, expected recoverability from customers with contingent fee arrangements, estimated costs to complete fixed price contracts, recoverability of dues from statutory authorities, assets and obligations related to employee benefit plans, deferred tax valuation allowances, income-tax uncertainties and other contingencies, valuation of derivative financial instruments, stock-based awards, and debt instruments, assumptions used to calculate stock-based compensation expense, assumptions used to determine the incremental borrowing rate to calculate lease liabilities and right-of-use (“ROU”) assets, lease term to calculate amortization of ROU, depreciation and amortization periods, and recoverability of long-lived assets, goodwill and intangibles.</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 Recent Accounting Pronouncements</w:t>
      </w:r>
    </w:p>
    <w:p>
      <w:pPr>
        <w:pStyle w:val="TextBody"/>
        <w:spacing w:before="0" w:after="0"/>
        <w:ind w:left="0" w:right="0" w:firstLine="720"/>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rPr>
        <w:t xml:space="preserve">In March 2023, the Financial Accounting Standard Board (“FASB”) issued Accounting Standard Update (“ASU”) No. 2023-01, </w:t>
      </w:r>
      <w:r>
        <w:rPr>
          <w:rFonts w:ascii="Times New Roman;sans-serif" w:hAnsi="Times New Roman;sans-serif"/>
          <w:b w:val="false"/>
          <w:i/>
          <w:color w:val="000000"/>
          <w:sz w:val="20"/>
        </w:rPr>
        <w:t>Leases (“ASC Topic 842”): Common Control Arrangements</w:t>
      </w:r>
      <w:r>
        <w:rPr>
          <w:rFonts w:ascii="Times New Roman;sans-serif" w:hAnsi="Times New Roman;sans-serif"/>
          <w:b w:val="false"/>
          <w:color w:val="000000"/>
          <w:sz w:val="20"/>
        </w:rPr>
        <w:t>. This ASU provides guidance in ASC Topic 842 that leasehold improvements associated with common control leases should be (i) amortized by the lessee over the useful life of the leasehold improvements to the common control group, regardless of the lease term, as long as the lessee controls the use of the underlying asset through a lease, and (ii) accounted for as a transfer between entities under common control through an adjustment to equity if and when the lessee no longer controls the use of the underlying asset. The ASU is effective for fiscal years beginning after December 15, 2023. Early adoption is permitted for both interim and annual financial statements that have not yet been issued. When adopted in an interim period, it must be adopted from the beginning of the year that includes that interim period. The Company is currently evaluating the impact of this ASU on its consolidated financial statements.</w:t>
      </w:r>
    </w:p>
    <w:p>
      <w:pPr>
        <w:pStyle w:val="TextBody"/>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(d) Recently adopted Accounting Pronouncements</w:t>
      </w:r>
    </w:p>
    <w:p>
      <w:pPr>
        <w:pStyle w:val="TextBody"/>
        <w:spacing w:lineRule="auto" w:line="268" w:before="180" w:after="180"/>
        <w:ind w:left="0" w:right="0" w:firstLine="450"/>
        <w:jc w:val="both"/>
        <w:rPr/>
      </w:pPr>
      <w:r>
        <w:rPr>
          <w:rFonts w:ascii="Times New Roman;sans-serif" w:hAnsi="Times New Roman;sans-serif"/>
          <w:b w:val="false"/>
          <w:color w:val="000000"/>
          <w:sz w:val="20"/>
        </w:rPr>
        <w:t xml:space="preserve">In October 2021, FASB issued ASU No. 2021-08, </w:t>
      </w:r>
      <w:r>
        <w:rPr>
          <w:rFonts w:ascii="Times New Roman;sans-serif" w:hAnsi="Times New Roman;sans-serif"/>
          <w:b w:val="false"/>
          <w:i/>
          <w:color w:val="000000"/>
          <w:sz w:val="20"/>
        </w:rPr>
        <w:t>Business Combinations (“ASC Topic 805”)</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Accounting for Contract Assets and Contract Liabilities from Contracts with Customers</w:t>
      </w:r>
      <w:r>
        <w:rPr>
          <w:rFonts w:ascii="Times New Roman;sans-serif" w:hAnsi="Times New Roman;sans-serif"/>
          <w:b w:val="false"/>
          <w:color w:val="000000"/>
          <w:sz w:val="20"/>
        </w:rPr>
        <w:t xml:space="preserve">. This ASU provides guidance in ASC Topic 805 to require the acquirer entity to recognize and measure contract assets and contract liabilities acquired in a business combination in accordance with ASC Topic 606, </w:t>
      </w:r>
      <w:r>
        <w:rPr>
          <w:rFonts w:ascii="Times New Roman;sans-serif" w:hAnsi="Times New Roman;sans-serif"/>
          <w:b w:val="false"/>
          <w:i/>
          <w:color w:val="000000"/>
          <w:sz w:val="20"/>
        </w:rPr>
        <w:t>Revenue from Contract with Customers</w:t>
      </w:r>
      <w:r>
        <w:rPr>
          <w:rFonts w:ascii="Times New Roman;sans-serif" w:hAnsi="Times New Roman;sans-serif"/>
          <w:b w:val="false"/>
          <w:color w:val="000000"/>
          <w:sz w:val="20"/>
        </w:rPr>
        <w:t>, as if it had originated the contracts. Generally, this should result in an acquirer recognizing and measuring the acquired contract assets and contract liabilities consistent with how they were recognized and measured in the acquiree’s financial statements, if the acquiree prepared financial statements in accordance with U.S. GAAP. The ASU is effective for fiscal years beginning after December 15, 2022. An entity may early adopt the ASU including adoption in an interim period, with retrospective application to all business combinations within the fiscal year that includes such interim period. The adoption of this ASU is applicable for future business combinations.</w:t>
      </w:r>
    </w:p>
    <w:p>
      <w:pPr>
        <w:pStyle w:val="TextBody"/>
        <w:spacing w:before="0" w:after="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3. Segment and Geographical Information</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provider of data analytics and digital operations and solutions.</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manages and reports financial information through its four reportable segments: Insurance, Healthcare, Analytics and Emerging Business, which reflects how management reviews financial information and makes operating decisions. These business units develop client-specific solutions, build capabilities, maintain a unified go-to-market approach and are integrally responsible for service delivery, customer satisfaction, growth and profitability.</w:t>
      </w:r>
    </w:p>
    <w:p>
      <w:pPr>
        <w:pStyle w:val="TextBody"/>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chief operating decision maker (“CODM”) generally reviews financial information such as revenues, cost of revenues and gross profit, disaggregated by the operating segments to allocate an overall budget among the operating segments.</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rFonts w:ascii="Times New Roman;sans-serif" w:hAnsi="Times New Roman;sans-serif"/>
          <w:b/>
          <w:color w:val="0000FF"/>
          <w:sz w:val="20"/>
          <w:u w:val="single"/>
        </w:rPr>
      </w:pPr>
      <w:r>
        <w:rPr>
          <w:rFonts w:ascii="Times New Roman;sans-serif" w:hAnsi="Times New Roman;sans-serif"/>
          <w:b/>
          <w:color w:val="0000FF"/>
          <w:sz w:val="20"/>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allocate, and therefore the CODM does not evaluate, certain operating expenses, interest expense or income taxes by segment. Many of the Company’s assets are shared by multiple operating segments. The Company manages these assets on a total Company basis, not by operating segment, and therefore asset information and capital expenditures by operating segment are not presented.</w:t>
      </w:r>
    </w:p>
    <w:p>
      <w:pPr>
        <w:pStyle w:val="TextBody"/>
        <w:spacing w:lineRule="auto" w:line="26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Revenues and cost of revenues for the three months ended March 31, 2023 and 2022, respectively, for each of the reportable segments, are as follows:</w:t>
      </w:r>
    </w:p>
    <w:tbl>
      <w:tblPr>
        <w:tblW w:w="10205" w:type="dxa"/>
        <w:jc w:val="left"/>
        <w:tblInd w:w="0" w:type="dxa"/>
        <w:tblCellMar>
          <w:top w:w="28" w:type="dxa"/>
          <w:left w:w="28" w:type="dxa"/>
          <w:bottom w:w="28" w:type="dxa"/>
          <w:right w:w="28" w:type="dxa"/>
        </w:tblCellMar>
      </w:tblPr>
      <w:tblGrid>
        <w:gridCol w:w="1226"/>
        <w:gridCol w:w="890"/>
        <w:gridCol w:w="891"/>
        <w:gridCol w:w="211"/>
        <w:gridCol w:w="826"/>
        <w:gridCol w:w="109"/>
        <w:gridCol w:w="109"/>
        <w:gridCol w:w="109"/>
        <w:gridCol w:w="109"/>
        <w:gridCol w:w="211"/>
        <w:gridCol w:w="721"/>
        <w:gridCol w:w="109"/>
        <w:gridCol w:w="109"/>
        <w:gridCol w:w="109"/>
        <w:gridCol w:w="109"/>
        <w:gridCol w:w="254"/>
        <w:gridCol w:w="869"/>
        <w:gridCol w:w="131"/>
        <w:gridCol w:w="109"/>
        <w:gridCol w:w="109"/>
        <w:gridCol w:w="109"/>
        <w:gridCol w:w="211"/>
        <w:gridCol w:w="826"/>
        <w:gridCol w:w="109"/>
        <w:gridCol w:w="109"/>
        <w:gridCol w:w="109"/>
        <w:gridCol w:w="109"/>
        <w:gridCol w:w="211"/>
        <w:gridCol w:w="826"/>
        <w:gridCol w:w="109"/>
        <w:gridCol w:w="157"/>
      </w:tblGrid>
      <w:tr>
        <w:trPr/>
        <w:tc>
          <w:tcPr>
            <w:tcW w:w="1226"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tcPr>
          <w:p>
            <w:pPr>
              <w:pStyle w:val="TableContents"/>
              <w:spacing w:before="0" w:after="283"/>
              <w:rPr>
                <w:sz w:val="4"/>
                <w:szCs w:val="4"/>
              </w:rPr>
            </w:pPr>
            <w:r>
              <w:rPr>
                <w:sz w:val="4"/>
                <w:szCs w:val="4"/>
              </w:rPr>
            </w:r>
          </w:p>
        </w:tc>
      </w:tr>
      <w:tr>
        <w:trPr/>
        <w:tc>
          <w:tcPr>
            <w:tcW w:w="30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1" w:type="dxa"/>
            <w:gridSpan w:val="27"/>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c>
          <w:tcPr>
            <w:tcW w:w="157" w:type="dxa"/>
            <w:tcBorders/>
            <w:shd w:fill="auto" w:val="clear"/>
          </w:tcPr>
          <w:p>
            <w:pPr>
              <w:pStyle w:val="TableContents"/>
              <w:spacing w:before="0" w:after="283"/>
              <w:rPr>
                <w:sz w:val="4"/>
                <w:szCs w:val="4"/>
              </w:rPr>
            </w:pPr>
            <w:r>
              <w:rPr>
                <w:sz w:val="4"/>
                <w:szCs w:val="4"/>
              </w:rPr>
            </w:r>
          </w:p>
        </w:tc>
      </w:tr>
      <w:tr>
        <w:trPr/>
        <w:tc>
          <w:tcPr>
            <w:tcW w:w="3007" w:type="dxa"/>
            <w:gridSpan w:val="3"/>
            <w:vMerge w:val="restart"/>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Insurance</w:t>
            </w:r>
          </w:p>
        </w:tc>
        <w:tc>
          <w:tcPr>
            <w:tcW w:w="327" w:type="dxa"/>
            <w:gridSpan w:val="3"/>
            <w:vMerge w:val="restart"/>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Healthcare</w:t>
            </w:r>
          </w:p>
        </w:tc>
        <w:tc>
          <w:tcPr>
            <w:tcW w:w="327" w:type="dxa"/>
            <w:gridSpan w:val="3"/>
            <w:vMerge w:val="restart"/>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Emerging Business</w:t>
            </w:r>
          </w:p>
        </w:tc>
        <w:tc>
          <w:tcPr>
            <w:tcW w:w="327" w:type="dxa"/>
            <w:gridSpan w:val="3"/>
            <w:vMerge w:val="restart"/>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Analytics</w:t>
            </w:r>
          </w:p>
        </w:tc>
        <w:tc>
          <w:tcPr>
            <w:tcW w:w="327" w:type="dxa"/>
            <w:gridSpan w:val="3"/>
            <w:vMerge w:val="restart"/>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157" w:type="dxa"/>
            <w:tcBorders/>
            <w:shd w:fill="auto" w:val="clear"/>
          </w:tcPr>
          <w:p>
            <w:pPr>
              <w:pStyle w:val="TableContents"/>
              <w:spacing w:before="0" w:after="283"/>
              <w:rPr>
                <w:sz w:val="4"/>
                <w:szCs w:val="4"/>
              </w:rPr>
            </w:pPr>
            <w:r>
              <w:rPr>
                <w:sz w:val="4"/>
                <w:szCs w:val="4"/>
              </w:rPr>
            </w:r>
          </w:p>
        </w:tc>
      </w:tr>
      <w:tr>
        <w:trPr/>
        <w:tc>
          <w:tcPr>
            <w:tcW w:w="3007" w:type="dxa"/>
            <w:gridSpan w:val="3"/>
            <w:vMerge w:val="continue"/>
            <w:tcBorders/>
            <w:shd w:fill="CCEEFF" w:val="clear"/>
            <w:tcMar>
              <w:top w:w="0" w:type="dxa"/>
              <w:left w:w="0" w:type="dxa"/>
              <w:bottom w:w="0" w:type="dxa"/>
              <w:right w:w="0" w:type="dxa"/>
            </w:tcMar>
            <w:vAlign w:val="center"/>
          </w:tcPr>
          <w:p>
            <w:pPr>
              <w:pStyle w:val="Normal"/>
              <w:rPr/>
            </w:pPr>
            <w:r>
              <w:rPr/>
            </w:r>
          </w:p>
        </w:tc>
        <w:tc>
          <w:tcPr>
            <w:tcW w:w="114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CCEEFF" w:val="clear"/>
            <w:tcMar>
              <w:left w:w="0" w:type="dxa"/>
              <w:bottom w:w="0" w:type="dxa"/>
              <w:right w:w="0" w:type="dxa"/>
            </w:tcMar>
            <w:vAlign w:val="center"/>
          </w:tcPr>
          <w:p>
            <w:pPr>
              <w:pStyle w:val="Normal"/>
              <w:rPr/>
            </w:pPr>
            <w:r>
              <w:rPr/>
            </w:r>
          </w:p>
        </w:tc>
        <w:tc>
          <w:tcPr>
            <w:tcW w:w="1041"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CCEEFF" w:val="clear"/>
            <w:tcMar>
              <w:left w:w="0" w:type="dxa"/>
              <w:bottom w:w="0" w:type="dxa"/>
              <w:right w:w="0" w:type="dxa"/>
            </w:tcMar>
            <w:vAlign w:val="center"/>
          </w:tcPr>
          <w:p>
            <w:pPr>
              <w:pStyle w:val="Normal"/>
              <w:rPr/>
            </w:pPr>
            <w:r>
              <w:rPr/>
            </w:r>
          </w:p>
        </w:tc>
        <w:tc>
          <w:tcPr>
            <w:tcW w:w="1254"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CCEEFF" w:val="clear"/>
            <w:tcMar>
              <w:left w:w="0" w:type="dxa"/>
              <w:bottom w:w="0" w:type="dxa"/>
              <w:right w:w="0" w:type="dxa"/>
            </w:tcMar>
            <w:vAlign w:val="center"/>
          </w:tcPr>
          <w:p>
            <w:pPr>
              <w:pStyle w:val="Normal"/>
              <w:rPr/>
            </w:pPr>
            <w:r>
              <w:rPr/>
            </w:r>
          </w:p>
        </w:tc>
        <w:tc>
          <w:tcPr>
            <w:tcW w:w="114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CCEEFF" w:val="clear"/>
            <w:tcMar>
              <w:left w:w="0" w:type="dxa"/>
              <w:bottom w:w="0" w:type="dxa"/>
              <w:right w:w="0" w:type="dxa"/>
            </w:tcMar>
            <w:vAlign w:val="center"/>
          </w:tcPr>
          <w:p>
            <w:pPr>
              <w:pStyle w:val="Normal"/>
              <w:rPr/>
            </w:pPr>
            <w:r>
              <w:rPr/>
            </w:r>
          </w:p>
        </w:tc>
        <w:tc>
          <w:tcPr>
            <w:tcW w:w="114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rPr/>
            </w:pPr>
            <w:r>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0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66,161 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tcPr>
          <w:p>
            <w:pPr>
              <w:pStyle w:val="TableContents"/>
              <w:spacing w:before="0" w:after="283"/>
              <w:rPr>
                <w:sz w:val="4"/>
                <w:szCs w:val="4"/>
              </w:rPr>
            </w:pPr>
            <w:r>
              <w:rPr>
                <w:sz w:val="4"/>
                <w:szCs w:val="4"/>
              </w:rPr>
            </w:r>
          </w:p>
        </w:tc>
      </w:tr>
      <w:tr>
        <w:trPr/>
        <w:tc>
          <w:tcPr>
            <w:tcW w:w="300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Cost of revenues</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tcPr>
          <w:p>
            <w:pPr>
              <w:pStyle w:val="TableContents"/>
              <w:spacing w:before="0" w:after="283"/>
              <w:rPr>
                <w:sz w:val="4"/>
                <w:szCs w:val="4"/>
              </w:rPr>
            </w:pPr>
            <w:r>
              <w:rPr>
                <w:sz w:val="4"/>
                <w:szCs w:val="4"/>
              </w:rPr>
            </w:r>
          </w:p>
        </w:tc>
      </w:tr>
      <w:tr>
        <w:trPr/>
        <w:tc>
          <w:tcPr>
            <w:tcW w:w="300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Gross profit</w:t>
            </w:r>
            <w:r>
              <w:rPr>
                <w:rFonts w:ascii="Times New Roman;sans-serif" w:hAnsi="Times New Roman;sans-serif"/>
                <w:b w:val="false"/>
                <w:color w:val="000000"/>
                <w:sz w:val="13"/>
              </w:rPr>
              <w:t>(1)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tcPr>
          <w:p>
            <w:pPr>
              <w:pStyle w:val="TableContents"/>
              <w:spacing w:before="0" w:after="283"/>
              <w:rPr>
                <w:sz w:val="4"/>
                <w:szCs w:val="4"/>
              </w:rPr>
            </w:pPr>
            <w:r>
              <w:rPr>
                <w:sz w:val="4"/>
                <w:szCs w:val="4"/>
              </w:rPr>
            </w:r>
          </w:p>
        </w:tc>
      </w:tr>
      <w:tr>
        <w:trPr/>
        <w:tc>
          <w:tcPr>
            <w:tcW w:w="30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89,726 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tcPr>
          <w:p>
            <w:pPr>
              <w:pStyle w:val="TableContents"/>
              <w:spacing w:before="0" w:after="283"/>
              <w:rPr>
                <w:sz w:val="4"/>
                <w:szCs w:val="4"/>
              </w:rPr>
            </w:pPr>
            <w:r>
              <w:rPr>
                <w:sz w:val="4"/>
                <w:szCs w:val="4"/>
              </w:rPr>
            </w:r>
          </w:p>
        </w:tc>
      </w:tr>
      <w:tr>
        <w:trPr/>
        <w:tc>
          <w:tcPr>
            <w:tcW w:w="30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 interest expense and other income, net</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tcPr>
          <w:p>
            <w:pPr>
              <w:pStyle w:val="TableContents"/>
              <w:spacing w:before="0" w:after="283"/>
              <w:rPr>
                <w:sz w:val="4"/>
                <w:szCs w:val="4"/>
              </w:rPr>
            </w:pPr>
            <w:r>
              <w:rPr>
                <w:sz w:val="4"/>
                <w:szCs w:val="4"/>
              </w:rPr>
            </w:r>
          </w:p>
        </w:tc>
      </w:tr>
      <w:tr>
        <w:trPr/>
        <w:tc>
          <w:tcPr>
            <w:tcW w:w="30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tcPr>
          <w:p>
            <w:pPr>
              <w:pStyle w:val="TableContents"/>
              <w:spacing w:before="0" w:after="283"/>
              <w:rPr>
                <w:sz w:val="4"/>
                <w:szCs w:val="4"/>
              </w:rPr>
            </w:pPr>
            <w:r>
              <w:rPr>
                <w:sz w:val="4"/>
                <w:szCs w:val="4"/>
              </w:rPr>
            </w:r>
          </w:p>
        </w:tc>
      </w:tr>
      <w:tr>
        <w:trPr/>
        <w:tc>
          <w:tcPr>
            <w:tcW w:w="30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from equity-method investment</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tcPr>
          <w:p>
            <w:pPr>
              <w:pStyle w:val="TableContents"/>
              <w:spacing w:before="0" w:after="283"/>
              <w:rPr>
                <w:sz w:val="4"/>
                <w:szCs w:val="4"/>
              </w:rPr>
            </w:pPr>
            <w:r>
              <w:rPr>
                <w:sz w:val="4"/>
                <w:szCs w:val="4"/>
              </w:rPr>
            </w:r>
          </w:p>
        </w:tc>
      </w:tr>
      <w:tr>
        <w:trPr/>
        <w:tc>
          <w:tcPr>
            <w:tcW w:w="30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7" w:type="dxa"/>
            <w:tcBorders/>
            <w:shd w:fill="auto" w:val="clear"/>
          </w:tcPr>
          <w:p>
            <w:pPr>
              <w:pStyle w:val="TableContents"/>
              <w:spacing w:before="0" w:after="283"/>
              <w:rPr>
                <w:sz w:val="4"/>
                <w:szCs w:val="4"/>
              </w:rPr>
            </w:pPr>
            <w:r>
              <w:rPr>
                <w:sz w:val="4"/>
                <w:szCs w:val="4"/>
              </w:rPr>
            </w:r>
          </w:p>
        </w:tc>
      </w:tr>
    </w:tbl>
    <w:p>
      <w:pPr>
        <w:pStyle w:val="TextBody"/>
        <w:spacing w:lineRule="auto" w:line="288" w:before="80" w:after="18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Exclusive of depreciation and amortization expense.</w:t>
      </w:r>
    </w:p>
    <w:tbl>
      <w:tblPr>
        <w:tblW w:w="10205" w:type="dxa"/>
        <w:jc w:val="center"/>
        <w:tblInd w:w="0" w:type="dxa"/>
        <w:tblCellMar>
          <w:top w:w="28" w:type="dxa"/>
          <w:left w:w="28" w:type="dxa"/>
          <w:bottom w:w="28" w:type="dxa"/>
          <w:right w:w="28" w:type="dxa"/>
        </w:tblCellMar>
      </w:tblPr>
      <w:tblGrid>
        <w:gridCol w:w="1256"/>
        <w:gridCol w:w="923"/>
        <w:gridCol w:w="925"/>
        <w:gridCol w:w="211"/>
        <w:gridCol w:w="826"/>
        <w:gridCol w:w="109"/>
        <w:gridCol w:w="109"/>
        <w:gridCol w:w="109"/>
        <w:gridCol w:w="109"/>
        <w:gridCol w:w="211"/>
        <w:gridCol w:w="721"/>
        <w:gridCol w:w="109"/>
        <w:gridCol w:w="109"/>
        <w:gridCol w:w="109"/>
        <w:gridCol w:w="109"/>
        <w:gridCol w:w="256"/>
        <w:gridCol w:w="878"/>
        <w:gridCol w:w="132"/>
        <w:gridCol w:w="109"/>
        <w:gridCol w:w="109"/>
        <w:gridCol w:w="109"/>
        <w:gridCol w:w="211"/>
        <w:gridCol w:w="826"/>
        <w:gridCol w:w="109"/>
        <w:gridCol w:w="109"/>
        <w:gridCol w:w="109"/>
        <w:gridCol w:w="109"/>
        <w:gridCol w:w="211"/>
        <w:gridCol w:w="826"/>
        <w:gridCol w:w="157"/>
      </w:tblGrid>
      <w:tr>
        <w:trPr/>
        <w:tc>
          <w:tcPr>
            <w:tcW w:w="1256"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1" w:type="dxa"/>
            <w:gridSpan w:val="27"/>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r>
      <w:tr>
        <w:trPr/>
        <w:tc>
          <w:tcPr>
            <w:tcW w:w="31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Insurance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Healthcare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Emerging Business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Analytics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329,208 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Cost of revenues</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29,213 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207,516 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Gross profit</w:t>
            </w:r>
            <w:r>
              <w:rPr>
                <w:rFonts w:ascii="Times New Roman;sans-serif" w:hAnsi="Times New Roman;sans-serif"/>
                <w:b w:val="false"/>
                <w:color w:val="000000"/>
                <w:sz w:val="13"/>
              </w:rPr>
              <w:t>(1)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121,692 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77,717 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 interest expense and other income, net</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from equity-method investment</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180"/>
        <w:ind w:left="0" w:right="0" w:firstLine="450"/>
        <w:jc w:val="both"/>
        <w:rPr/>
      </w:pP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0"/>
        </w:rPr>
        <w:t>Exclusive of depreciation and amortization expense.</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Revenues, net by service type, were as follows:</w:t>
      </w:r>
    </w:p>
    <w:tbl>
      <w:tblPr>
        <w:tblW w:w="5558" w:type="dxa"/>
        <w:jc w:val="center"/>
        <w:tblInd w:w="0" w:type="dxa"/>
        <w:tblCellMar>
          <w:top w:w="28" w:type="dxa"/>
          <w:left w:w="28" w:type="dxa"/>
          <w:bottom w:w="28" w:type="dxa"/>
          <w:right w:w="28" w:type="dxa"/>
        </w:tblCellMar>
      </w:tblPr>
      <w:tblGrid>
        <w:gridCol w:w="1047"/>
        <w:gridCol w:w="922"/>
        <w:gridCol w:w="925"/>
        <w:gridCol w:w="211"/>
        <w:gridCol w:w="826"/>
        <w:gridCol w:w="109"/>
        <w:gridCol w:w="109"/>
        <w:gridCol w:w="109"/>
        <w:gridCol w:w="109"/>
        <w:gridCol w:w="211"/>
        <w:gridCol w:w="826"/>
        <w:gridCol w:w="154"/>
      </w:tblGrid>
      <w:tr>
        <w:trPr/>
        <w:tc>
          <w:tcPr>
            <w:tcW w:w="1047"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8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8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Digital operations and solutions</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Analytics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0" w:after="0"/>
        <w:ind w:left="0" w:right="0" w:firstLine="450"/>
        <w:rPr/>
      </w:pP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0"/>
        </w:rPr>
        <w:t>Digital operations and solutions include revenues of the Company’s Insurance, Healthcare and Emerging Business reportable segments. Refer to the reportable segment disclosure above.</w:t>
      </w:r>
    </w:p>
    <w:p>
      <w:pPr>
        <w:pStyle w:val="TextBody"/>
        <w:spacing w:lineRule="auto" w:line="268" w:before="18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attributes the revenues to regions based upon the location of its customers.</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rFonts w:ascii="Times New Roman;sans-serif" w:hAnsi="Times New Roman;sans-serif"/>
          <w:b/>
          <w:color w:val="0000FF"/>
          <w:sz w:val="20"/>
          <w:u w:val="single"/>
        </w:rPr>
      </w:pPr>
      <w:r>
        <w:rPr>
          <w:rFonts w:ascii="Times New Roman;sans-serif" w:hAnsi="Times New Roman;sans-serif"/>
          <w:b/>
          <w:color w:val="0000FF"/>
          <w:sz w:val="20"/>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tbl>
      <w:tblPr>
        <w:tblW w:w="4749" w:type="dxa"/>
        <w:jc w:val="center"/>
        <w:tblInd w:w="0" w:type="dxa"/>
        <w:tblCellMar>
          <w:top w:w="28" w:type="dxa"/>
          <w:left w:w="28" w:type="dxa"/>
          <w:bottom w:w="28" w:type="dxa"/>
          <w:right w:w="28" w:type="dxa"/>
        </w:tblCellMar>
      </w:tblPr>
      <w:tblGrid>
        <w:gridCol w:w="755"/>
        <w:gridCol w:w="664"/>
        <w:gridCol w:w="666"/>
        <w:gridCol w:w="211"/>
        <w:gridCol w:w="826"/>
        <w:gridCol w:w="109"/>
        <w:gridCol w:w="109"/>
        <w:gridCol w:w="109"/>
        <w:gridCol w:w="109"/>
        <w:gridCol w:w="211"/>
        <w:gridCol w:w="826"/>
        <w:gridCol w:w="154"/>
      </w:tblGrid>
      <w:tr>
        <w:trPr/>
        <w:tc>
          <w:tcPr>
            <w:tcW w:w="755"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64"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 net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Non-United States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United Kingdom</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Rest of World</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Non-United States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Long-lived assets by geographic area, which consist of property and equipment, net and operating lease right-of-use assets were as follows:</w:t>
      </w:r>
    </w:p>
    <w:tbl>
      <w:tblPr>
        <w:tblW w:w="4779" w:type="dxa"/>
        <w:jc w:val="center"/>
        <w:tblInd w:w="0" w:type="dxa"/>
        <w:tblCellMar>
          <w:top w:w="28" w:type="dxa"/>
          <w:left w:w="28" w:type="dxa"/>
          <w:bottom w:w="28" w:type="dxa"/>
          <w:right w:w="28" w:type="dxa"/>
        </w:tblCellMar>
      </w:tblPr>
      <w:tblGrid>
        <w:gridCol w:w="571"/>
        <w:gridCol w:w="500"/>
        <w:gridCol w:w="503"/>
        <w:gridCol w:w="237"/>
        <w:gridCol w:w="930"/>
        <w:gridCol w:w="122"/>
        <w:gridCol w:w="109"/>
        <w:gridCol w:w="109"/>
        <w:gridCol w:w="109"/>
        <w:gridCol w:w="281"/>
        <w:gridCol w:w="1103"/>
        <w:gridCol w:w="205"/>
      </w:tblGrid>
      <w:tr>
        <w:trPr/>
        <w:tc>
          <w:tcPr>
            <w:tcW w:w="571"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Long-lived assets</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61,183 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60,709 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46,732 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50,118 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Philippines</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17,686 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18,406 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World</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13,833 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8,942 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139,434 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138,175 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80" w:after="8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4. Revenues, net</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3 - Segment and Geographical Information to the unaudited consolidated financial statements for revenues disaggregated by reportable segments and geography.</w:t>
      </w:r>
    </w:p>
    <w:p>
      <w:pPr>
        <w:pStyle w:val="TextBody"/>
        <w:spacing w:lineRule="auto" w:line="288" w:before="180" w:after="18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Contract balances</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accounts receivable, contract assets and contract liabilities from contracts with customers:</w:t>
      </w:r>
    </w:p>
    <w:tbl>
      <w:tblPr>
        <w:tblW w:w="8212" w:type="dxa"/>
        <w:jc w:val="center"/>
        <w:tblInd w:w="0" w:type="dxa"/>
        <w:tblCellMar>
          <w:top w:w="28" w:type="dxa"/>
          <w:left w:w="28" w:type="dxa"/>
          <w:bottom w:w="28" w:type="dxa"/>
          <w:right w:w="28" w:type="dxa"/>
        </w:tblCellMar>
      </w:tblPr>
      <w:tblGrid>
        <w:gridCol w:w="1693"/>
        <w:gridCol w:w="1489"/>
        <w:gridCol w:w="1498"/>
        <w:gridCol w:w="109"/>
        <w:gridCol w:w="109"/>
        <w:gridCol w:w="109"/>
        <w:gridCol w:w="237"/>
        <w:gridCol w:w="930"/>
        <w:gridCol w:w="122"/>
        <w:gridCol w:w="109"/>
        <w:gridCol w:w="109"/>
        <w:gridCol w:w="109"/>
        <w:gridCol w:w="281"/>
        <w:gridCol w:w="1103"/>
        <w:gridCol w:w="205"/>
      </w:tblGrid>
      <w:tr>
        <w:trPr/>
        <w:tc>
          <w:tcPr>
            <w:tcW w:w="1693" w:type="dxa"/>
            <w:tcBorders/>
            <w:shd w:fill="auto" w:val="clear"/>
            <w:vAlign w:val="center"/>
          </w:tcPr>
          <w:p>
            <w:pPr>
              <w:pStyle w:val="TableContents"/>
              <w:spacing w:before="0" w:after="283"/>
              <w:rPr>
                <w:sz w:val="4"/>
                <w:szCs w:val="4"/>
              </w:rPr>
            </w:pPr>
            <w:r>
              <w:rPr>
                <w:sz w:val="4"/>
                <w:szCs w:val="4"/>
              </w:rPr>
            </w:r>
          </w:p>
        </w:tc>
        <w:tc>
          <w:tcPr>
            <w:tcW w:w="1489" w:type="dxa"/>
            <w:tcBorders/>
            <w:shd w:fill="auto" w:val="clear"/>
            <w:vAlign w:val="center"/>
          </w:tcPr>
          <w:p>
            <w:pPr>
              <w:pStyle w:val="TableContents"/>
              <w:spacing w:before="0" w:after="283"/>
              <w:rPr>
                <w:sz w:val="4"/>
                <w:szCs w:val="4"/>
              </w:rPr>
            </w:pPr>
            <w:r>
              <w:rPr>
                <w:sz w:val="4"/>
                <w:szCs w:val="4"/>
              </w:rPr>
            </w:r>
          </w:p>
        </w:tc>
        <w:tc>
          <w:tcPr>
            <w:tcW w:w="14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4680"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468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290,512 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259,222 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Deferred revenue (consideration received in advance)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19,685 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17,079 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Consideration received for process transition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5,423 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includes $155,992 and $126,027 as of March 31, 2023 and December 31, 2022, respectively, representing unbilled receivables. The Company has accrued the unbilled receivables for work performed in accordance with the terms of contracts with customers and considers no significant performance risk associated with its unbilled receivables.</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assets represent upfront payments such as deal signing discounts or deal signing bonuses made to customers. These costs are amortized over the expected period of the benefit and are recorded as an adjustment to transaction price and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rFonts w:ascii="Times New Roman;sans-serif" w:hAnsi="Times New Roman;sans-serif"/>
          <w:b/>
          <w:color w:val="0000FF"/>
          <w:sz w:val="20"/>
          <w:u w:val="single"/>
        </w:rPr>
      </w:pPr>
      <w:r>
        <w:rPr>
          <w:rFonts w:ascii="Times New Roman;sans-serif" w:hAnsi="Times New Roman;sans-serif"/>
          <w:b/>
          <w:color w:val="0000FF"/>
          <w:sz w:val="20"/>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reduced from revenues. The Company’s assessment did not indicate any impairment losses on its contract assets for the periods presented.</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Contract liabilities represent that portion of deferred revenue for which payments have been received in advance from customers. The Company also defers revenues attributable to certain process transition activities for which costs have been capitalized by the Company as contract fulfillment costs. Consideration received from customers, if any, relating to such transition activities are classified under contract liabilities and are included within “Deferred revenues” and “Other non-current liabilities” in the consolidated balance sheets. The revenues are recognized as (or when) the performance obligation is fulfilled under the contract with customer.</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recognized during the three months ended March 31, 2023 and 2022, which was included in the contract liabilities balance at the beginning of the respective periods:</w:t>
      </w:r>
    </w:p>
    <w:tbl>
      <w:tblPr>
        <w:tblW w:w="7108" w:type="dxa"/>
        <w:jc w:val="left"/>
        <w:tblInd w:w="0" w:type="dxa"/>
        <w:tblCellMar>
          <w:top w:w="28" w:type="dxa"/>
          <w:left w:w="28" w:type="dxa"/>
          <w:bottom w:w="28" w:type="dxa"/>
          <w:right w:w="28" w:type="dxa"/>
        </w:tblCellMar>
      </w:tblPr>
      <w:tblGrid>
        <w:gridCol w:w="1647"/>
        <w:gridCol w:w="1447"/>
        <w:gridCol w:w="1451"/>
        <w:gridCol w:w="230"/>
        <w:gridCol w:w="787"/>
        <w:gridCol w:w="119"/>
        <w:gridCol w:w="119"/>
        <w:gridCol w:w="119"/>
        <w:gridCol w:w="119"/>
        <w:gridCol w:w="230"/>
        <w:gridCol w:w="672"/>
        <w:gridCol w:w="168"/>
      </w:tblGrid>
      <w:tr>
        <w:trPr/>
        <w:tc>
          <w:tcPr>
            <w:tcW w:w="1647"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c>
          <w:tcPr>
            <w:tcW w:w="1451"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4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3"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(consideration received in advance)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received for process transition activities</w:t>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80"/>
        <w:ind w:left="0" w:right="0" w:firstLine="450"/>
        <w:rPr>
          <w:rFonts w:ascii="Times New Roman;sans-serif" w:hAnsi="Times New Roman;sans-serif"/>
          <w:b/>
          <w:color w:val="000000"/>
          <w:sz w:val="20"/>
          <w:u w:val="single"/>
        </w:rPr>
      </w:pPr>
      <w:r>
        <w:rPr>
          <w:rFonts w:ascii="Times New Roman;sans-serif" w:hAnsi="Times New Roman;sans-serif"/>
          <w:b/>
          <w:color w:val="000000"/>
          <w:sz w:val="20"/>
          <w:u w:val="single"/>
        </w:rPr>
        <w:t>Contract acquisition and fulfillment costs</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details of the Company’s contract acquisition and fulfillment costs:</w:t>
      </w:r>
    </w:p>
    <w:tbl>
      <w:tblPr>
        <w:tblW w:w="10205" w:type="dxa"/>
        <w:jc w:val="left"/>
        <w:tblInd w:w="0" w:type="dxa"/>
        <w:tblCellMar>
          <w:top w:w="28" w:type="dxa"/>
          <w:left w:w="28" w:type="dxa"/>
          <w:bottom w:w="28" w:type="dxa"/>
          <w:right w:w="28" w:type="dxa"/>
        </w:tblCellMar>
      </w:tblPr>
      <w:tblGrid>
        <w:gridCol w:w="554"/>
        <w:gridCol w:w="430"/>
        <w:gridCol w:w="366"/>
        <w:gridCol w:w="109"/>
        <w:gridCol w:w="109"/>
        <w:gridCol w:w="109"/>
        <w:gridCol w:w="247"/>
        <w:gridCol w:w="722"/>
        <w:gridCol w:w="127"/>
        <w:gridCol w:w="109"/>
        <w:gridCol w:w="109"/>
        <w:gridCol w:w="109"/>
        <w:gridCol w:w="272"/>
        <w:gridCol w:w="602"/>
        <w:gridCol w:w="140"/>
        <w:gridCol w:w="109"/>
        <w:gridCol w:w="109"/>
        <w:gridCol w:w="109"/>
        <w:gridCol w:w="273"/>
        <w:gridCol w:w="798"/>
        <w:gridCol w:w="140"/>
        <w:gridCol w:w="109"/>
        <w:gridCol w:w="109"/>
        <w:gridCol w:w="109"/>
        <w:gridCol w:w="233"/>
        <w:gridCol w:w="799"/>
        <w:gridCol w:w="120"/>
        <w:gridCol w:w="109"/>
        <w:gridCol w:w="109"/>
        <w:gridCol w:w="109"/>
        <w:gridCol w:w="247"/>
        <w:gridCol w:w="722"/>
        <w:gridCol w:w="127"/>
        <w:gridCol w:w="109"/>
        <w:gridCol w:w="109"/>
        <w:gridCol w:w="109"/>
        <w:gridCol w:w="255"/>
        <w:gridCol w:w="873"/>
        <w:gridCol w:w="196"/>
      </w:tblGrid>
      <w:tr>
        <w:trPr/>
        <w:tc>
          <w:tcPr>
            <w:tcW w:w="554"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1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Contract Acquisition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Contract Fulfillment Costs</w:t>
            </w:r>
          </w:p>
        </w:tc>
      </w:tr>
      <w:tr>
        <w:trPr/>
        <w:tc>
          <w:tcPr>
            <w:tcW w:w="1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w:t>
            </w:r>
          </w:p>
        </w:tc>
      </w:tr>
      <w:tr>
        <w:trPr/>
        <w:tc>
          <w:tcPr>
            <w:tcW w:w="13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Opening Balance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12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4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4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13,871 </w:t>
            </w:r>
          </w:p>
        </w:tc>
        <w:tc>
          <w:tcPr>
            <w:tcW w:w="12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5,795 </w:t>
            </w:r>
          </w:p>
        </w:tc>
        <w:tc>
          <w:tcPr>
            <w:tcW w:w="12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5,795 </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15,509 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1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Closing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17,873 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7,435 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There was no impairment for contract acquisition and contract fulfillment costs as of March 31, 2023 and December 31, 2022. The capitalized costs are amortized over the expected period of benefit of the contract.</w:t>
      </w:r>
    </w:p>
    <w:p>
      <w:pPr>
        <w:pStyle w:val="TextBody"/>
        <w:spacing w:lineRule="auto" w:line="247" w:before="180" w:after="180"/>
        <w:jc w:val="both"/>
        <w:rPr>
          <w:rFonts w:ascii="Times New Roman;sans-serif" w:hAnsi="Times New Roman;sans-serif"/>
          <w:b/>
          <w:color w:val="000000"/>
          <w:sz w:val="20"/>
        </w:rPr>
      </w:pPr>
      <w:r>
        <w:rPr>
          <w:rFonts w:ascii="Times New Roman;sans-serif" w:hAnsi="Times New Roman;sans-serif"/>
          <w:b/>
          <w:color w:val="000000"/>
          <w:sz w:val="20"/>
        </w:rPr>
        <w:t>Allowance for expected credit losses</w:t>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the credit risk of its customers based on a combination of various financial and qualitative factors that may affect the ability of each customer to pay. The Company considered current and anticipated future economic conditions relating to the industries of the Company’s customers and the countries where it operates. In calculating expected credit loss, the Company also considered past payment trends, credit rating and other related credit information for its significant customers to estimate the probability of default in the future.</w:t>
      </w:r>
    </w:p>
    <w:tbl>
      <w:tblPr>
        <w:tblW w:w="7883" w:type="dxa"/>
        <w:jc w:val="left"/>
        <w:tblInd w:w="0" w:type="dxa"/>
        <w:tblCellMar>
          <w:top w:w="28" w:type="dxa"/>
          <w:left w:w="28" w:type="dxa"/>
          <w:bottom w:w="28" w:type="dxa"/>
          <w:right w:w="28" w:type="dxa"/>
        </w:tblCellMar>
      </w:tblPr>
      <w:tblGrid>
        <w:gridCol w:w="1574"/>
        <w:gridCol w:w="1385"/>
        <w:gridCol w:w="1390"/>
        <w:gridCol w:w="109"/>
        <w:gridCol w:w="109"/>
        <w:gridCol w:w="109"/>
        <w:gridCol w:w="234"/>
        <w:gridCol w:w="935"/>
        <w:gridCol w:w="121"/>
        <w:gridCol w:w="109"/>
        <w:gridCol w:w="109"/>
        <w:gridCol w:w="109"/>
        <w:gridCol w:w="278"/>
        <w:gridCol w:w="1109"/>
        <w:gridCol w:w="203"/>
      </w:tblGrid>
      <w:tr>
        <w:trPr/>
        <w:tc>
          <w:tcPr>
            <w:tcW w:w="1574"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13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4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7" w:type="dxa"/>
            <w:gridSpan w:val="9"/>
            <w:tcBorders/>
            <w:shd w:fill="auto" w:val="clear"/>
            <w:tcMar>
              <w:top w:w="0" w:type="dxa"/>
              <w:left w:w="0" w:type="dxa"/>
              <w:bottom w:w="0" w:type="dxa"/>
              <w:right w:w="0" w:type="dxa"/>
            </w:tcMar>
            <w:vAlign w:val="center"/>
          </w:tcPr>
          <w:p>
            <w:pPr>
              <w:pStyle w:val="TableContents"/>
              <w:spacing w:lineRule="auto" w:line="199"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4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199"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199"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349" w:type="dxa"/>
            <w:gridSpan w:val="3"/>
            <w:tcBorders/>
            <w:shd w:fill="CCEEFF" w:val="clear"/>
            <w:tcMar>
              <w:top w:w="0" w:type="dxa"/>
              <w:left w:w="0" w:type="dxa"/>
              <w:bottom w:w="0" w:type="dxa"/>
              <w:right w:w="0" w:type="dxa"/>
            </w:tcMar>
            <w:vAlign w:val="center"/>
          </w:tcPr>
          <w:p>
            <w:pPr>
              <w:pStyle w:val="TableContents"/>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including unbilled receivables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292,183 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260,554 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auto" w:val="clear"/>
            <w:tcMar>
              <w:top w:w="0" w:type="dxa"/>
              <w:left w:w="0" w:type="dxa"/>
              <w:bottom w:w="0" w:type="dxa"/>
              <w:right w:w="0" w:type="dxa"/>
            </w:tcMar>
            <w:vAlign w:val="center"/>
          </w:tcPr>
          <w:p>
            <w:pPr>
              <w:pStyle w:val="TableContents"/>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expected credit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w:t>
            </w:r>
          </w:p>
        </w:tc>
        <w:tc>
          <w:tcPr>
            <w:tcW w:w="2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spacing w:lineRule="auto" w:line="199" w:before="0" w:after="283"/>
              <w:jc w:val="left"/>
              <w:rPr>
                <w:rFonts w:ascii="Times New Roman;sans-serif" w:hAnsi="Times New Roman;sans-serif"/>
                <w:b/>
                <w:color w:val="000000"/>
                <w:sz w:val="20"/>
              </w:rPr>
            </w:pPr>
            <w:r>
              <w:rPr>
                <w:rFonts w:ascii="Times New Roman;sans-serif" w:hAnsi="Times New Roman;sans-serif"/>
                <w:b/>
                <w:color w:val="000000"/>
                <w:sz w:val="20"/>
              </w:rPr>
              <w:t>Accounts receivable, net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199"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199" w:before="0" w:after="283"/>
              <w:jc w:val="right"/>
              <w:rPr/>
            </w:pPr>
            <w:r>
              <w:rPr>
                <w:rFonts w:ascii="Times New Roman;sans-serif" w:hAnsi="Times New Roman;sans-serif"/>
                <w:b/>
                <w:color w:val="000000"/>
                <w:sz w:val="20"/>
              </w:rPr>
              <w:t>290,512</w:t>
            </w: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199"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199" w:before="0" w:after="283"/>
              <w:jc w:val="right"/>
              <w:rPr/>
            </w:pPr>
            <w:r>
              <w:rPr>
                <w:rFonts w:ascii="Times New Roman;sans-serif" w:hAnsi="Times New Roman;sans-serif"/>
                <w:b/>
                <w:color w:val="000000"/>
                <w:sz w:val="20"/>
              </w:rPr>
              <w:t>259,222</w:t>
            </w:r>
            <w:r>
              <w:rPr>
                <w:color w:val="000000"/>
              </w:rPr>
              <w:t>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movement in “Allowance for expected credit losses” on customer balances was as follows:</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rFonts w:ascii="Times New Roman;sans-serif" w:hAnsi="Times New Roman;sans-serif"/>
          <w:b/>
          <w:color w:val="0000FF"/>
          <w:sz w:val="20"/>
          <w:u w:val="single"/>
        </w:rPr>
      </w:pPr>
      <w:r>
        <w:rPr>
          <w:rFonts w:ascii="Times New Roman;sans-serif" w:hAnsi="Times New Roman;sans-serif"/>
          <w:b/>
          <w:color w:val="0000FF"/>
          <w:sz w:val="20"/>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tbl>
      <w:tblPr>
        <w:tblW w:w="9156" w:type="dxa"/>
        <w:jc w:val="left"/>
        <w:tblInd w:w="0" w:type="dxa"/>
        <w:tblCellMar>
          <w:top w:w="28" w:type="dxa"/>
          <w:left w:w="28" w:type="dxa"/>
          <w:bottom w:w="28" w:type="dxa"/>
          <w:right w:w="28" w:type="dxa"/>
        </w:tblCellMar>
      </w:tblPr>
      <w:tblGrid>
        <w:gridCol w:w="1591"/>
        <w:gridCol w:w="1399"/>
        <w:gridCol w:w="1404"/>
        <w:gridCol w:w="109"/>
        <w:gridCol w:w="109"/>
        <w:gridCol w:w="109"/>
        <w:gridCol w:w="259"/>
        <w:gridCol w:w="757"/>
        <w:gridCol w:w="134"/>
        <w:gridCol w:w="134"/>
        <w:gridCol w:w="134"/>
        <w:gridCol w:w="134"/>
        <w:gridCol w:w="259"/>
        <w:gridCol w:w="573"/>
        <w:gridCol w:w="134"/>
        <w:gridCol w:w="109"/>
        <w:gridCol w:w="109"/>
        <w:gridCol w:w="109"/>
        <w:gridCol w:w="358"/>
        <w:gridCol w:w="971"/>
        <w:gridCol w:w="261"/>
      </w:tblGrid>
      <w:tr>
        <w:trPr/>
        <w:tc>
          <w:tcPr>
            <w:tcW w:w="1591" w:type="dxa"/>
            <w:tcBorders/>
            <w:shd w:fill="auto" w:val="clear"/>
            <w:vAlign w:val="center"/>
          </w:tcPr>
          <w:p>
            <w:pPr>
              <w:pStyle w:val="TableContents"/>
              <w:spacing w:before="0" w:after="283"/>
              <w:rPr>
                <w:sz w:val="4"/>
                <w:szCs w:val="4"/>
              </w:rPr>
            </w:pPr>
            <w:r>
              <w:rPr>
                <w:sz w:val="4"/>
                <w:szCs w:val="4"/>
              </w:rPr>
            </w:r>
          </w:p>
        </w:tc>
        <w:tc>
          <w:tcPr>
            <w:tcW w:w="1399" w:type="dxa"/>
            <w:tcBorders/>
            <w:shd w:fill="auto" w:val="clear"/>
            <w:vAlign w:val="center"/>
          </w:tcPr>
          <w:p>
            <w:pPr>
              <w:pStyle w:val="TableContents"/>
              <w:spacing w:before="0" w:after="283"/>
              <w:rPr>
                <w:sz w:val="4"/>
                <w:szCs w:val="4"/>
              </w:rPr>
            </w:pPr>
            <w:r>
              <w:rPr>
                <w:sz w:val="4"/>
                <w:szCs w:val="4"/>
              </w:rPr>
            </w:r>
          </w:p>
        </w:tc>
        <w:tc>
          <w:tcPr>
            <w:tcW w:w="14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w:t>
            </w:r>
          </w:p>
        </w:tc>
      </w:tr>
      <w:tr>
        <w:trPr/>
        <w:tc>
          <w:tcPr>
            <w:tcW w:w="4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199"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199"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199"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Opening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w:t>
            </w:r>
          </w:p>
        </w:tc>
      </w:tr>
      <w:tr>
        <w:trPr/>
        <w:tc>
          <w:tcPr>
            <w:tcW w:w="4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due to write-off of Accounts Receivables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4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Closing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199"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199" w:before="0" w:after="283"/>
              <w:jc w:val="right"/>
              <w:rPr/>
            </w:pPr>
            <w:r>
              <w:rPr>
                <w:rFonts w:ascii="Times New Roman;sans-serif" w:hAnsi="Times New Roman;sans-serif"/>
                <w:b/>
                <w:color w:val="000000"/>
                <w:sz w:val="18"/>
              </w:rPr>
              <w:t>1,671</w:t>
            </w: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199"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199" w:before="0" w:after="283"/>
              <w:jc w:val="right"/>
              <w:rPr/>
            </w:pPr>
            <w:r>
              <w:rPr>
                <w:rFonts w:ascii="Times New Roman;sans-serif" w:hAnsi="Times New Roman;sans-serif"/>
                <w:b/>
                <w:color w:val="000000"/>
                <w:sz w:val="18"/>
              </w:rPr>
              <w:t>588</w:t>
            </w: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199"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199" w:before="0" w:after="283"/>
              <w:jc w:val="right"/>
              <w:rPr/>
            </w:pPr>
            <w:r>
              <w:rPr>
                <w:rFonts w:ascii="Times New Roman;sans-serif" w:hAnsi="Times New Roman;sans-serif"/>
                <w:b/>
                <w:color w:val="000000"/>
                <w:sz w:val="18"/>
              </w:rPr>
              <w:t>1,332</w:t>
            </w:r>
            <w:r>
              <w:rPr>
                <w:color w:val="000000"/>
              </w:rPr>
              <w:t>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80"/>
        <w:jc w:val="both"/>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reduce credit risk, the Company conducts ongoing credit evaluations of its customers. No customer accounted for more than 10% of accounts receivable, net, as of March 31, 2023 and December 31, 2022.</w:t>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60" w:after="283"/>
        <w:rPr>
          <w:rFonts w:ascii="Times New Roman;sans-serif" w:hAnsi="Times New Roman;sans-serif"/>
          <w:b/>
          <w:color w:val="000000"/>
          <w:sz w:val="20"/>
        </w:rPr>
      </w:pPr>
      <w:r>
        <w:rPr>
          <w:rFonts w:ascii="Times New Roman;sans-serif" w:hAnsi="Times New Roman;sans-serif"/>
          <w:b/>
          <w:color w:val="000000"/>
          <w:sz w:val="20"/>
        </w:rPr>
        <w:t>5. Earnings Per Share</w:t>
      </w:r>
    </w:p>
    <w:p>
      <w:pPr>
        <w:pStyle w:val="TextBody"/>
        <w:spacing w:before="0" w:after="0"/>
        <w:rPr/>
      </w:pPr>
      <w:r>
        <w:rPr/>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computed by dividing net income attributable to common stockholders by the weighted average number of common shares outstanding, adjusted for outstanding shares that are subject to repurchase during each period. Diluted earnings per share is computed using the weighted average number of common shares plus the potentially dilutive effect of common stock equivalents (outstanding stock options, restricted stock, restricted stock units and employee stock purchase plans) issued and outstanding at the reporting date, using the treasury stock method. Common stock equivalents that are anti-dilutive are excluded from the computation of weighted average shares outstanding.</w:t>
      </w:r>
    </w:p>
    <w:p>
      <w:pPr>
        <w:pStyle w:val="TextBody"/>
        <w:spacing w:before="0" w:after="0"/>
        <w:ind w:left="0" w:right="0" w:firstLine="450"/>
        <w:jc w:val="both"/>
        <w:rPr/>
      </w:pPr>
      <w:r>
        <w:rPr/>
      </w:r>
    </w:p>
    <w:p>
      <w:pPr>
        <w:pStyle w:val="TextBody"/>
        <w:spacing w:lineRule="auto" w:line="25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earnings per share:</w:t>
      </w:r>
    </w:p>
    <w:tbl>
      <w:tblPr>
        <w:tblW w:w="10205" w:type="dxa"/>
        <w:jc w:val="left"/>
        <w:tblInd w:w="0" w:type="dxa"/>
        <w:tblCellMar>
          <w:top w:w="28" w:type="dxa"/>
          <w:left w:w="28" w:type="dxa"/>
          <w:bottom w:w="28" w:type="dxa"/>
          <w:right w:w="28" w:type="dxa"/>
        </w:tblCellMar>
      </w:tblPr>
      <w:tblGrid>
        <w:gridCol w:w="2690"/>
        <w:gridCol w:w="2364"/>
        <w:gridCol w:w="2382"/>
        <w:gridCol w:w="244"/>
        <w:gridCol w:w="837"/>
        <w:gridCol w:w="111"/>
        <w:gridCol w:w="111"/>
        <w:gridCol w:w="111"/>
        <w:gridCol w:w="111"/>
        <w:gridCol w:w="244"/>
        <w:gridCol w:w="837"/>
        <w:gridCol w:w="163"/>
      </w:tblGrid>
      <w:tr>
        <w:trPr/>
        <w:tc>
          <w:tcPr>
            <w:tcW w:w="2690" w:type="dxa"/>
            <w:tcBorders/>
            <w:shd w:fill="auto" w:val="clear"/>
            <w:vAlign w:val="center"/>
          </w:tcPr>
          <w:p>
            <w:pPr>
              <w:pStyle w:val="TableContents"/>
              <w:spacing w:before="0" w:after="283"/>
              <w:rPr>
                <w:sz w:val="4"/>
                <w:szCs w:val="4"/>
              </w:rPr>
            </w:pPr>
            <w:r>
              <w:rPr>
                <w:sz w:val="4"/>
                <w:szCs w:val="4"/>
              </w:rPr>
            </w:r>
          </w:p>
        </w:tc>
        <w:tc>
          <w:tcPr>
            <w:tcW w:w="2364" w:type="dxa"/>
            <w:tcBorders/>
            <w:shd w:fill="auto" w:val="clear"/>
            <w:vAlign w:val="center"/>
          </w:tcPr>
          <w:p>
            <w:pPr>
              <w:pStyle w:val="TableContents"/>
              <w:spacing w:before="0" w:after="283"/>
              <w:rPr>
                <w:sz w:val="4"/>
                <w:szCs w:val="4"/>
              </w:rPr>
            </w:pPr>
            <w:r>
              <w:rPr>
                <w:sz w:val="4"/>
                <w:szCs w:val="4"/>
              </w:rPr>
            </w:r>
          </w:p>
        </w:tc>
        <w:tc>
          <w:tcPr>
            <w:tcW w:w="238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4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Numerators:</w:t>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51,331 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36,178 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Denominators:</w:t>
            </w:r>
          </w:p>
        </w:tc>
        <w:tc>
          <w:tcPr>
            <w:tcW w:w="11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 outstanding</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33,439,564 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33,442,038 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share-based awards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491,916 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452,830 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36"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shares outstanding</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33,931,480 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33,894,868 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attributable to ExlService Holdings, Inc. stockholders:</w:t>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potentially dilutive shares considered anti-dilutive and not included in computing diluted earnings per share</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109,269 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60" w:after="283"/>
        <w:ind w:left="0" w:right="0" w:firstLine="9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6. Other Income, net</w:t>
      </w:r>
    </w:p>
    <w:p>
      <w:pPr>
        <w:pStyle w:val="TextBody"/>
        <w:spacing w:before="0" w:after="0"/>
        <w:ind w:left="0" w:right="0" w:firstLine="450"/>
        <w:rPr/>
      </w:pPr>
      <w:r>
        <w:rPr/>
      </w:r>
    </w:p>
    <w:p>
      <w:pPr>
        <w:pStyle w:val="TextBody"/>
        <w:spacing w:lineRule="auto" w:line="276"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Other income, net consists of the following:</w:t>
      </w:r>
    </w:p>
    <w:tbl>
      <w:tblPr>
        <w:tblW w:w="6597" w:type="dxa"/>
        <w:jc w:val="left"/>
        <w:tblInd w:w="0" w:type="dxa"/>
        <w:tblCellMar>
          <w:top w:w="28" w:type="dxa"/>
          <w:left w:w="28" w:type="dxa"/>
          <w:bottom w:w="28" w:type="dxa"/>
          <w:right w:w="28" w:type="dxa"/>
        </w:tblCellMar>
      </w:tblPr>
      <w:tblGrid>
        <w:gridCol w:w="1462"/>
        <w:gridCol w:w="1285"/>
        <w:gridCol w:w="1288"/>
        <w:gridCol w:w="241"/>
        <w:gridCol w:w="704"/>
        <w:gridCol w:w="124"/>
        <w:gridCol w:w="124"/>
        <w:gridCol w:w="124"/>
        <w:gridCol w:w="124"/>
        <w:gridCol w:w="241"/>
        <w:gridCol w:w="704"/>
        <w:gridCol w:w="176"/>
      </w:tblGrid>
      <w:tr>
        <w:trPr/>
        <w:tc>
          <w:tcPr>
            <w:tcW w:w="1462"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4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and mark-to-market on investments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dividend income</w:t>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21" w:type="dxa"/>
            <w:gridSpan w:val="3"/>
            <w:tcBorders/>
            <w:shd w:fill="auto" w:val="cle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 net</w:t>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9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rFonts w:ascii="Times New Roman;sans-serif" w:hAnsi="Times New Roman;sans-serif"/>
          <w:b/>
          <w:color w:val="0000FF"/>
          <w:sz w:val="20"/>
          <w:u w:val="single"/>
        </w:rPr>
      </w:pPr>
      <w:r>
        <w:rPr>
          <w:rFonts w:ascii="Times New Roman;sans-serif" w:hAnsi="Times New Roman;sans-serif"/>
          <w:b/>
          <w:color w:val="0000FF"/>
          <w:sz w:val="20"/>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7. Cash, Cash Equivalents and Restricted Cash</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purposes of unaudited statements of cash flows, cash, cash equivalents and restricted cash consist of the following:</w:t>
      </w:r>
    </w:p>
    <w:tbl>
      <w:tblPr>
        <w:tblW w:w="8332" w:type="dxa"/>
        <w:jc w:val="left"/>
        <w:tblInd w:w="0" w:type="dxa"/>
        <w:tblCellMar>
          <w:top w:w="28" w:type="dxa"/>
          <w:left w:w="28" w:type="dxa"/>
          <w:bottom w:w="28" w:type="dxa"/>
          <w:right w:w="28" w:type="dxa"/>
        </w:tblCellMar>
      </w:tblPr>
      <w:tblGrid>
        <w:gridCol w:w="1272"/>
        <w:gridCol w:w="1116"/>
        <w:gridCol w:w="1122"/>
        <w:gridCol w:w="261"/>
        <w:gridCol w:w="894"/>
        <w:gridCol w:w="135"/>
        <w:gridCol w:w="109"/>
        <w:gridCol w:w="109"/>
        <w:gridCol w:w="109"/>
        <w:gridCol w:w="237"/>
        <w:gridCol w:w="930"/>
        <w:gridCol w:w="122"/>
        <w:gridCol w:w="109"/>
        <w:gridCol w:w="109"/>
        <w:gridCol w:w="109"/>
        <w:gridCol w:w="281"/>
        <w:gridCol w:w="1103"/>
        <w:gridCol w:w="205"/>
      </w:tblGrid>
      <w:tr>
        <w:trPr/>
        <w:tc>
          <w:tcPr>
            <w:tcW w:w="1272"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3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87,298 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106,540 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118,669 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(current)</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5,598 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6,274 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94,965 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115,069 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125,621 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(current) primarily represents funds held on behalf of clients in dedicated bank accounts. The corresponding liability against the same is included under “Accrued Expenses and other current liabilities.” Restricted cash (non-current) represents amounts on deposit with banks against bank guarantees issued through banks in favor of relevant statutory authorities for equipment imports, deposits for obtaining indirect tax registrations and for demands against pending income tax assessments. These deposits with banks will mature one year after the balance sheet date.</w:t>
      </w:r>
    </w:p>
    <w:p>
      <w:pPr>
        <w:pStyle w:val="TextBody"/>
        <w:spacing w:before="120" w:after="283"/>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8. Investments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consist of the following: </w:t>
      </w:r>
    </w:p>
    <w:tbl>
      <w:tblPr>
        <w:tblW w:w="6020" w:type="dxa"/>
        <w:jc w:val="left"/>
        <w:tblInd w:w="0" w:type="dxa"/>
        <w:tblCellMar>
          <w:top w:w="28" w:type="dxa"/>
          <w:left w:w="28" w:type="dxa"/>
          <w:bottom w:w="28" w:type="dxa"/>
          <w:right w:w="28" w:type="dxa"/>
        </w:tblCellMar>
      </w:tblPr>
      <w:tblGrid>
        <w:gridCol w:w="939"/>
        <w:gridCol w:w="827"/>
        <w:gridCol w:w="829"/>
        <w:gridCol w:w="109"/>
        <w:gridCol w:w="619"/>
        <w:gridCol w:w="387"/>
        <w:gridCol w:w="394"/>
        <w:gridCol w:w="109"/>
        <w:gridCol w:w="109"/>
        <w:gridCol w:w="109"/>
        <w:gridCol w:w="706"/>
        <w:gridCol w:w="364"/>
        <w:gridCol w:w="519"/>
      </w:tblGrid>
      <w:tr>
        <w:trPr/>
        <w:tc>
          <w:tcPr>
            <w:tcW w:w="939"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331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4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Short-term investments</w:t>
            </w:r>
          </w:p>
        </w:tc>
        <w:tc>
          <w:tcPr>
            <w:tcW w:w="109" w:type="dxa"/>
            <w:tcBorders/>
            <w:shd w:fill="auto" w:val="clear"/>
            <w:vAlign w:val="center"/>
          </w:tcPr>
          <w:p>
            <w:pPr>
              <w:pStyle w:val="TableContents"/>
              <w:spacing w:before="0" w:after="283"/>
              <w:rPr>
                <w:sz w:val="4"/>
                <w:szCs w:val="4"/>
              </w:rPr>
            </w:pPr>
            <w:r>
              <w:rPr>
                <w:sz w:val="4"/>
                <w:szCs w:val="4"/>
              </w:rPr>
            </w:r>
          </w:p>
        </w:tc>
        <w:tc>
          <w:tcPr>
            <w:tcW w:w="14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09" w:type="dxa"/>
            <w:tcBorders/>
            <w:shd w:fill="auto" w:val="clear"/>
            <w:vAlign w:val="center"/>
          </w:tcPr>
          <w:p>
            <w:pPr>
              <w:pStyle w:val="TableContents"/>
              <w:spacing w:before="0" w:after="283"/>
              <w:rPr>
                <w:sz w:val="4"/>
                <w:szCs w:val="4"/>
              </w:rPr>
            </w:pPr>
            <w:r>
              <w:rPr>
                <w:sz w:val="4"/>
                <w:szCs w:val="4"/>
              </w:rPr>
            </w:r>
          </w:p>
        </w:tc>
        <w:tc>
          <w:tcPr>
            <w:tcW w:w="6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64,253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110,964</w:t>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deposits</w:t>
            </w:r>
          </w:p>
        </w:tc>
        <w:tc>
          <w:tcPr>
            <w:tcW w:w="109" w:type="dxa"/>
            <w:tcBorders/>
            <w:shd w:fill="auto" w:val="clear"/>
            <w:vAlign w:val="center"/>
          </w:tcPr>
          <w:p>
            <w:pPr>
              <w:pStyle w:val="TableContents"/>
              <w:spacing w:before="0" w:after="283"/>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68,063</w:t>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Short-term investments</w:t>
            </w:r>
          </w:p>
        </w:tc>
        <w:tc>
          <w:tcPr>
            <w:tcW w:w="109" w:type="dxa"/>
            <w:tcBorders/>
            <w:shd w:fill="auto" w:val="clear"/>
            <w:vAlign w:val="center"/>
          </w:tcPr>
          <w:p>
            <w:pPr>
              <w:pStyle w:val="TableContents"/>
              <w:spacing w:before="0" w:after="283"/>
              <w:rPr>
                <w:sz w:val="4"/>
                <w:szCs w:val="4"/>
              </w:rPr>
            </w:pPr>
            <w:r>
              <w:rPr>
                <w:sz w:val="4"/>
                <w:szCs w:val="4"/>
              </w:rPr>
            </w:r>
          </w:p>
        </w:tc>
        <w:tc>
          <w:tcPr>
            <w:tcW w:w="6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116,479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179,027</w:t>
            </w:r>
          </w:p>
        </w:tc>
      </w:tr>
      <w:tr>
        <w:trPr/>
        <w:tc>
          <w:tcPr>
            <w:tcW w:w="25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investments</w:t>
            </w:r>
          </w:p>
        </w:tc>
        <w:tc>
          <w:tcPr>
            <w:tcW w:w="109" w:type="dxa"/>
            <w:tcBorders/>
            <w:shd w:fill="auto" w:val="clear"/>
            <w:vAlign w:val="center"/>
          </w:tcPr>
          <w:p>
            <w:pPr>
              <w:pStyle w:val="TableContents"/>
              <w:spacing w:before="0" w:after="283"/>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deposits</w:t>
            </w:r>
          </w:p>
        </w:tc>
        <w:tc>
          <w:tcPr>
            <w:tcW w:w="109" w:type="dxa"/>
            <w:tcBorders/>
            <w:shd w:fill="auto" w:val="clear"/>
            <w:vAlign w:val="center"/>
          </w:tcPr>
          <w:p>
            <w:pPr>
              <w:pStyle w:val="TableContents"/>
              <w:spacing w:before="0" w:after="283"/>
              <w:rPr>
                <w:sz w:val="4"/>
                <w:szCs w:val="4"/>
              </w:rPr>
            </w:pPr>
            <w:r>
              <w:rPr>
                <w:sz w:val="4"/>
                <w:szCs w:val="4"/>
              </w:rPr>
            </w:r>
          </w:p>
        </w:tc>
        <w:tc>
          <w:tcPr>
            <w:tcW w:w="6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31,341</w:t>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equity affiliate</w:t>
            </w:r>
          </w:p>
        </w:tc>
        <w:tc>
          <w:tcPr>
            <w:tcW w:w="109" w:type="dxa"/>
            <w:tcBorders/>
            <w:shd w:fill="auto" w:val="clear"/>
            <w:vAlign w:val="center"/>
          </w:tcPr>
          <w:p>
            <w:pPr>
              <w:pStyle w:val="TableContents"/>
              <w:spacing w:before="0" w:after="283"/>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w:t>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Long-term investments</w:t>
            </w:r>
          </w:p>
        </w:tc>
        <w:tc>
          <w:tcPr>
            <w:tcW w:w="109" w:type="dxa"/>
            <w:tcBorders/>
            <w:shd w:fill="auto" w:val="clear"/>
            <w:vAlign w:val="center"/>
          </w:tcPr>
          <w:p>
            <w:pPr>
              <w:pStyle w:val="TableContents"/>
              <w:spacing w:before="0" w:after="283"/>
              <w:rPr>
                <w:sz w:val="4"/>
                <w:szCs w:val="4"/>
              </w:rPr>
            </w:pPr>
            <w:r>
              <w:rPr>
                <w:sz w:val="4"/>
                <w:szCs w:val="4"/>
              </w:rPr>
            </w:r>
          </w:p>
        </w:tc>
        <w:tc>
          <w:tcPr>
            <w:tcW w:w="6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35,559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34,779</w:t>
            </w:r>
          </w:p>
        </w:tc>
      </w:tr>
    </w:tbl>
    <w:p>
      <w:pPr>
        <w:pStyle w:val="TextBody"/>
        <w:spacing w:before="0" w:after="0"/>
        <w:ind w:left="0" w:right="0" w:firstLine="450"/>
        <w:rPr/>
      </w:pPr>
      <w:r>
        <w:rPr/>
      </w:r>
    </w:p>
    <w:p>
      <w:pPr>
        <w:pStyle w:val="TextBody"/>
        <w:spacing w:lineRule="auto" w:line="268" w:before="0" w:after="0"/>
        <w:ind w:left="0" w:right="0" w:hanging="63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16 - Fair Value Measurements to the unaudited consolidated financial statements for further details.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rFonts w:ascii="Times New Roman;sans-serif" w:hAnsi="Times New Roman;sans-serif"/>
          <w:b/>
          <w:color w:val="0000FF"/>
          <w:sz w:val="20"/>
          <w:u w:val="single"/>
        </w:rPr>
      </w:pPr>
      <w:r>
        <w:rPr>
          <w:rFonts w:ascii="Times New Roman;sans-serif" w:hAnsi="Times New Roman;sans-serif"/>
          <w:b/>
          <w:color w:val="0000FF"/>
          <w:sz w:val="20"/>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9. Property and Equipment, net</w:t>
      </w:r>
    </w:p>
    <w:p>
      <w:pPr>
        <w:pStyle w:val="TextBody"/>
        <w:spacing w:lineRule="auto" w:line="288" w:before="180" w:after="18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consists of the following:</w:t>
      </w:r>
    </w:p>
    <w:tbl>
      <w:tblPr>
        <w:tblW w:w="10072" w:type="dxa"/>
        <w:jc w:val="center"/>
        <w:tblInd w:w="0" w:type="dxa"/>
        <w:tblCellMar>
          <w:top w:w="28" w:type="dxa"/>
          <w:left w:w="28" w:type="dxa"/>
          <w:bottom w:w="28" w:type="dxa"/>
          <w:right w:w="28" w:type="dxa"/>
        </w:tblCellMar>
      </w:tblPr>
      <w:tblGrid>
        <w:gridCol w:w="1503"/>
        <w:gridCol w:w="1323"/>
        <w:gridCol w:w="1329"/>
        <w:gridCol w:w="794"/>
        <w:gridCol w:w="794"/>
        <w:gridCol w:w="797"/>
        <w:gridCol w:w="109"/>
        <w:gridCol w:w="109"/>
        <w:gridCol w:w="109"/>
        <w:gridCol w:w="237"/>
        <w:gridCol w:w="930"/>
        <w:gridCol w:w="122"/>
        <w:gridCol w:w="109"/>
        <w:gridCol w:w="109"/>
        <w:gridCol w:w="109"/>
        <w:gridCol w:w="281"/>
        <w:gridCol w:w="1103"/>
        <w:gridCol w:w="205"/>
      </w:tblGrid>
      <w:tr>
        <w:trPr/>
        <w:tc>
          <w:tcPr>
            <w:tcW w:w="1503"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useful lives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Owned Assets:</w:t>
            </w:r>
          </w:p>
        </w:tc>
        <w:tc>
          <w:tcPr>
            <w:tcW w:w="23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Network equipment and computers</w:t>
            </w:r>
          </w:p>
        </w:tc>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136,289 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130,218 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98,410 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88,487 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42,890 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19,936 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20,211 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Motor vehicles</w:t>
            </w:r>
          </w:p>
        </w:tc>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work in progress</w:t>
            </w:r>
          </w:p>
        </w:tc>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14,459 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307,709 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298,460 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2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(221,621)</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(216,132)</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86,088 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82,328 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Right-of-use assets under finance leases*:</w:t>
            </w:r>
          </w:p>
        </w:tc>
        <w:tc>
          <w:tcPr>
            <w:tcW w:w="2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Network equipment and computers</w:t>
            </w:r>
          </w:p>
        </w:tc>
        <w:tc>
          <w:tcPr>
            <w:tcW w:w="2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2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Motor vehicles</w:t>
            </w:r>
          </w:p>
        </w:tc>
        <w:tc>
          <w:tcPr>
            <w:tcW w:w="2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2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86,652 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82,828 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on assets held under finance leases are computed using the straight-line method over the shorter of the assets estimated useful lives or the lease term.</w:t>
      </w:r>
    </w:p>
    <w:p>
      <w:pPr>
        <w:pStyle w:val="TextBody"/>
        <w:spacing w:lineRule="auto" w:line="288" w:before="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Capital work in progress represents advances paid towards acquisition of property and equipment and costs incurred on internally developed software not yet ready to be placed in service.</w:t>
      </w:r>
    </w:p>
    <w:p>
      <w:pPr>
        <w:pStyle w:val="TextBody"/>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there were no changes in estimated useful lives of property and equipment during the ordinary course of operations.</w:t>
      </w:r>
    </w:p>
    <w:p>
      <w:pPr>
        <w:pStyle w:val="TextBody"/>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depreciation and amortization expense, excluding amortization of acquisition-related intangibles, recognized in the unaudited consolidated statements of income was as follows:</w:t>
      </w:r>
    </w:p>
    <w:p>
      <w:pPr>
        <w:pStyle w:val="TextBody"/>
        <w:spacing w:before="180" w:after="180"/>
        <w:ind w:left="0" w:right="0" w:firstLine="495"/>
        <w:jc w:val="both"/>
        <w:rPr/>
      </w:pPr>
      <w:r>
        <w:rPr/>
      </w:r>
    </w:p>
    <w:tbl>
      <w:tblPr>
        <w:tblW w:w="5862" w:type="dxa"/>
        <w:jc w:val="center"/>
        <w:tblInd w:w="0" w:type="dxa"/>
        <w:tblCellMar>
          <w:top w:w="28" w:type="dxa"/>
          <w:left w:w="28" w:type="dxa"/>
          <w:bottom w:w="28" w:type="dxa"/>
          <w:right w:w="28" w:type="dxa"/>
        </w:tblCellMar>
      </w:tblPr>
      <w:tblGrid>
        <w:gridCol w:w="1195"/>
        <w:gridCol w:w="1051"/>
        <w:gridCol w:w="1054"/>
        <w:gridCol w:w="241"/>
        <w:gridCol w:w="704"/>
        <w:gridCol w:w="124"/>
        <w:gridCol w:w="124"/>
        <w:gridCol w:w="124"/>
        <w:gridCol w:w="124"/>
        <w:gridCol w:w="241"/>
        <w:gridCol w:w="704"/>
        <w:gridCol w:w="176"/>
      </w:tblGrid>
      <w:tr>
        <w:trPr/>
        <w:tc>
          <w:tcPr>
            <w:tcW w:w="1195"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33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3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199"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199"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9,338 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9,116 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80" w:after="80"/>
        <w:jc w:val="center"/>
        <w:rPr/>
      </w:pPr>
      <w:r>
        <w:rPr/>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rFonts w:ascii="Times New Roman;sans-serif" w:hAnsi="Times New Roman;sans-serif"/>
          <w:b/>
          <w:color w:val="0000FF"/>
          <w:sz w:val="20"/>
          <w:u w:val="single"/>
        </w:rPr>
      </w:pPr>
      <w:r>
        <w:rPr>
          <w:rFonts w:ascii="Times New Roman;sans-serif" w:hAnsi="Times New Roman;sans-serif"/>
          <w:b/>
          <w:color w:val="0000FF"/>
          <w:sz w:val="20"/>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spacing w:before="180" w:after="80"/>
        <w:jc w:val="center"/>
        <w:rPr/>
      </w:pPr>
      <w:r>
        <w:rPr/>
      </w:r>
    </w:p>
    <w:p>
      <w:pPr>
        <w:pStyle w:val="TextBody"/>
        <w:spacing w:lineRule="auto" w:line="288" w:before="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effect of foreign exchange gain/(loss) upon settlement of cash flow hedges recorded under depreciation and amortization expense, was as follows:</w:t>
      </w:r>
    </w:p>
    <w:tbl>
      <w:tblPr>
        <w:tblW w:w="6053" w:type="dxa"/>
        <w:jc w:val="left"/>
        <w:tblInd w:w="0" w:type="dxa"/>
        <w:tblCellMar>
          <w:top w:w="28" w:type="dxa"/>
          <w:left w:w="28" w:type="dxa"/>
          <w:bottom w:w="28" w:type="dxa"/>
          <w:right w:w="28" w:type="dxa"/>
        </w:tblCellMar>
      </w:tblPr>
      <w:tblGrid>
        <w:gridCol w:w="1145"/>
        <w:gridCol w:w="1008"/>
        <w:gridCol w:w="1011"/>
        <w:gridCol w:w="109"/>
        <w:gridCol w:w="109"/>
        <w:gridCol w:w="109"/>
        <w:gridCol w:w="299"/>
        <w:gridCol w:w="618"/>
        <w:gridCol w:w="154"/>
        <w:gridCol w:w="154"/>
        <w:gridCol w:w="154"/>
        <w:gridCol w:w="154"/>
        <w:gridCol w:w="299"/>
        <w:gridCol w:w="512"/>
        <w:gridCol w:w="218"/>
      </w:tblGrid>
      <w:tr>
        <w:trPr/>
        <w:tc>
          <w:tcPr>
            <w:tcW w:w="1145"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199"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199"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gain/(loss)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Internally developed software costs, included under Software, was as follows:</w:t>
      </w:r>
    </w:p>
    <w:tbl>
      <w:tblPr>
        <w:tblW w:w="6086" w:type="dxa"/>
        <w:jc w:val="center"/>
        <w:tblInd w:w="0" w:type="dxa"/>
        <w:tblCellMar>
          <w:top w:w="28" w:type="dxa"/>
          <w:left w:w="28" w:type="dxa"/>
          <w:bottom w:w="28" w:type="dxa"/>
          <w:right w:w="28" w:type="dxa"/>
        </w:tblCellMar>
      </w:tblPr>
      <w:tblGrid>
        <w:gridCol w:w="1038"/>
        <w:gridCol w:w="917"/>
        <w:gridCol w:w="924"/>
        <w:gridCol w:w="261"/>
        <w:gridCol w:w="894"/>
        <w:gridCol w:w="135"/>
        <w:gridCol w:w="109"/>
        <w:gridCol w:w="109"/>
        <w:gridCol w:w="109"/>
        <w:gridCol w:w="309"/>
        <w:gridCol w:w="1056"/>
        <w:gridCol w:w="225"/>
      </w:tblGrid>
      <w:tr>
        <w:trPr/>
        <w:tc>
          <w:tcPr>
            <w:tcW w:w="1038"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 Accumulated amortization</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(18,114)</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(16,134)</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Internally developed software, net</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22,830 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15,410 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80" w:after="80"/>
        <w:jc w:val="center"/>
        <w:rPr/>
      </w:pPr>
      <w:r>
        <w:rPr/>
      </w:r>
    </w:p>
    <w:p>
      <w:pPr>
        <w:pStyle w:val="TextBody"/>
        <w:spacing w:lineRule="auto" w:line="288" w:before="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amortization expense on internally developed software recognized in the unaudited consolidated statements of income was as follows:</w:t>
      </w:r>
    </w:p>
    <w:tbl>
      <w:tblPr>
        <w:tblW w:w="4467" w:type="dxa"/>
        <w:jc w:val="center"/>
        <w:tblInd w:w="0" w:type="dxa"/>
        <w:tblCellMar>
          <w:top w:w="28" w:type="dxa"/>
          <w:left w:w="28" w:type="dxa"/>
          <w:bottom w:w="28" w:type="dxa"/>
          <w:right w:w="28" w:type="dxa"/>
        </w:tblCellMar>
      </w:tblPr>
      <w:tblGrid>
        <w:gridCol w:w="690"/>
        <w:gridCol w:w="606"/>
        <w:gridCol w:w="609"/>
        <w:gridCol w:w="241"/>
        <w:gridCol w:w="704"/>
        <w:gridCol w:w="124"/>
        <w:gridCol w:w="124"/>
        <w:gridCol w:w="124"/>
        <w:gridCol w:w="124"/>
        <w:gridCol w:w="241"/>
        <w:gridCol w:w="704"/>
        <w:gridCol w:w="176"/>
      </w:tblGrid>
      <w:tr>
        <w:trPr/>
        <w:tc>
          <w:tcPr>
            <w:tcW w:w="690"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1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80" w:after="180"/>
        <w:ind w:left="0" w:right="0" w:firstLine="495"/>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 believes no impairment exists because the long-lived asset's future undiscounted net cash flows expected to be generated exceeds its carrying value; however, there can be no assurance that long-lived assets will not be impaired in future periods. Determining whether an impairment has occurred typically requires various estimates and assumptions, including determining which undiscounted cash flows are directly related to the potentially impaired asset, the useful life over which cash flows will occur, their amount, the asset’s residual value, if any. It is reasonably possible that the judgments and estimates described above could change in future periods.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rFonts w:ascii="Times New Roman;sans-serif" w:hAnsi="Times New Roman;sans-serif"/>
          <w:b/>
          <w:color w:val="0000FF"/>
          <w:sz w:val="20"/>
          <w:u w:val="single"/>
        </w:rPr>
      </w:pPr>
      <w:r>
        <w:rPr>
          <w:rFonts w:ascii="Times New Roman;sans-serif" w:hAnsi="Times New Roman;sans-serif"/>
          <w:b/>
          <w:color w:val="0000FF"/>
          <w:sz w:val="20"/>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10. Goodwill and Other Intangible Assets</w:t>
      </w:r>
    </w:p>
    <w:p>
      <w:pPr>
        <w:pStyle w:val="TextBody"/>
        <w:spacing w:lineRule="auto" w:line="268" w:before="180" w:after="180"/>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details of changes in goodwill by reportable segment of the Company:</w:t>
      </w:r>
    </w:p>
    <w:tbl>
      <w:tblPr>
        <w:tblW w:w="10107" w:type="dxa"/>
        <w:jc w:val="center"/>
        <w:tblInd w:w="0" w:type="dxa"/>
        <w:tblCellMar>
          <w:top w:w="28" w:type="dxa"/>
          <w:left w:w="28" w:type="dxa"/>
          <w:bottom w:w="28" w:type="dxa"/>
          <w:right w:w="28" w:type="dxa"/>
        </w:tblCellMar>
      </w:tblPr>
      <w:tblGrid>
        <w:gridCol w:w="1016"/>
        <w:gridCol w:w="891"/>
        <w:gridCol w:w="898"/>
        <w:gridCol w:w="211"/>
        <w:gridCol w:w="721"/>
        <w:gridCol w:w="109"/>
        <w:gridCol w:w="109"/>
        <w:gridCol w:w="109"/>
        <w:gridCol w:w="109"/>
        <w:gridCol w:w="211"/>
        <w:gridCol w:w="721"/>
        <w:gridCol w:w="109"/>
        <w:gridCol w:w="109"/>
        <w:gridCol w:w="109"/>
        <w:gridCol w:w="109"/>
        <w:gridCol w:w="319"/>
        <w:gridCol w:w="1091"/>
        <w:gridCol w:w="165"/>
        <w:gridCol w:w="109"/>
        <w:gridCol w:w="109"/>
        <w:gridCol w:w="109"/>
        <w:gridCol w:w="211"/>
        <w:gridCol w:w="826"/>
        <w:gridCol w:w="109"/>
        <w:gridCol w:w="109"/>
        <w:gridCol w:w="109"/>
        <w:gridCol w:w="109"/>
        <w:gridCol w:w="211"/>
        <w:gridCol w:w="826"/>
        <w:gridCol w:w="154"/>
      </w:tblGrid>
      <w:tr>
        <w:trPr/>
        <w:tc>
          <w:tcPr>
            <w:tcW w:w="1016"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Insurance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Healthcare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Emerging Business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Analytics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47,216 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405,824 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performed an assessment to determine whether events or circumstances exist that may lead to a determination that it is more likely than not that the fair value of a reporting unit is less than its carrying amount. The Company considered current and forecasted economic and market conditions and qualitative factors, such as the Company’s performance during the first quarter of the current fiscal year, business forecasts for the remainder of the year, stock price movements, generation and availability of cash and expansion plans. The Company reviewed key assumptions, including revisions of projected future revenues for reporting units against the results of the annual impairment test performed during the fourth quarter of 2022. The Company did not identify any triggers or indications of potential impairment for its reporting units as of March 31, 2023.</w:t>
      </w:r>
    </w:p>
    <w:p>
      <w:pPr>
        <w:pStyle w:val="TextBody"/>
        <w:spacing w:lineRule="auto" w:line="276"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recoverability of goodwill is dependent upon the continued growth of cash flows from the Company’s business activities. This growth is based on business forecasts and improvement in profitability of its reporting units. The Company continues to maintain its focus on cultivating long-term client relationships as well as attracting new clients.</w:t>
      </w:r>
    </w:p>
    <w:p>
      <w:pPr>
        <w:pStyle w:val="TextBody"/>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Other Intangible Assets</w:t>
      </w:r>
    </w:p>
    <w:p>
      <w:pPr>
        <w:pStyle w:val="TextBody"/>
        <w:spacing w:lineRule="auto" w:line="288" w:before="180" w:after="18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Information regarding the Company’s intangible assets is set forth below:</w:t>
      </w:r>
    </w:p>
    <w:tbl>
      <w:tblPr>
        <w:tblW w:w="7358" w:type="dxa"/>
        <w:jc w:val="center"/>
        <w:tblInd w:w="0" w:type="dxa"/>
        <w:tblCellMar>
          <w:top w:w="28" w:type="dxa"/>
          <w:left w:w="28" w:type="dxa"/>
          <w:bottom w:w="28" w:type="dxa"/>
          <w:right w:w="28" w:type="dxa"/>
        </w:tblCellMar>
      </w:tblPr>
      <w:tblGrid>
        <w:gridCol w:w="1048"/>
        <w:gridCol w:w="921"/>
        <w:gridCol w:w="925"/>
        <w:gridCol w:w="276"/>
        <w:gridCol w:w="1081"/>
        <w:gridCol w:w="144"/>
        <w:gridCol w:w="109"/>
        <w:gridCol w:w="109"/>
        <w:gridCol w:w="109"/>
        <w:gridCol w:w="224"/>
        <w:gridCol w:w="796"/>
        <w:gridCol w:w="118"/>
        <w:gridCol w:w="109"/>
        <w:gridCol w:w="109"/>
        <w:gridCol w:w="109"/>
        <w:gridCol w:w="227"/>
        <w:gridCol w:w="777"/>
        <w:gridCol w:w="167"/>
      </w:tblGrid>
      <w:tr>
        <w:trPr/>
        <w:tc>
          <w:tcPr>
            <w:tcW w:w="1048"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6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2023</w:t>
            </w:r>
          </w:p>
        </w:tc>
      </w:tr>
      <w:tr>
        <w:trPr/>
        <w:tc>
          <w:tcPr>
            <w:tcW w:w="2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br/>
              <w:t>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w:t>
              <w:br/>
              <w:t>Amount</w:t>
            </w:r>
          </w:p>
        </w:tc>
      </w:tr>
      <w:tr>
        <w:trPr/>
        <w:tc>
          <w:tcPr>
            <w:tcW w:w="2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Finite-lived intangible assets:</w:t>
            </w:r>
          </w:p>
        </w:tc>
        <w:tc>
          <w:tcPr>
            <w:tcW w:w="15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99,146 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(42,642)</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56,504 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24,912 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(22,185)</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trademarks</w:t>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126,094 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(66,313)</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59,781 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w:t>
            </w:r>
          </w:p>
        </w:tc>
        <w:tc>
          <w:tcPr>
            <w:tcW w:w="15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trademarks</w:t>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intangible assets</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126,994 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(66,313)</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60,681 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rFonts w:ascii="Times New Roman;sans-serif" w:hAnsi="Times New Roman;sans-serif"/>
          <w:b/>
          <w:color w:val="0000FF"/>
          <w:sz w:val="20"/>
          <w:u w:val="single"/>
        </w:rPr>
      </w:pPr>
      <w:r>
        <w:rPr>
          <w:rFonts w:ascii="Times New Roman;sans-serif" w:hAnsi="Times New Roman;sans-serif"/>
          <w:b/>
          <w:color w:val="0000FF"/>
          <w:sz w:val="20"/>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tbl>
      <w:tblPr>
        <w:tblW w:w="7118" w:type="dxa"/>
        <w:jc w:val="center"/>
        <w:tblInd w:w="0" w:type="dxa"/>
        <w:tblCellMar>
          <w:top w:w="28" w:type="dxa"/>
          <w:left w:w="28" w:type="dxa"/>
          <w:bottom w:w="28" w:type="dxa"/>
          <w:right w:w="28" w:type="dxa"/>
        </w:tblCellMar>
      </w:tblPr>
      <w:tblGrid>
        <w:gridCol w:w="961"/>
        <w:gridCol w:w="845"/>
        <w:gridCol w:w="848"/>
        <w:gridCol w:w="276"/>
        <w:gridCol w:w="1081"/>
        <w:gridCol w:w="144"/>
        <w:gridCol w:w="109"/>
        <w:gridCol w:w="109"/>
        <w:gridCol w:w="109"/>
        <w:gridCol w:w="224"/>
        <w:gridCol w:w="796"/>
        <w:gridCol w:w="118"/>
        <w:gridCol w:w="109"/>
        <w:gridCol w:w="109"/>
        <w:gridCol w:w="109"/>
        <w:gridCol w:w="227"/>
        <w:gridCol w:w="777"/>
        <w:gridCol w:w="167"/>
      </w:tblGrid>
      <w:tr>
        <w:trPr/>
        <w:tc>
          <w:tcPr>
            <w:tcW w:w="961"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6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2022</w:t>
            </w:r>
          </w:p>
        </w:tc>
      </w:tr>
      <w:tr>
        <w:trPr/>
        <w:tc>
          <w:tcPr>
            <w:tcW w:w="26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br/>
              <w:t>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w:t>
              <w:br/>
              <w:t>Amount</w:t>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Finite-lived intangible assets:</w:t>
            </w:r>
          </w:p>
        </w:tc>
        <w:tc>
          <w:tcPr>
            <w:tcW w:w="15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99,146 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(39,848)</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59,298 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24,878 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(20,902)</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trademarks</w:t>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126,060 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(62,141)</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63,919 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Indefinite-lived intangible assets:</w:t>
            </w:r>
          </w:p>
        </w:tc>
        <w:tc>
          <w:tcPr>
            <w:tcW w:w="15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trademarks</w:t>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intangible assets</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126,960 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(62,141)</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64,819 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80" w:after="80"/>
        <w:jc w:val="center"/>
        <w:rPr/>
      </w:pPr>
      <w:r>
        <w:rPr/>
      </w:r>
    </w:p>
    <w:p>
      <w:pPr>
        <w:pStyle w:val="TextBody"/>
        <w:spacing w:lineRule="auto" w:line="288" w:before="80" w:after="18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amortization expense recognized in the unaudited consolidated statements of income was as follows:</w:t>
      </w:r>
    </w:p>
    <w:tbl>
      <w:tblPr>
        <w:tblW w:w="4467" w:type="dxa"/>
        <w:jc w:val="center"/>
        <w:tblInd w:w="0" w:type="dxa"/>
        <w:tblCellMar>
          <w:top w:w="28" w:type="dxa"/>
          <w:left w:w="28" w:type="dxa"/>
          <w:bottom w:w="28" w:type="dxa"/>
          <w:right w:w="28" w:type="dxa"/>
        </w:tblCellMar>
      </w:tblPr>
      <w:tblGrid>
        <w:gridCol w:w="690"/>
        <w:gridCol w:w="606"/>
        <w:gridCol w:w="609"/>
        <w:gridCol w:w="241"/>
        <w:gridCol w:w="704"/>
        <w:gridCol w:w="124"/>
        <w:gridCol w:w="124"/>
        <w:gridCol w:w="124"/>
        <w:gridCol w:w="124"/>
        <w:gridCol w:w="241"/>
        <w:gridCol w:w="704"/>
        <w:gridCol w:w="176"/>
      </w:tblGrid>
      <w:tr>
        <w:trPr/>
        <w:tc>
          <w:tcPr>
            <w:tcW w:w="690"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1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199"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199"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remaining weighted average life of intangible assets is as follows:</w:t>
      </w:r>
    </w:p>
    <w:tbl>
      <w:tblPr>
        <w:tblW w:w="4349" w:type="dxa"/>
        <w:jc w:val="center"/>
        <w:tblInd w:w="0" w:type="dxa"/>
        <w:tblCellMar>
          <w:top w:w="28" w:type="dxa"/>
          <w:left w:w="28" w:type="dxa"/>
          <w:bottom w:w="28" w:type="dxa"/>
          <w:right w:w="28" w:type="dxa"/>
        </w:tblCellMar>
      </w:tblPr>
      <w:tblGrid>
        <w:gridCol w:w="1260"/>
        <w:gridCol w:w="1108"/>
        <w:gridCol w:w="1112"/>
        <w:gridCol w:w="253"/>
        <w:gridCol w:w="253"/>
        <w:gridCol w:w="363"/>
      </w:tblGrid>
      <w:tr>
        <w:trPr/>
        <w:tc>
          <w:tcPr>
            <w:tcW w:w="1260"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r>
      <w:tr>
        <w:trPr/>
        <w:tc>
          <w:tcPr>
            <w:tcW w:w="3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(in years)</w:t>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8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8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trademarks (finite lived)</w:t>
            </w:r>
          </w:p>
        </w:tc>
        <w:tc>
          <w:tcPr>
            <w:tcW w:w="8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8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r>
    </w:tbl>
    <w:p>
      <w:pPr>
        <w:pStyle w:val="TextBody"/>
        <w:spacing w:lineRule="auto" w:line="288" w:before="180" w:after="80"/>
        <w:jc w:val="center"/>
        <w:rPr>
          <w:color w:val="000000"/>
        </w:rPr>
      </w:pPr>
      <w:r>
        <w:rPr>
          <w:color w:val="000000"/>
        </w:rPr>
        <w:t>    </w:t>
      </w:r>
    </w:p>
    <w:tbl>
      <w:tblPr>
        <w:tblW w:w="9687" w:type="dxa"/>
        <w:jc w:val="center"/>
        <w:tblInd w:w="0" w:type="dxa"/>
        <w:tblCellMar>
          <w:top w:w="28" w:type="dxa"/>
          <w:left w:w="28" w:type="dxa"/>
          <w:bottom w:w="28" w:type="dxa"/>
          <w:right w:w="28" w:type="dxa"/>
        </w:tblCellMar>
      </w:tblPr>
      <w:tblGrid>
        <w:gridCol w:w="902"/>
        <w:gridCol w:w="794"/>
        <w:gridCol w:w="794"/>
        <w:gridCol w:w="1398"/>
        <w:gridCol w:w="4779"/>
        <w:gridCol w:w="1020"/>
      </w:tblGrid>
      <w:tr>
        <w:trPr/>
        <w:tc>
          <w:tcPr>
            <w:tcW w:w="902"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398" w:type="dxa"/>
            <w:tcBorders/>
            <w:shd w:fill="auto" w:val="clear"/>
            <w:vAlign w:val="center"/>
          </w:tcPr>
          <w:p>
            <w:pPr>
              <w:pStyle w:val="TableContents"/>
              <w:spacing w:before="0" w:after="283"/>
              <w:rPr>
                <w:sz w:val="4"/>
                <w:szCs w:val="4"/>
              </w:rPr>
            </w:pPr>
            <w:r>
              <w:rPr>
                <w:sz w:val="4"/>
                <w:szCs w:val="4"/>
              </w:rPr>
            </w:r>
          </w:p>
        </w:tc>
        <w:tc>
          <w:tcPr>
            <w:tcW w:w="4779"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r>
      <w:tr>
        <w:trPr/>
        <w:tc>
          <w:tcPr>
            <w:tcW w:w="9687"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Estimated future amortization expense related to finite-lived intangible assets as of March 31, 2023 was as follows:</w:t>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(April 1 - December 31)</w:t>
            </w:r>
          </w:p>
        </w:tc>
        <w:tc>
          <w:tcPr>
            <w:tcW w:w="13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10,503 </w:t>
            </w:r>
          </w:p>
        </w:tc>
        <w:tc>
          <w:tcPr>
            <w:tcW w:w="10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61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12,137 </w:t>
            </w:r>
          </w:p>
        </w:tc>
        <w:tc>
          <w:tcPr>
            <w:tcW w:w="10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61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10,702 </w:t>
            </w:r>
          </w:p>
        </w:tc>
        <w:tc>
          <w:tcPr>
            <w:tcW w:w="10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61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10,364 </w:t>
            </w:r>
          </w:p>
        </w:tc>
        <w:tc>
          <w:tcPr>
            <w:tcW w:w="10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61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9,364 </w:t>
            </w:r>
          </w:p>
        </w:tc>
        <w:tc>
          <w:tcPr>
            <w:tcW w:w="10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thereafter</w:t>
            </w:r>
          </w:p>
        </w:tc>
        <w:tc>
          <w:tcPr>
            <w:tcW w:w="61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6,711 </w:t>
            </w:r>
          </w:p>
        </w:tc>
        <w:tc>
          <w:tcPr>
            <w:tcW w:w="10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3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59,781 </w:t>
            </w:r>
          </w:p>
        </w:tc>
        <w:tc>
          <w:tcPr>
            <w:tcW w:w="10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80" w:after="80"/>
        <w:jc w:val="center"/>
        <w:rPr/>
      </w:pPr>
      <w:r>
        <w:rPr/>
      </w:r>
    </w:p>
    <w:p>
      <w:pPr>
        <w:pStyle w:val="TextBody"/>
        <w:spacing w:before="80" w:after="80"/>
        <w:jc w:val="center"/>
        <w:rPr/>
      </w:pPr>
      <w:r>
        <w:rPr/>
      </w:r>
    </w:p>
    <w:p>
      <w:pPr>
        <w:pStyle w:val="TextBody"/>
        <w:spacing w:before="80" w:after="80"/>
        <w:jc w:val="center"/>
        <w:rPr/>
      </w:pPr>
      <w:r>
        <w:rPr/>
      </w:r>
    </w:p>
    <w:p>
      <w:pPr>
        <w:pStyle w:val="TextBody"/>
        <w:spacing w:before="80" w:after="80"/>
        <w:jc w:val="center"/>
        <w:rPr/>
      </w:pPr>
      <w:r>
        <w:rPr/>
      </w:r>
    </w:p>
    <w:p>
      <w:pPr>
        <w:pStyle w:val="TextBody"/>
        <w:spacing w:before="80" w:after="80"/>
        <w:jc w:val="center"/>
        <w:rPr/>
      </w:pPr>
      <w:r>
        <w:rPr/>
      </w:r>
    </w:p>
    <w:p>
      <w:pPr>
        <w:pStyle w:val="TextBody"/>
        <w:spacing w:before="80" w:after="80"/>
        <w:jc w:val="center"/>
        <w:rPr/>
      </w:pPr>
      <w:r>
        <w:rPr/>
      </w:r>
    </w:p>
    <w:p>
      <w:pPr>
        <w:pStyle w:val="TextBody"/>
        <w:spacing w:before="80" w:after="8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rFonts w:ascii="Times New Roman;sans-serif" w:hAnsi="Times New Roman;sans-serif"/>
          <w:b/>
          <w:color w:val="0000FF"/>
          <w:sz w:val="20"/>
          <w:u w:val="single"/>
        </w:rPr>
      </w:pPr>
      <w:r>
        <w:rPr>
          <w:rFonts w:ascii="Times New Roman;sans-serif" w:hAnsi="Times New Roman;sans-serif"/>
          <w:b/>
          <w:color w:val="0000FF"/>
          <w:sz w:val="20"/>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spacing w:lineRule="auto" w:line="288" w:before="80" w:after="80"/>
        <w:rPr>
          <w:rFonts w:ascii="Times New Roman;sans-serif" w:hAnsi="Times New Roman;sans-serif"/>
          <w:b/>
          <w:color w:val="000000"/>
          <w:sz w:val="20"/>
        </w:rPr>
      </w:pPr>
      <w:r>
        <w:rPr>
          <w:rFonts w:ascii="Times New Roman;sans-serif" w:hAnsi="Times New Roman;sans-serif"/>
          <w:b/>
          <w:color w:val="000000"/>
          <w:sz w:val="20"/>
        </w:rPr>
        <w:t>11. Other Current Assets</w:t>
      </w:r>
    </w:p>
    <w:p>
      <w:pPr>
        <w:pStyle w:val="TextBody"/>
        <w:spacing w:lineRule="auto" w:line="288" w:before="18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Other current assets consist of the following:</w:t>
      </w:r>
    </w:p>
    <w:tbl>
      <w:tblPr>
        <w:tblW w:w="6416" w:type="dxa"/>
        <w:jc w:val="center"/>
        <w:tblInd w:w="0" w:type="dxa"/>
        <w:tblCellMar>
          <w:top w:w="28" w:type="dxa"/>
          <w:left w:w="28" w:type="dxa"/>
          <w:bottom w:w="28" w:type="dxa"/>
          <w:right w:w="28" w:type="dxa"/>
        </w:tblCellMar>
      </w:tblPr>
      <w:tblGrid>
        <w:gridCol w:w="1163"/>
        <w:gridCol w:w="1019"/>
        <w:gridCol w:w="1027"/>
        <w:gridCol w:w="261"/>
        <w:gridCol w:w="894"/>
        <w:gridCol w:w="135"/>
        <w:gridCol w:w="109"/>
        <w:gridCol w:w="109"/>
        <w:gridCol w:w="109"/>
        <w:gridCol w:w="309"/>
        <w:gridCol w:w="1056"/>
        <w:gridCol w:w="225"/>
      </w:tblGrid>
      <w:tr>
        <w:trPr/>
        <w:tc>
          <w:tcPr>
            <w:tcW w:w="1163"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statutory authorities</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15,609 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15,724 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income tax, net</w:t>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13,568 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5,716 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to suppliers</w:t>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fulfillment costs</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6,151 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5,855 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66,340 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50,979 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12. Other Assets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Other assets consist of the following:</w:t>
      </w:r>
    </w:p>
    <w:tbl>
      <w:tblPr>
        <w:tblW w:w="6444" w:type="dxa"/>
        <w:jc w:val="center"/>
        <w:tblInd w:w="0" w:type="dxa"/>
        <w:tblCellMar>
          <w:top w:w="28" w:type="dxa"/>
          <w:left w:w="28" w:type="dxa"/>
          <w:bottom w:w="28" w:type="dxa"/>
          <w:right w:w="28" w:type="dxa"/>
        </w:tblCellMar>
      </w:tblPr>
      <w:tblGrid>
        <w:gridCol w:w="1054"/>
        <w:gridCol w:w="925"/>
        <w:gridCol w:w="931"/>
        <w:gridCol w:w="109"/>
        <w:gridCol w:w="109"/>
        <w:gridCol w:w="109"/>
        <w:gridCol w:w="261"/>
        <w:gridCol w:w="894"/>
        <w:gridCol w:w="135"/>
        <w:gridCol w:w="109"/>
        <w:gridCol w:w="109"/>
        <w:gridCol w:w="109"/>
        <w:gridCol w:w="309"/>
        <w:gridCol w:w="1056"/>
        <w:gridCol w:w="225"/>
      </w:tblGrid>
      <w:tr>
        <w:trPr/>
        <w:tc>
          <w:tcPr>
            <w:tcW w:w="1054"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fulfillment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deposits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6,514 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6,621 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with statutory authorities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4,477 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32,069 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13. Accrued Expenses and Other Current Liabilities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 of the following:</w:t>
      </w:r>
    </w:p>
    <w:tbl>
      <w:tblPr>
        <w:tblW w:w="7031" w:type="dxa"/>
        <w:jc w:val="center"/>
        <w:tblInd w:w="0" w:type="dxa"/>
        <w:tblCellMar>
          <w:top w:w="28" w:type="dxa"/>
          <w:left w:w="28" w:type="dxa"/>
          <w:bottom w:w="28" w:type="dxa"/>
          <w:right w:w="28" w:type="dxa"/>
        </w:tblCellMar>
      </w:tblPr>
      <w:tblGrid>
        <w:gridCol w:w="1385"/>
        <w:gridCol w:w="1215"/>
        <w:gridCol w:w="1225"/>
        <w:gridCol w:w="237"/>
        <w:gridCol w:w="930"/>
        <w:gridCol w:w="122"/>
        <w:gridCol w:w="109"/>
        <w:gridCol w:w="109"/>
        <w:gridCol w:w="109"/>
        <w:gridCol w:w="309"/>
        <w:gridCol w:w="1056"/>
        <w:gridCol w:w="225"/>
      </w:tblGrid>
      <w:tr>
        <w:trPr/>
        <w:tc>
          <w:tcPr>
            <w:tcW w:w="1385"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53,061 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 to statutory authorities</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40,235 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20,430 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Client liabilities</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5,110 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10,059 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capital expenditures</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133,400 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95,352 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rFonts w:ascii="Times New Roman;sans-serif" w:hAnsi="Times New Roman;sans-serif"/>
          <w:b/>
          <w:color w:val="0000FF"/>
          <w:sz w:val="20"/>
          <w:u w:val="single"/>
        </w:rPr>
      </w:pPr>
      <w:r>
        <w:rPr>
          <w:rFonts w:ascii="Times New Roman;sans-serif" w:hAnsi="Times New Roman;sans-serif"/>
          <w:b/>
          <w:color w:val="0000FF"/>
          <w:sz w:val="20"/>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14. Other Non-Current Liabilities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 consist of the following:</w:t>
      </w:r>
    </w:p>
    <w:tbl>
      <w:tblPr>
        <w:tblW w:w="5591" w:type="dxa"/>
        <w:jc w:val="center"/>
        <w:tblInd w:w="0" w:type="dxa"/>
        <w:tblCellMar>
          <w:top w:w="28" w:type="dxa"/>
          <w:left w:w="28" w:type="dxa"/>
          <w:bottom w:w="28" w:type="dxa"/>
          <w:right w:w="28" w:type="dxa"/>
        </w:tblCellMar>
      </w:tblPr>
      <w:tblGrid>
        <w:gridCol w:w="865"/>
        <w:gridCol w:w="758"/>
        <w:gridCol w:w="761"/>
        <w:gridCol w:w="261"/>
        <w:gridCol w:w="894"/>
        <w:gridCol w:w="135"/>
        <w:gridCol w:w="109"/>
        <w:gridCol w:w="109"/>
        <w:gridCol w:w="109"/>
        <w:gridCol w:w="309"/>
        <w:gridCol w:w="1056"/>
        <w:gridCol w:w="225"/>
      </w:tblGrid>
      <w:tr>
        <w:trPr/>
        <w:tc>
          <w:tcPr>
            <w:tcW w:w="865"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Retirement benefits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transition revenue</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4,223 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6,218 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13,689 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26,297 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41,292 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15. Accumulated Other Comprehensive Income/(Loss)</w:t>
      </w:r>
    </w:p>
    <w:p>
      <w:pPr>
        <w:pStyle w:val="TextBody"/>
        <w:spacing w:lineRule="auto" w:line="268" w:before="240" w:after="283"/>
        <w:ind w:left="0" w:right="0" w:firstLine="450"/>
        <w:jc w:val="both"/>
        <w:rPr/>
      </w:pPr>
      <w:r>
        <w:rPr>
          <w:rFonts w:ascii="Times New Roman;sans-serif" w:hAnsi="Times New Roman;sans-serif"/>
          <w:b w:val="false"/>
          <w:color w:val="000000"/>
          <w:sz w:val="20"/>
        </w:rPr>
        <w:t xml:space="preserve">Accumulated other comprehensive income/(loss) (“AOCI”) consists of actuarial gain/(loss) on retirement benefits and foreign currency translation adjustments. In addition, the Company enters into foreign currency forward contracts and interest rate swaps, which are designated as cash flow hedges and net investment hedges, as applicable, in accordance with ASC Topic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Cumulative changes in the fair values of cash flow hedges are recognized in AOCI on the Company’s consolidated balance sheets. The fair value changes are reclassified from AOCI to unaudited consolidated statements of income upon settlement of foreign currency forward contracts designated as cash flow hedges of a forecast transaction, whereas such changes for interest rate swaps are reclassified over the term of the contract. Fair value changes related to net investment hedges are included in AOCI and are reclassified to unaudited consolidated statements of income when a foreign operation is disposed or partially disposed. The following table sets forth the changes in AOCI during the three months ended March 31, 2023 and 2022:</w:t>
      </w:r>
    </w:p>
    <w:tbl>
      <w:tblPr>
        <w:tblW w:w="10205" w:type="dxa"/>
        <w:jc w:val="left"/>
        <w:tblInd w:w="0" w:type="dxa"/>
        <w:tblCellMar>
          <w:top w:w="28" w:type="dxa"/>
          <w:left w:w="28" w:type="dxa"/>
          <w:bottom w:w="28" w:type="dxa"/>
          <w:right w:w="28" w:type="dxa"/>
        </w:tblCellMar>
      </w:tblPr>
      <w:tblGrid>
        <w:gridCol w:w="1349"/>
        <w:gridCol w:w="858"/>
        <w:gridCol w:w="862"/>
        <w:gridCol w:w="328"/>
        <w:gridCol w:w="1365"/>
        <w:gridCol w:w="169"/>
        <w:gridCol w:w="109"/>
        <w:gridCol w:w="109"/>
        <w:gridCol w:w="109"/>
        <w:gridCol w:w="360"/>
        <w:gridCol w:w="1323"/>
        <w:gridCol w:w="186"/>
        <w:gridCol w:w="109"/>
        <w:gridCol w:w="109"/>
        <w:gridCol w:w="109"/>
        <w:gridCol w:w="255"/>
        <w:gridCol w:w="804"/>
        <w:gridCol w:w="131"/>
        <w:gridCol w:w="109"/>
        <w:gridCol w:w="109"/>
        <w:gridCol w:w="109"/>
        <w:gridCol w:w="211"/>
        <w:gridCol w:w="862"/>
        <w:gridCol w:w="161"/>
      </w:tblGrid>
      <w:tr>
        <w:trPr/>
        <w:tc>
          <w:tcPr>
            <w:tcW w:w="1349"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136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Income/(Loss)</w:t>
            </w:r>
          </w:p>
        </w:tc>
      </w:tr>
      <w:tr>
        <w:trPr/>
        <w:tc>
          <w:tcPr>
            <w:tcW w:w="3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 currency translation gain/(loss)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gain/(loss) on cash flow hedges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Retirement benefits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1, 2023</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(133,139)</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(11,303)</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299</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(144,143)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recognized during the period</w:t>
            </w:r>
          </w:p>
        </w:tc>
        <w:tc>
          <w:tcPr>
            <w:tcW w:w="16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5,313 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7,294 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to net income</w:t>
            </w:r>
          </w:p>
        </w:tc>
        <w:tc>
          <w:tcPr>
            <w:tcW w:w="16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Income tax effects </w:t>
            </w:r>
            <w:r>
              <w:rPr>
                <w:rFonts w:ascii="Times New Roman;sans-serif" w:hAnsi="Times New Roman;sans-serif"/>
                <w:b w:val="false"/>
                <w:color w:val="000000"/>
                <w:sz w:val="13"/>
              </w:rPr>
              <w:t>(2)</w:t>
            </w:r>
          </w:p>
        </w:tc>
        <w:tc>
          <w:tcPr>
            <w:tcW w:w="16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other comprehensive income/(loss) as of March 31, 2023</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(128,964)</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(2,778)</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255</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(131,487)</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6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1, 2022</w:t>
            </w:r>
          </w:p>
        </w:tc>
        <w:tc>
          <w:tcPr>
            <w:tcW w:w="3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6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(95,437)</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23"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8,420</w:t>
            </w: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(2,457)</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(89,474)</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recognized during the period</w:t>
            </w:r>
          </w:p>
        </w:tc>
        <w:tc>
          <w:tcPr>
            <w:tcW w:w="16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(7,445)</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Reclassification to net income </w:t>
            </w:r>
            <w:r>
              <w:rPr>
                <w:rFonts w:ascii="Times New Roman;sans-serif" w:hAnsi="Times New Roman;sans-serif"/>
                <w:b w:val="false"/>
                <w:color w:val="000000"/>
                <w:sz w:val="13"/>
              </w:rPr>
              <w:t>(1)</w:t>
            </w:r>
          </w:p>
        </w:tc>
        <w:tc>
          <w:tcPr>
            <w:tcW w:w="16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Income tax effects </w:t>
            </w:r>
            <w:r>
              <w:rPr>
                <w:rFonts w:ascii="Times New Roman;sans-serif" w:hAnsi="Times New Roman;sans-serif"/>
                <w:b w:val="false"/>
                <w:color w:val="000000"/>
                <w:sz w:val="13"/>
              </w:rPr>
              <w:t>(2)</w:t>
            </w:r>
          </w:p>
        </w:tc>
        <w:tc>
          <w:tcPr>
            <w:tcW w:w="16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other comprehensive income/(loss) as of March 31, 2022</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(102,383)</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6,426</w:t>
            </w:r>
            <w:r>
              <w:rPr>
                <w:color w:val="000000"/>
              </w:rPr>
              <w:t>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(2,349)</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(98,306)</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ind w:left="0" w:right="0" w:hanging="360"/>
        <w:jc w:val="both"/>
        <w:rPr/>
      </w:pPr>
      <w:r>
        <w:rPr>
          <w:rFonts w:ascii="Times New Roman;sans-serif" w:hAnsi="Times New Roman;sans-serif"/>
          <w:b w:val="false"/>
          <w:color w:val="000000"/>
          <w:sz w:val="18"/>
        </w:rPr>
        <w:t>1.</w:t>
      </w:r>
      <w:r>
        <w:rPr>
          <w:rFonts w:ascii="Times New Roman;sans-serif" w:hAnsi="Times New Roman;sans-serif"/>
          <w:b w:val="false"/>
          <w:i/>
          <w:color w:val="000000"/>
          <w:sz w:val="18"/>
        </w:rPr>
        <w:t>Refer to Note 17 - Derivatives and Hedge Accounting and Note 20 - Employee Benefit Plans to the unaudited consolidated financial statements for reclassification to net income.</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2.These are income tax effects recognized on cash flow hedges, retirement benefits and foreign currency translation gain/(loss). Refer to Note 22 - Income Taxes to the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rFonts w:ascii="Times New Roman;sans-serif" w:hAnsi="Times New Roman;sans-serif"/>
          <w:b/>
          <w:color w:val="0000FF"/>
          <w:sz w:val="20"/>
          <w:u w:val="single"/>
        </w:rPr>
      </w:pPr>
      <w:r>
        <w:rPr>
          <w:rFonts w:ascii="Times New Roman;sans-serif" w:hAnsi="Times New Roman;sans-serif"/>
          <w:b/>
          <w:color w:val="0000FF"/>
          <w:sz w:val="20"/>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16. Fair Value Measurements</w:t>
      </w:r>
    </w:p>
    <w:p>
      <w:pPr>
        <w:pStyle w:val="TextBody"/>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Assets and Liabilities Measured at Fair Value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assets and liabilities that were recognized at fair value:</w:t>
      </w:r>
    </w:p>
    <w:tbl>
      <w:tblPr>
        <w:tblW w:w="10205" w:type="dxa"/>
        <w:jc w:val="center"/>
        <w:tblInd w:w="0" w:type="dxa"/>
        <w:tblCellMar>
          <w:top w:w="28" w:type="dxa"/>
          <w:left w:w="28" w:type="dxa"/>
          <w:bottom w:w="28" w:type="dxa"/>
          <w:right w:w="28" w:type="dxa"/>
        </w:tblCellMar>
      </w:tblPr>
      <w:tblGrid>
        <w:gridCol w:w="952"/>
        <w:gridCol w:w="528"/>
        <w:gridCol w:w="512"/>
        <w:gridCol w:w="109"/>
        <w:gridCol w:w="109"/>
        <w:gridCol w:w="109"/>
        <w:gridCol w:w="401"/>
        <w:gridCol w:w="1570"/>
        <w:gridCol w:w="207"/>
        <w:gridCol w:w="109"/>
        <w:gridCol w:w="109"/>
        <w:gridCol w:w="109"/>
        <w:gridCol w:w="341"/>
        <w:gridCol w:w="1165"/>
        <w:gridCol w:w="175"/>
        <w:gridCol w:w="109"/>
        <w:gridCol w:w="109"/>
        <w:gridCol w:w="109"/>
        <w:gridCol w:w="374"/>
        <w:gridCol w:w="1282"/>
        <w:gridCol w:w="194"/>
        <w:gridCol w:w="109"/>
        <w:gridCol w:w="109"/>
        <w:gridCol w:w="109"/>
        <w:gridCol w:w="211"/>
        <w:gridCol w:w="826"/>
        <w:gridCol w:w="159"/>
      </w:tblGrid>
      <w:tr>
        <w:trPr/>
        <w:tc>
          <w:tcPr>
            <w:tcW w:w="952"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57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Quoted Prices in Active Markets for Identical Assets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 Other Observable 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Significant Other Unobservable Inputs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 - Money market funds*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64,253 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64,253 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65,042 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69,474 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8,349 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8,349 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18,689 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18,689 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Quoted Prices in Active Markets for Identical Assets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 Other Observable 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Significant Other Unobservable Inputs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 - Money market funds*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110,964 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110,964 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112,101 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114,447 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16,277 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16,277 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18,689 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16,277 </w:t>
            </w:r>
          </w:p>
        </w:tc>
        <w:tc>
          <w:tcPr>
            <w:tcW w:w="1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18,689 </w:t>
            </w:r>
          </w:p>
        </w:tc>
        <w:tc>
          <w:tcPr>
            <w:tcW w:w="1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34,966 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283"/>
        <w:ind w:left="0" w:right="0" w:firstLine="495"/>
        <w:jc w:val="both"/>
        <w:rPr/>
      </w:pPr>
      <w:r>
        <w:rPr/>
      </w:r>
    </w:p>
    <w:p>
      <w:pPr>
        <w:pStyle w:val="TextBody"/>
        <w:spacing w:lineRule="auto" w:line="288" w:before="20" w:after="283"/>
        <w:ind w:left="0" w:right="0" w:firstLine="495"/>
        <w:jc w:val="both"/>
        <w:rPr/>
      </w:pPr>
      <w:r>
        <w:rPr>
          <w:rFonts w:ascii="Times New Roman;sans-serif" w:hAnsi="Times New Roman;sans-serif"/>
          <w:b w:val="false"/>
          <w:i/>
          <w:color w:val="000000"/>
          <w:sz w:val="20"/>
        </w:rPr>
        <w:t xml:space="preserve">* Represents money market funds which are carried at the fair value option under ASC Topic 825 </w:t>
      </w:r>
      <w:r>
        <w:rPr>
          <w:color w:val="000000"/>
        </w:rPr>
        <w:t>“</w:t>
      </w:r>
      <w:r>
        <w:rPr>
          <w:rFonts w:ascii="Times New Roman;sans-serif" w:hAnsi="Times New Roman;sans-serif"/>
          <w:b w:val="false"/>
          <w:i/>
          <w:color w:val="000000"/>
          <w:sz w:val="20"/>
        </w:rPr>
        <w:t>Financial Instruments</w:t>
      </w:r>
      <w:r>
        <w:rPr>
          <w:color w:val="000000"/>
        </w:rPr>
        <w:t>”</w:t>
      </w:r>
      <w:r>
        <w:rPr>
          <w:rFonts w:ascii="Times New Roman;sans-serif" w:hAnsi="Times New Roman;sans-serif"/>
          <w:b w:val="false"/>
          <w:i/>
          <w:color w:val="000000"/>
          <w:sz w:val="20"/>
        </w:rPr>
        <w:t>.</w:t>
      </w:r>
    </w:p>
    <w:p>
      <w:pPr>
        <w:pStyle w:val="TextBody"/>
        <w:spacing w:before="20" w:after="283"/>
        <w:ind w:left="0" w:right="0" w:firstLine="495"/>
        <w:jc w:val="both"/>
        <w:rPr/>
      </w:pPr>
      <w:r>
        <w:rPr/>
      </w:r>
    </w:p>
    <w:p>
      <w:pPr>
        <w:pStyle w:val="TextBody"/>
        <w:spacing w:lineRule="auto" w:line="288" w:before="20" w:after="283"/>
        <w:ind w:left="0" w:right="0" w:firstLine="495"/>
        <w:jc w:val="both"/>
        <w:rPr/>
      </w:pPr>
      <w:r>
        <w:rPr>
          <w:rFonts w:ascii="Times New Roman;sans-serif" w:hAnsi="Times New Roman;sans-serif"/>
          <w:b w:val="false"/>
          <w:i/>
          <w:color w:val="000000"/>
          <w:sz w:val="20"/>
        </w:rPr>
        <w:t xml:space="preserve">** Represents those short-term investments which are carried at the fair value option under ASC Topic 825 </w:t>
      </w:r>
      <w:r>
        <w:rPr>
          <w:color w:val="000000"/>
        </w:rPr>
        <w:t>“</w:t>
      </w:r>
      <w:r>
        <w:rPr>
          <w:rFonts w:ascii="Times New Roman;sans-serif" w:hAnsi="Times New Roman;sans-serif"/>
          <w:b w:val="false"/>
          <w:i/>
          <w:color w:val="000000"/>
          <w:sz w:val="20"/>
        </w:rPr>
        <w:t>Financial Instruments</w:t>
      </w:r>
      <w:r>
        <w:rPr>
          <w:color w:val="000000"/>
        </w:rPr>
        <w:t>”</w:t>
      </w:r>
      <w:r>
        <w:rPr>
          <w:rFonts w:ascii="Times New Roman;sans-serif" w:hAnsi="Times New Roman;sans-serif"/>
          <w:b w:val="false"/>
          <w:i/>
          <w:color w:val="000000"/>
          <w:sz w:val="20"/>
        </w:rPr>
        <w:t>.</w:t>
      </w:r>
    </w:p>
    <w:p>
      <w:pPr>
        <w:pStyle w:val="TextBody"/>
        <w:spacing w:before="20" w:after="283"/>
        <w:ind w:left="0" w:right="0" w:firstLine="495"/>
        <w:jc w:val="both"/>
        <w:rPr/>
      </w:pPr>
      <w:r>
        <w:rPr/>
      </w:r>
    </w:p>
    <w:p>
      <w:pPr>
        <w:pStyle w:val="TextBody"/>
        <w:spacing w:lineRule="auto" w:line="288" w:before="0" w:after="0"/>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 Contingent consideration is presented under “Accrued Expenses and Other Current Liabilities” and “Other Non-Current Liabilities,” as applicable, in the consolidated balance sheets.</w:t>
      </w:r>
    </w:p>
    <w:p>
      <w:pPr>
        <w:pStyle w:val="TextBody"/>
        <w:spacing w:before="0" w:after="0"/>
        <w:ind w:left="0" w:right="0" w:firstLine="495"/>
        <w:rPr/>
      </w:pPr>
      <w:r>
        <w:rPr/>
      </w:r>
    </w:p>
    <w:p>
      <w:pPr>
        <w:pStyle w:val="TextBody"/>
        <w:spacing w:lineRule="auto" w:line="276" w:before="0" w:after="0"/>
        <w:jc w:val="both"/>
        <w:rPr/>
      </w:pPr>
      <w:r>
        <w:rPr>
          <w:rFonts w:ascii="Times New Roman;sans-serif" w:hAnsi="Times New Roman;sans-serif"/>
          <w:b w:val="false"/>
          <w:i/>
          <w:color w:val="000000"/>
          <w:sz w:val="20"/>
        </w:rPr>
        <w:t>Derivative Financial Instruments</w:t>
      </w:r>
      <w:r>
        <w:rPr>
          <w:rFonts w:ascii="Times New Roman;sans-serif" w:hAnsi="Times New Roman;sans-serif"/>
          <w:b w:val="false"/>
          <w:color w:val="000000"/>
          <w:sz w:val="20"/>
        </w:rPr>
        <w:t xml:space="preserve">: </w:t>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rFonts w:ascii="Times New Roman;sans-serif" w:hAnsi="Times New Roman;sans-serif"/>
          <w:b/>
          <w:color w:val="0000FF"/>
          <w:sz w:val="20"/>
          <w:u w:val="single"/>
        </w:rPr>
      </w:pPr>
      <w:r>
        <w:rPr>
          <w:rFonts w:ascii="Times New Roman;sans-serif" w:hAnsi="Times New Roman;sans-serif"/>
          <w:b/>
          <w:color w:val="0000FF"/>
          <w:sz w:val="20"/>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derivative financial instruments consist of foreign currency forward contracts and interest rate swaps. Fair values for derivative financial instruments are based on independent sources including highly rated financial institutions and are classified as Level 2. Refer to Note 17 - Derivatives and Hedge Accounting to the unaudited consolidated financial statements for further details.</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i/>
          <w:color w:val="000000"/>
          <w:sz w:val="20"/>
        </w:rPr>
        <w:t>Fair Value of Contingent Consideration</w:t>
      </w:r>
      <w:r>
        <w:rPr>
          <w:rFonts w:ascii="Times New Roman;sans-serif" w:hAnsi="Times New Roman;sans-serif"/>
          <w:b w:val="false"/>
          <w:color w:val="000000"/>
          <w:sz w:val="20"/>
        </w:rPr>
        <w:t xml:space="preserve">: </w:t>
      </w:r>
    </w:p>
    <w:p>
      <w:pPr>
        <w:pStyle w:val="TextBody"/>
        <w:spacing w:before="0" w:after="0"/>
        <w:jc w:val="both"/>
        <w:rPr/>
      </w:pPr>
      <w:r>
        <w:rPr/>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measurement of contingent consideration is determined using Level 3 inputs. The Company’s contingent consideration represents a component of the total purchase consideration for business acquisitions. The measurement is calculated using unobservable inputs based on the Company’s own assessment of achievement of certain performance goals. The Company estimated the fair value of the contingent consideration based on the Monte Carlo simulation model and scenario-based method.</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fair value of contingent consideration:</w:t>
      </w:r>
    </w:p>
    <w:tbl>
      <w:tblPr>
        <w:tblW w:w="4198" w:type="dxa"/>
        <w:jc w:val="left"/>
        <w:tblInd w:w="0" w:type="dxa"/>
        <w:tblCellMar>
          <w:top w:w="28" w:type="dxa"/>
          <w:left w:w="28" w:type="dxa"/>
          <w:bottom w:w="28" w:type="dxa"/>
          <w:right w:w="28" w:type="dxa"/>
        </w:tblCellMar>
      </w:tblPr>
      <w:tblGrid>
        <w:gridCol w:w="591"/>
        <w:gridCol w:w="521"/>
        <w:gridCol w:w="523"/>
        <w:gridCol w:w="230"/>
        <w:gridCol w:w="787"/>
        <w:gridCol w:w="119"/>
        <w:gridCol w:w="119"/>
        <w:gridCol w:w="119"/>
        <w:gridCol w:w="119"/>
        <w:gridCol w:w="230"/>
        <w:gridCol w:w="672"/>
        <w:gridCol w:w="168"/>
      </w:tblGrid>
      <w:tr>
        <w:trPr/>
        <w:tc>
          <w:tcPr>
            <w:tcW w:w="591"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Opening balance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changes</w:t>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Closing balance</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450"/>
        <w:jc w:val="both"/>
        <w:rPr>
          <w:color w:val="000000"/>
        </w:rPr>
      </w:pPr>
      <w:r>
        <w:rPr>
          <w:color w:val="000000"/>
        </w:rPr>
        <w:t>    </w:t>
      </w:r>
    </w:p>
    <w:p>
      <w:pPr>
        <w:pStyle w:val="TextBody"/>
        <w:spacing w:lineRule="auto" w:line="266"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there were no transfers among Level 1, Level 2 and Level 3.</w:t>
      </w:r>
    </w:p>
    <w:p>
      <w:pPr>
        <w:pStyle w:val="TextBody"/>
        <w:spacing w:lineRule="auto" w:line="288" w:before="240" w:after="283"/>
        <w:jc w:val="both"/>
        <w:rPr/>
      </w:pPr>
      <w:r>
        <w:rPr>
          <w:rFonts w:ascii="Times New Roman;sans-serif" w:hAnsi="Times New Roman;sans-serif"/>
          <w:b w:val="false"/>
          <w:i/>
          <w:color w:val="000000"/>
          <w:sz w:val="20"/>
        </w:rPr>
        <w:t>Financial Instruments Not Carried at Fair Value</w:t>
      </w:r>
      <w:r>
        <w:rPr>
          <w:rFonts w:ascii="Times New Roman;sans-serif" w:hAnsi="Times New Roman;sans-serif"/>
          <w:b w:val="false"/>
          <w:color w:val="000000"/>
          <w:sz w:val="20"/>
        </w:rPr>
        <w:t xml:space="preserve">: </w:t>
      </w:r>
    </w:p>
    <w:p>
      <w:pPr>
        <w:pStyle w:val="TextBody"/>
        <w:spacing w:before="0" w:after="0"/>
        <w:ind w:left="0" w:right="0" w:firstLine="450"/>
        <w:rPr/>
      </w:pPr>
      <w:r>
        <w:rPr/>
      </w:r>
    </w:p>
    <w:p>
      <w:pPr>
        <w:pStyle w:val="TextBody"/>
        <w:spacing w:lineRule="auto" w:line="26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other financial instruments not carried at fair value consist primarily of cash and cash equivalents (except investments in money market funds, as disclosed above), short-term investments (except investments in mutual funds, as disclosed above), restricted cash, accounts receivable, net, long-term investments, accrued capital expenditures, accrued expenses, client liabilities and interest payable on borrowings for which fair values approximate their carrying amounts. The carrying value of the Company’s outstanding revolving credit facility approximates its fair value because the Company’s interest rate yield is near current market rates for comparable debt instruments.</w:t>
      </w:r>
    </w:p>
    <w:p>
      <w:pPr>
        <w:pStyle w:val="TextBody"/>
        <w:spacing w:before="0" w:after="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17. Derivatives and Hedge Accounting</w:t>
      </w:r>
    </w:p>
    <w:p>
      <w:pPr>
        <w:pStyle w:val="TextBody"/>
        <w:spacing w:lineRule="auto" w:line="276" w:before="0" w:after="0"/>
        <w:ind w:left="0" w:right="0" w:firstLine="495"/>
        <w:jc w:val="both"/>
        <w:rPr/>
      </w:pPr>
      <w:r>
        <w:rPr>
          <w:rFonts w:ascii="Times New Roman;sans-serif" w:hAnsi="Times New Roman;sans-serif"/>
          <w:b w:val="false"/>
          <w:color w:val="000000"/>
          <w:sz w:val="20"/>
        </w:rPr>
        <w:t xml:space="preserve">The Company uses derivative instruments to mitigate cash flow volatility from risk of fluctuations in foreign currency exchange rates and interest rates. The Company enters into foreign currency forward contracts to hedge cash flow risks from forecasted transactions denominated in certain foreign currencies, and interest rate swaps to hedge cash flow risks from its revolving credit facility having variable interest rate obligations. These contracts qualify as cash flow hedges under ASC Topic 815, </w:t>
      </w:r>
      <w:r>
        <w:rPr>
          <w:rFonts w:ascii="Times New Roman;sans-serif" w:hAnsi="Times New Roman;sans-serif"/>
          <w:b w:val="false"/>
          <w:i/>
          <w:color w:val="000000"/>
          <w:sz w:val="20"/>
        </w:rPr>
        <w:t>Derivatives and Hedging,</w:t>
      </w:r>
      <w:r>
        <w:rPr>
          <w:color w:val="000000"/>
        </w:rPr>
        <w:t xml:space="preserve"> </w:t>
      </w:r>
      <w:r>
        <w:rPr>
          <w:rFonts w:ascii="Times New Roman;sans-serif" w:hAnsi="Times New Roman;sans-serif"/>
          <w:b w:val="false"/>
          <w:color w:val="000000"/>
          <w:sz w:val="20"/>
        </w:rPr>
        <w:t>and are with counterparties that are highly rated financial institutions. For derivatives in cash flow hedging relationships as of March 31, 2023 and December 31, 2022, the Company had outstanding foreign currency forward contracts totaling $877,820 and $841,620, respectively and interest rate swaps totaling $75,000, each.</w:t>
      </w:r>
    </w:p>
    <w:p>
      <w:pPr>
        <w:pStyle w:val="TextBody"/>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that approximately $2,086 of derivative losses, net, excluding tax effects, included in AOCI, representing changes in the value of cash flow hedges based on exchange rates prevailing as of March 31, 2023, could be reclassified into earnings within the next twelve months. As of March 31, 2023, the maximum outstanding term of the cash flow hedges was approximately 42 months.</w:t>
      </w:r>
    </w:p>
    <w:p>
      <w:pPr>
        <w:pStyle w:val="TextBody"/>
        <w:spacing w:lineRule="auto" w:line="268" w:before="0" w:after="0"/>
        <w:ind w:left="0" w:right="0" w:firstLine="495"/>
        <w:jc w:val="both"/>
        <w:rPr/>
      </w:pPr>
      <w:r>
        <w:rPr>
          <w:rFonts w:ascii="Times New Roman;sans-serif" w:hAnsi="Times New Roman;sans-serif"/>
          <w:b w:val="false"/>
          <w:color w:val="000000"/>
          <w:sz w:val="20"/>
        </w:rPr>
        <w:t xml:space="preserve">The Company also enters into foreign currency forward contracts to hedge its intercompany balances and other monetary assets and liabilities denominated in currencies other than functional currencies, against the risk of fluctuations in foreign currency exchange rates associated with remeasurement of such assets and liabilities to functional currency. These foreign currency forward contracts do not qualify as fair value hedges under ASC Topic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xml:space="preserve">. Changes in the fair value of these financial instruments are recognized in the unaudited consolidated statements of income and are included in the foreign exchange gain/(loss) line item. The Company’s primary exchange rate exposure is with the Indian rupee, the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rFonts w:ascii="Times New Roman;sans-serif" w:hAnsi="Times New Roman;sans-serif"/>
          <w:b/>
          <w:color w:val="0000FF"/>
          <w:sz w:val="20"/>
          <w:u w:val="single"/>
        </w:rPr>
      </w:pPr>
      <w:r>
        <w:rPr>
          <w:rFonts w:ascii="Times New Roman;sans-serif" w:hAnsi="Times New Roman;sans-serif"/>
          <w:b/>
          <w:color w:val="0000FF"/>
          <w:sz w:val="20"/>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Philippine peso and the U.K. pound sterling (GBP). The Company also has exposure to Colombian pesos (COP), Czech koruna, the Euro (EUR), South African ZAR, the Australian dollar (AUD), the Canadian dollar (CAD) and other local currencies in which it operates.</w:t>
      </w:r>
    </w:p>
    <w:p>
      <w:pPr>
        <w:pStyle w:val="TextBody"/>
        <w:spacing w:before="0" w:after="0"/>
        <w:ind w:left="0" w:right="0" w:firstLine="495"/>
        <w:jc w:val="both"/>
        <w:rPr/>
      </w:pPr>
      <w:r>
        <w:rPr/>
      </w:r>
    </w:p>
    <w:p>
      <w:pPr>
        <w:pStyle w:val="TextBody"/>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aggregate notional principal amounts of outstanding foreign currency forward contracts for derivatives not designated as hedging instruments:</w:t>
      </w:r>
    </w:p>
    <w:tbl>
      <w:tblPr>
        <w:tblW w:w="7805" w:type="dxa"/>
        <w:jc w:val="left"/>
        <w:tblInd w:w="0" w:type="dxa"/>
        <w:tblCellMar>
          <w:top w:w="28" w:type="dxa"/>
          <w:left w:w="28" w:type="dxa"/>
          <w:bottom w:w="28" w:type="dxa"/>
          <w:right w:w="28" w:type="dxa"/>
        </w:tblCellMar>
      </w:tblPr>
      <w:tblGrid>
        <w:gridCol w:w="1505"/>
        <w:gridCol w:w="1321"/>
        <w:gridCol w:w="1328"/>
        <w:gridCol w:w="109"/>
        <w:gridCol w:w="109"/>
        <w:gridCol w:w="109"/>
        <w:gridCol w:w="506"/>
        <w:gridCol w:w="470"/>
        <w:gridCol w:w="431"/>
        <w:gridCol w:w="109"/>
        <w:gridCol w:w="109"/>
        <w:gridCol w:w="109"/>
        <w:gridCol w:w="465"/>
        <w:gridCol w:w="465"/>
        <w:gridCol w:w="660"/>
      </w:tblGrid>
      <w:tr>
        <w:trPr/>
        <w:tc>
          <w:tcPr>
            <w:tcW w:w="1505"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Foreign currency forward contracts denominated 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1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 S. dollar (USD)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170,630 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163,990 </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U.K. pound sterling (GBP)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11,798 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8,351 </w:t>
            </w:r>
          </w:p>
        </w:tc>
        <w:tc>
          <w:tcPr>
            <w:tcW w:w="6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(EUR)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2,647 </w:t>
            </w:r>
          </w:p>
        </w:tc>
        <w:tc>
          <w:tcPr>
            <w:tcW w:w="4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1,956 </w:t>
            </w:r>
          </w:p>
        </w:tc>
        <w:tc>
          <w:tcPr>
            <w:tcW w:w="6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Australian dollar (AUD)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1,951 </w:t>
            </w:r>
          </w:p>
        </w:tc>
        <w:tc>
          <w:tcPr>
            <w:tcW w:w="6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African ZAR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34,704 </w:t>
            </w:r>
          </w:p>
        </w:tc>
        <w:tc>
          <w:tcPr>
            <w:tcW w:w="4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Colombian peso (COP)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1,970,314 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6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fair value of the foreign currency forward contracts and interest rate swaps and their location on the consolidated balance sheets:</w:t>
      </w:r>
    </w:p>
    <w:tbl>
      <w:tblPr>
        <w:tblW w:w="10205" w:type="dxa"/>
        <w:jc w:val="center"/>
        <w:tblInd w:w="0" w:type="dxa"/>
        <w:tblCellMar>
          <w:top w:w="28" w:type="dxa"/>
          <w:left w:w="28" w:type="dxa"/>
          <w:bottom w:w="28" w:type="dxa"/>
          <w:right w:w="28" w:type="dxa"/>
        </w:tblCellMar>
      </w:tblPr>
      <w:tblGrid>
        <w:gridCol w:w="1141"/>
        <w:gridCol w:w="903"/>
        <w:gridCol w:w="911"/>
        <w:gridCol w:w="109"/>
        <w:gridCol w:w="109"/>
        <w:gridCol w:w="109"/>
        <w:gridCol w:w="293"/>
        <w:gridCol w:w="856"/>
        <w:gridCol w:w="151"/>
        <w:gridCol w:w="151"/>
        <w:gridCol w:w="151"/>
        <w:gridCol w:w="151"/>
        <w:gridCol w:w="293"/>
        <w:gridCol w:w="1002"/>
        <w:gridCol w:w="151"/>
        <w:gridCol w:w="109"/>
        <w:gridCol w:w="109"/>
        <w:gridCol w:w="109"/>
        <w:gridCol w:w="365"/>
        <w:gridCol w:w="806"/>
        <w:gridCol w:w="188"/>
        <w:gridCol w:w="188"/>
        <w:gridCol w:w="188"/>
        <w:gridCol w:w="188"/>
        <w:gridCol w:w="392"/>
        <w:gridCol w:w="806"/>
        <w:gridCol w:w="276"/>
      </w:tblGrid>
      <w:tr>
        <w:trPr/>
        <w:tc>
          <w:tcPr>
            <w:tcW w:w="1141"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9" w:type="dxa"/>
            <w:gridSpan w:val="9"/>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Derivatives in cash flow hedging relationships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7" w:type="dxa"/>
            <w:gridSpan w:val="9"/>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Derivatives not designated as hedging instruments</w:t>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45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5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9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10,044 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6,218 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80" w:after="180"/>
        <w:ind w:left="0" w:right="0" w:firstLine="495"/>
        <w:jc w:val="both"/>
        <w:rPr/>
      </w:pPr>
      <w:r>
        <w:rPr/>
      </w:r>
    </w:p>
    <w:p>
      <w:pPr>
        <w:pStyle w:val="TextBody"/>
        <w:spacing w:lineRule="auto" w:line="288" w:before="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effect of foreign currency forward contracts and interest rate swaps on AOCI and the unaudited consolidated statements of income:</w:t>
      </w:r>
    </w:p>
    <w:tbl>
      <w:tblPr>
        <w:tblW w:w="8377" w:type="dxa"/>
        <w:jc w:val="center"/>
        <w:tblInd w:w="0" w:type="dxa"/>
        <w:tblCellMar>
          <w:top w:w="28" w:type="dxa"/>
          <w:left w:w="28" w:type="dxa"/>
          <w:bottom w:w="28" w:type="dxa"/>
          <w:right w:w="28" w:type="dxa"/>
        </w:tblCellMar>
      </w:tblPr>
      <w:tblGrid>
        <w:gridCol w:w="1990"/>
        <w:gridCol w:w="1745"/>
        <w:gridCol w:w="1755"/>
        <w:gridCol w:w="109"/>
        <w:gridCol w:w="109"/>
        <w:gridCol w:w="109"/>
        <w:gridCol w:w="249"/>
        <w:gridCol w:w="728"/>
        <w:gridCol w:w="128"/>
        <w:gridCol w:w="128"/>
        <w:gridCol w:w="128"/>
        <w:gridCol w:w="128"/>
        <w:gridCol w:w="249"/>
        <w:gridCol w:w="640"/>
        <w:gridCol w:w="182"/>
      </w:tblGrid>
      <w:tr>
        <w:trPr/>
        <w:tc>
          <w:tcPr>
            <w:tcW w:w="1990" w:type="dxa"/>
            <w:tcBorders/>
            <w:shd w:fill="auto" w:val="clear"/>
            <w:vAlign w:val="center"/>
          </w:tcPr>
          <w:p>
            <w:pPr>
              <w:pStyle w:val="TableContents"/>
              <w:spacing w:before="0" w:after="283"/>
              <w:rPr>
                <w:sz w:val="4"/>
                <w:szCs w:val="4"/>
              </w:rPr>
            </w:pPr>
            <w:r>
              <w:rPr>
                <w:sz w:val="4"/>
                <w:szCs w:val="4"/>
              </w:rPr>
            </w:r>
          </w:p>
        </w:tc>
        <w:tc>
          <w:tcPr>
            <w:tcW w:w="1745" w:type="dxa"/>
            <w:tcBorders/>
            <w:shd w:fill="auto" w:val="clear"/>
            <w:vAlign w:val="center"/>
          </w:tcPr>
          <w:p>
            <w:pPr>
              <w:pStyle w:val="TableContents"/>
              <w:spacing w:before="0" w:after="283"/>
              <w:rPr>
                <w:sz w:val="4"/>
                <w:szCs w:val="4"/>
              </w:rPr>
            </w:pPr>
            <w:r>
              <w:rPr>
                <w:sz w:val="4"/>
                <w:szCs w:val="4"/>
              </w:rPr>
            </w:r>
          </w:p>
        </w:tc>
        <w:tc>
          <w:tcPr>
            <w:tcW w:w="17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0"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4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 financial instruments: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4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Unrealized gain/(loss) recognized in AOCI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in cash flow hedging relationships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7,294 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Gain/(loss) recognized in unaudited consolidated statements of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80"/>
        <w:rPr>
          <w:rFonts w:ascii="Times New Roman;sans-serif" w:hAnsi="Times New Roman;sans-serif"/>
          <w:b w:val="false"/>
          <w:color w:val="000000"/>
          <w:sz w:val="20"/>
        </w:rPr>
      </w:pPr>
      <w:r>
        <w:rPr>
          <w:rFonts w:ascii="Times New Roman;sans-serif" w:hAnsi="Times New Roman;sans-serif"/>
          <w:b w:val="false"/>
          <w:color w:val="000000"/>
          <w:sz w:val="20"/>
        </w:rPr>
        <w:t>Location and amount of gain/(loss) recognized in unaudited consolidated statements of income for derivatives in cash flow hedging relationships and derivatives not designated as hedging instruments:</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rFonts w:ascii="Times New Roman;sans-serif" w:hAnsi="Times New Roman;sans-serif"/>
          <w:b/>
          <w:color w:val="0000FF"/>
          <w:sz w:val="20"/>
          <w:u w:val="single"/>
        </w:rPr>
      </w:pPr>
      <w:r>
        <w:rPr>
          <w:rFonts w:ascii="Times New Roman;sans-serif" w:hAnsi="Times New Roman;sans-serif"/>
          <w:b/>
          <w:color w:val="0000FF"/>
          <w:sz w:val="20"/>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tbl>
      <w:tblPr>
        <w:tblW w:w="10205" w:type="dxa"/>
        <w:jc w:val="left"/>
        <w:tblInd w:w="0" w:type="dxa"/>
        <w:tblCellMar>
          <w:top w:w="28" w:type="dxa"/>
          <w:left w:w="28" w:type="dxa"/>
          <w:bottom w:w="28" w:type="dxa"/>
          <w:right w:w="28" w:type="dxa"/>
        </w:tblCellMar>
      </w:tblPr>
      <w:tblGrid>
        <w:gridCol w:w="1057"/>
        <w:gridCol w:w="803"/>
        <w:gridCol w:w="805"/>
        <w:gridCol w:w="109"/>
        <w:gridCol w:w="109"/>
        <w:gridCol w:w="109"/>
        <w:gridCol w:w="306"/>
        <w:gridCol w:w="1199"/>
        <w:gridCol w:w="158"/>
        <w:gridCol w:w="109"/>
        <w:gridCol w:w="109"/>
        <w:gridCol w:w="109"/>
        <w:gridCol w:w="308"/>
        <w:gridCol w:w="962"/>
        <w:gridCol w:w="159"/>
        <w:gridCol w:w="109"/>
        <w:gridCol w:w="109"/>
        <w:gridCol w:w="109"/>
        <w:gridCol w:w="306"/>
        <w:gridCol w:w="1199"/>
        <w:gridCol w:w="158"/>
        <w:gridCol w:w="109"/>
        <w:gridCol w:w="109"/>
        <w:gridCol w:w="109"/>
        <w:gridCol w:w="316"/>
        <w:gridCol w:w="924"/>
        <w:gridCol w:w="237"/>
      </w:tblGrid>
      <w:tr>
        <w:trPr/>
        <w:tc>
          <w:tcPr>
            <w:tcW w:w="1057"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2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3" w:type="dxa"/>
            <w:gridSpan w:val="21"/>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9"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67"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per unaudited consolidated statements of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Gain/(loss) on 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per unaudited consolidated statements of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Gain/(loss) on derivative financial instruments</w:t>
            </w:r>
          </w:p>
        </w:tc>
      </w:tr>
      <w:tr>
        <w:trPr/>
        <w:tc>
          <w:tcPr>
            <w:tcW w:w="266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 hedging relationships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 in unaudited consolidated statements of income where gain/(loss) was reclassified from AOCI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251,469 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207,516 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29,493 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24,170 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13,487 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13,602 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before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effects on above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of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 in unaudited consolidated statements of income where gain/(loss) was recognized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gain/(loss),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80" w:after="1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18. Borrowings</w:t>
      </w:r>
    </w:p>
    <w:p>
      <w:pPr>
        <w:pStyle w:val="TextBody"/>
        <w:spacing w:lineRule="auto" w:line="288" w:before="18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summarizes the Company’s debt position:</w:t>
      </w:r>
    </w:p>
    <w:tbl>
      <w:tblPr>
        <w:tblW w:w="6924" w:type="dxa"/>
        <w:jc w:val="left"/>
        <w:tblInd w:w="0" w:type="dxa"/>
        <w:tblCellMar>
          <w:top w:w="28" w:type="dxa"/>
          <w:left w:w="28" w:type="dxa"/>
          <w:bottom w:w="28" w:type="dxa"/>
          <w:right w:w="28" w:type="dxa"/>
        </w:tblCellMar>
      </w:tblPr>
      <w:tblGrid>
        <w:gridCol w:w="1227"/>
        <w:gridCol w:w="1080"/>
        <w:gridCol w:w="1083"/>
        <w:gridCol w:w="109"/>
        <w:gridCol w:w="109"/>
        <w:gridCol w:w="109"/>
        <w:gridCol w:w="243"/>
        <w:gridCol w:w="912"/>
        <w:gridCol w:w="135"/>
        <w:gridCol w:w="109"/>
        <w:gridCol w:w="109"/>
        <w:gridCol w:w="109"/>
        <w:gridCol w:w="287"/>
        <w:gridCol w:w="1078"/>
        <w:gridCol w:w="225"/>
      </w:tblGrid>
      <w:tr>
        <w:trPr/>
        <w:tc>
          <w:tcPr>
            <w:tcW w:w="1227"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3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7"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199" w:before="0" w:after="283"/>
              <w:jc w:val="center"/>
              <w:rPr>
                <w:rFonts w:ascii="Times New Roman;sans-serif" w:hAnsi="Times New Roman;sans-serif"/>
                <w:b/>
                <w:color w:val="000000"/>
                <w:sz w:val="18"/>
              </w:rPr>
            </w:pPr>
            <w:r>
              <w:rPr>
                <w:rFonts w:ascii="Times New Roman;sans-serif" w:hAnsi="Times New Roman;sans-serif"/>
                <w:b/>
                <w:color w:val="000000"/>
                <w:sz w:val="18"/>
              </w:rPr>
              <w:t>Revolving credit facility</w:t>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borrowings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160,000 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220,000 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borrowings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Unamortized debt issuance costs for the Company’s revolving credit facility of $1,109 and $1,177 as of March 31, 2023 and December 31, 2022, respectively, are presented under “Other current assets” and “Other assets,” as applicable in the consolidated balance sheets. </w:t>
      </w:r>
    </w:p>
    <w:p>
      <w:pPr>
        <w:pStyle w:val="TextBody"/>
        <w:spacing w:before="180" w:after="180"/>
        <w:ind w:left="0" w:right="0" w:firstLine="450"/>
        <w:jc w:val="both"/>
        <w:rPr/>
      </w:pPr>
      <w:r>
        <w:rPr/>
      </w:r>
    </w:p>
    <w:p>
      <w:pPr>
        <w:pStyle w:val="TextBody"/>
        <w:spacing w:before="180" w:after="18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rFonts w:ascii="Times New Roman;sans-serif" w:hAnsi="Times New Roman;sans-serif"/>
          <w:b/>
          <w:color w:val="0000FF"/>
          <w:sz w:val="20"/>
          <w:u w:val="single"/>
        </w:rPr>
      </w:pPr>
      <w:r>
        <w:rPr>
          <w:rFonts w:ascii="Times New Roman;sans-serif" w:hAnsi="Times New Roman;sans-serif"/>
          <w:b/>
          <w:color w:val="0000FF"/>
          <w:sz w:val="20"/>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Agreement</w:t>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held a $300,000 revolving credit facility pursuant to its credit agreement (the “Credit Agreement”), dated as of November 21, 2017 with certain lenders and Citibank N.A. as Administrative Agent. The revolving credit facility originally had a maturity date of November 21, 2022 and was voluntarily pre-payable from time to time without premium or penalty.</w:t>
      </w:r>
    </w:p>
    <w:p>
      <w:pPr>
        <w:pStyle w:val="TextBody"/>
        <w:spacing w:before="0" w:after="0"/>
        <w:ind w:left="0" w:right="0" w:firstLine="450"/>
        <w:jc w:val="both"/>
        <w:rPr/>
      </w:pPr>
      <w:r>
        <w:rPr/>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April 18, 2022, the Company and each of the Company’s wholly owned material domestic subsidiaries entered into an Amendment and Restatement Agreement with Citibank, N.A. as Administrative Agent and certain lenders (the “2022 Credit Agreement”), pursuant to which the parties thereto amended and restated the Credit Agreement. Among other things, the 2022 Credit Agreement (a) provides for the issuance of new revolving credit commitments such that the aggregate amount of revolving credit commitments available to the Company is equal to $400,000; (b) extends the maturity date of the revolving credit facility from November 21, 2022 to April 18, 2027; and (c) replaces LIBOR with Secured Overnight Financing Rate (“SOFR”) as the reference rate for the U.S. dollar borrowings.</w:t>
      </w:r>
    </w:p>
    <w:p>
      <w:pPr>
        <w:pStyle w:val="TextBody"/>
        <w:spacing w:before="0" w:after="0"/>
        <w:ind w:left="0" w:right="0" w:firstLine="450"/>
        <w:jc w:val="both"/>
        <w:rPr/>
      </w:pPr>
      <w:r>
        <w:rPr/>
      </w:r>
    </w:p>
    <w:p>
      <w:pPr>
        <w:pStyle w:val="TextBody"/>
        <w:spacing w:lineRule="auto" w:line="26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2022 Credit Agreement provides an option to increase the commitments by up to $200,000, subject to certain approvals and conditions. The 2022 Credit Agreement includes a letter of credit sub facility and is voluntarily pre-payable from time to time without premium or penalty. Borrowings under the 2022 Credit Agreement can be used for working capital and general corporate purposes, including permitted acquisitions.</w:t>
      </w:r>
    </w:p>
    <w:p>
      <w:pPr>
        <w:pStyle w:val="TextBody"/>
        <w:spacing w:before="0" w:after="0"/>
        <w:ind w:left="0" w:right="0" w:firstLine="450"/>
        <w:jc w:val="both"/>
        <w:rPr/>
      </w:pPr>
      <w:r>
        <w:rPr/>
      </w:r>
    </w:p>
    <w:p>
      <w:pPr>
        <w:pStyle w:val="TextBody"/>
        <w:spacing w:lineRule="auto" w:line="26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Obligations under the 2022 Credit Agreement are guaranteed by the Company’s material domestic subsidiaries and are secured by all or substantially all of the Company’s and its material domestic subsidiaries’ assets. The 2022 Credit Agreement contains customary affirmative and negative covenants, including, but not limited to, restrictions on the ability to incur indebtedness, create liens, make certain investments, make certain dividends and related distributions, enter into, or undertake, certain liquidations, mergers, consolidations or acquisitions and dispose of certain assets or subsidiaries.</w:t>
      </w:r>
    </w:p>
    <w:p>
      <w:pPr>
        <w:pStyle w:val="TextBody"/>
        <w:spacing w:lineRule="auto" w:line="288" w:before="18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revolving credit facility carried an effective interest rate as shown below:</w:t>
      </w:r>
    </w:p>
    <w:tbl>
      <w:tblPr>
        <w:tblW w:w="4810" w:type="dxa"/>
        <w:jc w:val="left"/>
        <w:tblInd w:w="0" w:type="dxa"/>
        <w:tblCellMar>
          <w:top w:w="28" w:type="dxa"/>
          <w:left w:w="28" w:type="dxa"/>
          <w:bottom w:w="28" w:type="dxa"/>
          <w:right w:w="28" w:type="dxa"/>
        </w:tblCellMar>
      </w:tblPr>
      <w:tblGrid>
        <w:gridCol w:w="695"/>
        <w:gridCol w:w="610"/>
        <w:gridCol w:w="614"/>
        <w:gridCol w:w="109"/>
        <w:gridCol w:w="109"/>
        <w:gridCol w:w="109"/>
        <w:gridCol w:w="207"/>
        <w:gridCol w:w="207"/>
        <w:gridCol w:w="515"/>
        <w:gridCol w:w="207"/>
        <w:gridCol w:w="207"/>
        <w:gridCol w:w="207"/>
        <w:gridCol w:w="207"/>
        <w:gridCol w:w="207"/>
        <w:gridCol w:w="600"/>
      </w:tblGrid>
      <w:tr>
        <w:trPr/>
        <w:tc>
          <w:tcPr>
            <w:tcW w:w="695"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Interest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 was in compliance with all financial and non-financial covenants listed under the revolving credit facility.</w:t>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Expected payments for all of the Company’s borrowings as of March 31, 2023 were as follows:</w:t>
      </w:r>
    </w:p>
    <w:tbl>
      <w:tblPr>
        <w:tblW w:w="6366" w:type="dxa"/>
        <w:jc w:val="center"/>
        <w:tblInd w:w="0" w:type="dxa"/>
        <w:tblCellMar>
          <w:top w:w="28" w:type="dxa"/>
          <w:left w:w="28" w:type="dxa"/>
          <w:bottom w:w="28" w:type="dxa"/>
          <w:right w:w="28" w:type="dxa"/>
        </w:tblCellMar>
      </w:tblPr>
      <w:tblGrid>
        <w:gridCol w:w="901"/>
        <w:gridCol w:w="793"/>
        <w:gridCol w:w="795"/>
        <w:gridCol w:w="109"/>
        <w:gridCol w:w="109"/>
        <w:gridCol w:w="109"/>
        <w:gridCol w:w="292"/>
        <w:gridCol w:w="1146"/>
        <w:gridCol w:w="151"/>
        <w:gridCol w:w="109"/>
        <w:gridCol w:w="109"/>
        <w:gridCol w:w="109"/>
        <w:gridCol w:w="317"/>
        <w:gridCol w:w="1086"/>
        <w:gridCol w:w="231"/>
      </w:tblGrid>
      <w:tr>
        <w:trPr/>
        <w:tc>
          <w:tcPr>
            <w:tcW w:w="901"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Revolving credit facility</w:t>
            </w:r>
          </w:p>
        </w:tc>
      </w:tr>
      <w:tr>
        <w:trPr/>
        <w:tc>
          <w:tcPr>
            <w:tcW w:w="2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Payments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Payments*</w:t>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(April 1 - December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8,048 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9,364 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9,364 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9,364 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160,000 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39,652 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6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Interest payments are based on effective interest rate as of March 31, 2023.</w:t>
      </w:r>
    </w:p>
    <w:p>
      <w:pPr>
        <w:pStyle w:val="TextBody"/>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Letters of Credit</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provides standby letters of credit to third parties primarily for facility leases. As of each of March 31, 2023 and December 31, 2022, the Company had outstanding letters of credit of $461, that were not recognized in the consolidated balance sheets.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rFonts w:ascii="Times New Roman;sans-serif" w:hAnsi="Times New Roman;sans-serif"/>
          <w:b/>
          <w:color w:val="0000FF"/>
          <w:sz w:val="20"/>
          <w:u w:val="single"/>
        </w:rPr>
      </w:pPr>
      <w:r>
        <w:rPr>
          <w:rFonts w:ascii="Times New Roman;sans-serif" w:hAnsi="Times New Roman;sans-serif"/>
          <w:b/>
          <w:color w:val="0000FF"/>
          <w:sz w:val="20"/>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19. Capital Structure</w:t>
      </w:r>
    </w:p>
    <w:p>
      <w:pPr>
        <w:pStyle w:val="TextBody"/>
        <w:spacing w:lineRule="auto" w:line="288" w:before="180" w:after="180"/>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one class of common stock outstanding.</w:t>
      </w:r>
    </w:p>
    <w:p>
      <w:pPr>
        <w:pStyle w:val="TextBody"/>
        <w:spacing w:lineRule="auto" w:line="26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purchased shares of its common stock from employees in connection with withholding tax payments related to the vesting of restricted stock units and performance-based restricted stock units, as below:</w:t>
      </w:r>
    </w:p>
    <w:tbl>
      <w:tblPr>
        <w:tblW w:w="10205" w:type="dxa"/>
        <w:jc w:val="left"/>
        <w:tblInd w:w="0" w:type="dxa"/>
        <w:tblCellMar>
          <w:top w:w="28" w:type="dxa"/>
          <w:left w:w="28" w:type="dxa"/>
          <w:bottom w:w="28" w:type="dxa"/>
          <w:right w:w="28" w:type="dxa"/>
        </w:tblCellMar>
      </w:tblPr>
      <w:tblGrid>
        <w:gridCol w:w="1015"/>
        <w:gridCol w:w="890"/>
        <w:gridCol w:w="898"/>
        <w:gridCol w:w="109"/>
        <w:gridCol w:w="109"/>
        <w:gridCol w:w="109"/>
        <w:gridCol w:w="521"/>
        <w:gridCol w:w="520"/>
        <w:gridCol w:w="522"/>
        <w:gridCol w:w="109"/>
        <w:gridCol w:w="109"/>
        <w:gridCol w:w="109"/>
        <w:gridCol w:w="345"/>
        <w:gridCol w:w="1007"/>
        <w:gridCol w:w="179"/>
        <w:gridCol w:w="109"/>
        <w:gridCol w:w="109"/>
        <w:gridCol w:w="109"/>
        <w:gridCol w:w="645"/>
        <w:gridCol w:w="2206"/>
        <w:gridCol w:w="476"/>
      </w:tblGrid>
      <w:tr>
        <w:trPr/>
        <w:tc>
          <w:tcPr>
            <w:tcW w:w="1015"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2206"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r>
      <w:tr>
        <w:trPr/>
        <w:tc>
          <w:tcPr>
            <w:tcW w:w="2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 repurchased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consideration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 xml:space="preserve">Weighted average purchase price per share </w:t>
            </w:r>
            <w:r>
              <w:rPr>
                <w:rFonts w:ascii="Times New Roman;sans-serif" w:hAnsi="Times New Roman;sans-serif"/>
                <w:b/>
                <w:color w:val="000000"/>
                <w:sz w:val="12"/>
              </w:rPr>
              <w:t>(1)</w:t>
            </w:r>
          </w:p>
        </w:tc>
      </w:tr>
      <w:tr>
        <w:trPr/>
        <w:tc>
          <w:tcPr>
            <w:tcW w:w="28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38,356 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170.22 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27,219 </w:t>
            </w:r>
          </w:p>
        </w:tc>
        <w:tc>
          <w:tcPr>
            <w:tcW w:w="5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0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117.23 </w:t>
            </w:r>
          </w:p>
        </w:tc>
        <w:tc>
          <w:tcPr>
            <w:tcW w:w="4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180" w:after="283"/>
        <w:ind w:left="0" w:right="0" w:firstLine="495"/>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The weighted average purchase price per share is based on the closing price of the Company’s common stock on the Nasdaq Global Select Market on the trading day prior to the applicable vesting date of the shares of restricted stock.</w:t>
      </w:r>
    </w:p>
    <w:p>
      <w:pPr>
        <w:pStyle w:val="TextBody"/>
        <w:spacing w:lineRule="auto" w:line="276"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October 5, 2021, the Company’s board of directors authorized a $300,000 common stock repurchase program beginning January 1, 2022 (the “2022 Repurchase Program”).</w:t>
      </w:r>
    </w:p>
    <w:p>
      <w:pPr>
        <w:pStyle w:val="TextBody"/>
        <w:spacing w:lineRule="auto" w:line="276"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Under the 2022 Repurchase Program, shares may be purchased by the Company from time to time from the open market and through private transactions, or otherwise, as determined by the Company’s management as market conditions warrant. Repurchases may be discontinued at any time by the management.</w:t>
      </w:r>
    </w:p>
    <w:p>
      <w:pPr>
        <w:pStyle w:val="TextBody"/>
        <w:spacing w:before="0" w:after="0"/>
        <w:ind w:left="0" w:right="0" w:firstLine="495"/>
        <w:jc w:val="both"/>
        <w:rPr/>
      </w:pPr>
      <w:r>
        <w:rPr/>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purchased shares of its common stock, for a total consideration including commissions, under the 2022 Repurchase Program, as below:</w:t>
      </w:r>
    </w:p>
    <w:tbl>
      <w:tblPr>
        <w:tblW w:w="10205" w:type="dxa"/>
        <w:jc w:val="left"/>
        <w:tblInd w:w="0" w:type="dxa"/>
        <w:tblCellMar>
          <w:top w:w="28" w:type="dxa"/>
          <w:left w:w="28" w:type="dxa"/>
          <w:bottom w:w="28" w:type="dxa"/>
          <w:right w:w="28" w:type="dxa"/>
        </w:tblCellMar>
      </w:tblPr>
      <w:tblGrid>
        <w:gridCol w:w="1040"/>
        <w:gridCol w:w="913"/>
        <w:gridCol w:w="921"/>
        <w:gridCol w:w="109"/>
        <w:gridCol w:w="109"/>
        <w:gridCol w:w="109"/>
        <w:gridCol w:w="525"/>
        <w:gridCol w:w="525"/>
        <w:gridCol w:w="527"/>
        <w:gridCol w:w="109"/>
        <w:gridCol w:w="109"/>
        <w:gridCol w:w="109"/>
        <w:gridCol w:w="313"/>
        <w:gridCol w:w="1071"/>
        <w:gridCol w:w="162"/>
        <w:gridCol w:w="109"/>
        <w:gridCol w:w="109"/>
        <w:gridCol w:w="109"/>
        <w:gridCol w:w="625"/>
        <w:gridCol w:w="2139"/>
        <w:gridCol w:w="463"/>
      </w:tblGrid>
      <w:tr>
        <w:trPr/>
        <w:tc>
          <w:tcPr>
            <w:tcW w:w="1040"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2139"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r>
      <w:tr>
        <w:trPr/>
        <w:tc>
          <w:tcPr>
            <w:tcW w:w="2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 repurchased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consideration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purchase price per share</w:t>
            </w:r>
          </w:p>
        </w:tc>
      </w:tr>
      <w:tr>
        <w:trPr/>
        <w:tc>
          <w:tcPr>
            <w:tcW w:w="2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162.13 </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28,194 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3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127.38 </w:t>
            </w:r>
          </w:p>
        </w:tc>
        <w:tc>
          <w:tcPr>
            <w:tcW w:w="4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Repurchased shares have been recorded as treasury shares and will be held until the Company’s board of directors designates that these shares be retired or used for other purposes.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20. Employee Benefit Plans</w:t>
      </w:r>
    </w:p>
    <w:p>
      <w:pPr>
        <w:pStyle w:val="TextBody"/>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Gratuity Plan in India (the “India Plan”) provides for a lump sum payment to vested employees on retirement or upon termination of employment in an amount based on the respective employee’s salary and years of employment with the Company. 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Liabilities with regard to the India Plan and the Philippines Plan are determined by actuarial valuation using the projected unit credit method. Current service costs for these plans are accrued in the year to which they relate. Actuarial gains or losses or prior service costs, if any, resulting from amendments to the plans are recognized and amortized over the remaining period of service of the employees.</w:t>
      </w:r>
    </w:p>
    <w:p>
      <w:pPr>
        <w:pStyle w:val="TextBody"/>
        <w:spacing w:before="0" w:after="0"/>
        <w:ind w:left="0" w:right="0" w:firstLine="495"/>
        <w:jc w:val="both"/>
        <w:rPr/>
      </w:pPr>
      <w:r>
        <w:rPr/>
      </w:r>
    </w:p>
    <w:p>
      <w:pPr>
        <w:pStyle w:val="TextBody"/>
        <w:spacing w:lineRule="auto" w:line="288" w:before="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India Plan is partially funded whereas the Philippines Plan is unfunded. The Company makes annual contributions to the India Plan established with insurance companies. Fund managers manage these funds and calculate the annual contribution required to be made by the Company and manage the India Plan, including any required payouts. These funds are managed on a cash accumulation basis and interest is declared retrospectively on March 31 of each year. The Company expects to earn a return of approximately 7.2% per annum on the India Plan for the year ending on December 31, 2023.</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rFonts w:ascii="Times New Roman;sans-serif" w:hAnsi="Times New Roman;sans-serif"/>
          <w:b/>
          <w:color w:val="0000FF"/>
          <w:sz w:val="20"/>
          <w:u w:val="single"/>
        </w:rPr>
      </w:pPr>
      <w:r>
        <w:rPr>
          <w:rFonts w:ascii="Times New Roman;sans-serif" w:hAnsi="Times New Roman;sans-serif"/>
          <w:b/>
          <w:color w:val="0000FF"/>
          <w:sz w:val="20"/>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tbl>
      <w:tblPr>
        <w:tblW w:w="4158" w:type="dxa"/>
        <w:jc w:val="left"/>
        <w:tblInd w:w="0" w:type="dxa"/>
        <w:tblCellMar>
          <w:top w:w="28" w:type="dxa"/>
          <w:left w:w="28" w:type="dxa"/>
          <w:bottom w:w="28" w:type="dxa"/>
          <w:right w:w="28" w:type="dxa"/>
        </w:tblCellMar>
      </w:tblPr>
      <w:tblGrid>
        <w:gridCol w:w="992"/>
        <w:gridCol w:w="875"/>
        <w:gridCol w:w="878"/>
        <w:gridCol w:w="109"/>
        <w:gridCol w:w="109"/>
        <w:gridCol w:w="109"/>
        <w:gridCol w:w="211"/>
        <w:gridCol w:w="721"/>
        <w:gridCol w:w="154"/>
      </w:tblGrid>
      <w:tr>
        <w:trPr/>
        <w:tc>
          <w:tcPr>
            <w:tcW w:w="992"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Plan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assets as of January 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return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Employer contribution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assets as of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net periodic benefit costs recognized in unaudited consolidated statements of income and actuarial (gain)/loss reclassified from AOCI, were as follows:</w:t>
      </w:r>
    </w:p>
    <w:tbl>
      <w:tblPr>
        <w:tblW w:w="6642" w:type="dxa"/>
        <w:jc w:val="center"/>
        <w:tblInd w:w="0" w:type="dxa"/>
        <w:tblCellMar>
          <w:top w:w="28" w:type="dxa"/>
          <w:left w:w="28" w:type="dxa"/>
          <w:bottom w:w="28" w:type="dxa"/>
          <w:right w:w="28" w:type="dxa"/>
        </w:tblCellMar>
      </w:tblPr>
      <w:tblGrid>
        <w:gridCol w:w="1475"/>
        <w:gridCol w:w="1297"/>
        <w:gridCol w:w="1308"/>
        <w:gridCol w:w="241"/>
        <w:gridCol w:w="704"/>
        <w:gridCol w:w="124"/>
        <w:gridCol w:w="124"/>
        <w:gridCol w:w="124"/>
        <w:gridCol w:w="124"/>
        <w:gridCol w:w="241"/>
        <w:gridCol w:w="704"/>
        <w:gridCol w:w="176"/>
      </w:tblGrid>
      <w:tr>
        <w:trPr/>
        <w:tc>
          <w:tcPr>
            <w:tcW w:w="1475"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6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0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actuarial (gain)/loss, gross of tax</w:t>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gratuity cost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actuarial (gain)/loss, gross of tax</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effects on above</w:t>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actuarial (gain)/loss, net of tax</w:t>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several 401(k) plans (the “401(k) Plans”) under Section 401(k) of the Internal Revenue Code of 1986, as amended (the “Code”), covering all eligible employees, as defined in the Code as a defined social security contribution plan. The Company may make discretionary contributions of up to a maximum of 3.0% of employee compensation within certain limits. </w:t>
      </w:r>
    </w:p>
    <w:p>
      <w:pPr>
        <w:pStyle w:val="TextBody"/>
        <w:spacing w:lineRule="auto" w:line="276"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accrual for contributions to the 401(k) Plans were as follows:</w:t>
      </w:r>
    </w:p>
    <w:tbl>
      <w:tblPr>
        <w:tblW w:w="5649" w:type="dxa"/>
        <w:jc w:val="left"/>
        <w:tblInd w:w="0" w:type="dxa"/>
        <w:tblCellMar>
          <w:top w:w="28" w:type="dxa"/>
          <w:left w:w="28" w:type="dxa"/>
          <w:bottom w:w="28" w:type="dxa"/>
          <w:right w:w="28" w:type="dxa"/>
        </w:tblCellMar>
      </w:tblPr>
      <w:tblGrid>
        <w:gridCol w:w="1001"/>
        <w:gridCol w:w="877"/>
        <w:gridCol w:w="882"/>
        <w:gridCol w:w="109"/>
        <w:gridCol w:w="109"/>
        <w:gridCol w:w="109"/>
        <w:gridCol w:w="241"/>
        <w:gridCol w:w="704"/>
        <w:gridCol w:w="124"/>
        <w:gridCol w:w="124"/>
        <w:gridCol w:w="124"/>
        <w:gridCol w:w="124"/>
        <w:gridCol w:w="241"/>
        <w:gridCol w:w="704"/>
        <w:gridCol w:w="176"/>
      </w:tblGrid>
      <w:tr>
        <w:trPr/>
        <w:tc>
          <w:tcPr>
            <w:tcW w:w="1001"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2" w:type="dxa"/>
            <w:gridSpan w:val="9"/>
            <w:tcBorders/>
            <w:shd w:fill="auto" w:val="clear"/>
            <w:tcMar>
              <w:top w:w="0" w:type="dxa"/>
              <w:left w:w="0" w:type="dxa"/>
              <w:bottom w:w="0" w:type="dxa"/>
              <w:right w:w="0" w:type="dxa"/>
            </w:tcMar>
            <w:vAlign w:val="center"/>
          </w:tcPr>
          <w:p>
            <w:pPr>
              <w:pStyle w:val="TableContents"/>
              <w:spacing w:lineRule="auto" w:line="199"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to the 401(k) Plans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contribution for various defined social security contribution plans on behalf of employees in foreign subsidiaries of the Company were as follows:</w:t>
      </w:r>
    </w:p>
    <w:tbl>
      <w:tblPr>
        <w:tblW w:w="8078" w:type="dxa"/>
        <w:jc w:val="left"/>
        <w:tblInd w:w="0" w:type="dxa"/>
        <w:tblCellMar>
          <w:top w:w="28" w:type="dxa"/>
          <w:left w:w="28" w:type="dxa"/>
          <w:bottom w:w="28" w:type="dxa"/>
          <w:right w:w="28" w:type="dxa"/>
        </w:tblCellMar>
      </w:tblPr>
      <w:tblGrid>
        <w:gridCol w:w="1881"/>
        <w:gridCol w:w="1650"/>
        <w:gridCol w:w="1658"/>
        <w:gridCol w:w="109"/>
        <w:gridCol w:w="109"/>
        <w:gridCol w:w="109"/>
        <w:gridCol w:w="241"/>
        <w:gridCol w:w="704"/>
        <w:gridCol w:w="124"/>
        <w:gridCol w:w="124"/>
        <w:gridCol w:w="124"/>
        <w:gridCol w:w="124"/>
        <w:gridCol w:w="241"/>
        <w:gridCol w:w="704"/>
        <w:gridCol w:w="176"/>
      </w:tblGrid>
      <w:tr>
        <w:trPr/>
        <w:tc>
          <w:tcPr>
            <w:tcW w:w="1881" w:type="dxa"/>
            <w:tcBorders/>
            <w:shd w:fill="auto" w:val="clear"/>
            <w:vAlign w:val="center"/>
          </w:tcPr>
          <w:p>
            <w:pPr>
              <w:pStyle w:val="TableContents"/>
              <w:spacing w:before="0" w:after="283"/>
              <w:rPr>
                <w:sz w:val="4"/>
                <w:szCs w:val="4"/>
              </w:rPr>
            </w:pPr>
            <w:r>
              <w:rPr>
                <w:sz w:val="4"/>
                <w:szCs w:val="4"/>
              </w:rPr>
            </w:r>
          </w:p>
        </w:tc>
        <w:tc>
          <w:tcPr>
            <w:tcW w:w="1650"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5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to the defined social security contribution plans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80" w:after="8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21. Leases</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conducts its operations using facilities leased under operating lease agreements that expire at various dates. The Company finances its use of certain motor vehicles and other equipment under various lease arrangements provided by financial institutions. The lease agreements do not contain any covenants to impose any restrictions except for market-standard practice for similar lease arrangements.</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rFonts w:ascii="Times New Roman;sans-serif" w:hAnsi="Times New Roman;sans-serif"/>
          <w:b/>
          <w:color w:val="0000FF"/>
          <w:sz w:val="20"/>
          <w:u w:val="single"/>
        </w:rPr>
      </w:pPr>
      <w:r>
        <w:rPr>
          <w:rFonts w:ascii="Times New Roman;sans-serif" w:hAnsi="Times New Roman;sans-serif"/>
          <w:b/>
          <w:color w:val="0000FF"/>
          <w:sz w:val="20"/>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spacing w:lineRule="auto" w:line="268" w:before="0" w:after="0"/>
        <w:ind w:left="0" w:right="0" w:firstLine="450"/>
        <w:jc w:val="both"/>
        <w:rPr/>
      </w:pPr>
      <w:r>
        <w:rPr>
          <w:rFonts w:ascii="Times New Roman;sans-serif" w:hAnsi="Times New Roman;sans-serif"/>
          <w:b w:val="false"/>
          <w:color w:val="000000"/>
          <w:sz w:val="20"/>
        </w:rPr>
        <w:t xml:space="preserve">The Company had performed an evaluation of its contracts with suppliers in accordance with ASC Topic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and had determined that, except for leases for office facilities, motor vehicles and other equipment as described above, none of the Company’s contracts contain a lease. As part of the Company’s efforts to optimize its existing network of operations centers, the Company continued to evaluate its office facilities to determine where it can exit or consolidate its use of office space.</w:t>
      </w:r>
    </w:p>
    <w:p>
      <w:pPr>
        <w:pStyle w:val="TextBody"/>
        <w:spacing w:lineRule="auto" w:line="288" w:before="120" w:after="260"/>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Supplemental balance sheet information</w:t>
      </w:r>
    </w:p>
    <w:tbl>
      <w:tblPr>
        <w:tblW w:w="6863" w:type="dxa"/>
        <w:jc w:val="left"/>
        <w:tblInd w:w="0" w:type="dxa"/>
        <w:tblCellMar>
          <w:top w:w="28" w:type="dxa"/>
          <w:left w:w="28" w:type="dxa"/>
          <w:bottom w:w="28" w:type="dxa"/>
          <w:right w:w="28" w:type="dxa"/>
        </w:tblCellMar>
      </w:tblPr>
      <w:tblGrid>
        <w:gridCol w:w="1206"/>
        <w:gridCol w:w="1058"/>
        <w:gridCol w:w="1065"/>
        <w:gridCol w:w="109"/>
        <w:gridCol w:w="109"/>
        <w:gridCol w:w="109"/>
        <w:gridCol w:w="261"/>
        <w:gridCol w:w="894"/>
        <w:gridCol w:w="135"/>
        <w:gridCol w:w="109"/>
        <w:gridCol w:w="109"/>
        <w:gridCol w:w="109"/>
        <w:gridCol w:w="309"/>
        <w:gridCol w:w="1056"/>
        <w:gridCol w:w="225"/>
      </w:tblGrid>
      <w:tr>
        <w:trPr/>
        <w:tc>
          <w:tcPr>
            <w:tcW w:w="1206"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3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52,782 </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55,347 </w:t>
            </w:r>
          </w:p>
        </w:tc>
        <w:tc>
          <w:tcPr>
            <w:tcW w:w="2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14,095 </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14,978 </w:t>
            </w:r>
          </w:p>
        </w:tc>
        <w:tc>
          <w:tcPr>
            <w:tcW w:w="2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45,655 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48,155 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Total operating lease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59,750 </w:t>
            </w:r>
          </w:p>
        </w:tc>
        <w:tc>
          <w:tcPr>
            <w:tcW w:w="13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63,133 </w:t>
            </w:r>
          </w:p>
        </w:tc>
        <w:tc>
          <w:tcPr>
            <w:tcW w:w="22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gross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w:t>
            </w:r>
          </w:p>
        </w:tc>
        <w:tc>
          <w:tcPr>
            <w:tcW w:w="2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 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 Non-current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2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Total finance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18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are presented as a part of “Accrued expenses and other current liabilities” and “Other non-current liabilities,” as applicable, in the Company’s consolidated balance sheets.</w:t>
      </w:r>
    </w:p>
    <w:p>
      <w:pPr>
        <w:pStyle w:val="TextBody"/>
        <w:spacing w:lineRule="auto" w:line="26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 which are included in the Company’s unaudited consolidated statements of income, are as follows:</w:t>
      </w:r>
    </w:p>
    <w:tbl>
      <w:tblPr>
        <w:tblW w:w="5799" w:type="dxa"/>
        <w:jc w:val="center"/>
        <w:tblInd w:w="0" w:type="dxa"/>
        <w:tblCellMar>
          <w:top w:w="28" w:type="dxa"/>
          <w:left w:w="28" w:type="dxa"/>
          <w:bottom w:w="28" w:type="dxa"/>
          <w:right w:w="28" w:type="dxa"/>
        </w:tblCellMar>
      </w:tblPr>
      <w:tblGrid>
        <w:gridCol w:w="1049"/>
        <w:gridCol w:w="926"/>
        <w:gridCol w:w="935"/>
        <w:gridCol w:w="109"/>
        <w:gridCol w:w="109"/>
        <w:gridCol w:w="109"/>
        <w:gridCol w:w="241"/>
        <w:gridCol w:w="704"/>
        <w:gridCol w:w="124"/>
        <w:gridCol w:w="124"/>
        <w:gridCol w:w="124"/>
        <w:gridCol w:w="124"/>
        <w:gridCol w:w="241"/>
        <w:gridCol w:w="704"/>
        <w:gridCol w:w="176"/>
      </w:tblGrid>
      <w:tr>
        <w:trPr/>
        <w:tc>
          <w:tcPr>
            <w:tcW w:w="1049"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9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Lease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2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7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Operating lease</w:t>
            </w:r>
            <w:r>
              <w:rPr>
                <w:rFonts w:ascii="Times New Roman;sans-serif" w:hAnsi="Times New Roman;sans-serif"/>
                <w:b/>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6,043 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Variable lease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21" w:type="dxa"/>
            <w:gridSpan w:val="3"/>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7,216 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 Includes short-term leases, which are immaterial.</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rFonts w:ascii="Times New Roman;sans-serif" w:hAnsi="Times New Roman;sans-serif"/>
          <w:b/>
          <w:color w:val="0000FF"/>
          <w:sz w:val="20"/>
          <w:u w:val="single"/>
        </w:rPr>
      </w:pPr>
      <w:r>
        <w:rPr>
          <w:rFonts w:ascii="Times New Roman;sans-serif" w:hAnsi="Times New Roman;sans-serif"/>
          <w:b/>
          <w:color w:val="0000FF"/>
          <w:sz w:val="20"/>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spacing w:lineRule="auto" w:line="417" w:before="180" w:after="180"/>
        <w:rPr>
          <w:rFonts w:ascii="Times New Roman;sans-serif" w:hAnsi="Times New Roman;sans-serif"/>
          <w:b/>
          <w:i/>
          <w:color w:val="000000"/>
          <w:sz w:val="20"/>
        </w:rPr>
      </w:pPr>
      <w:r>
        <w:rPr>
          <w:rFonts w:ascii="Times New Roman;sans-serif" w:hAnsi="Times New Roman;sans-serif"/>
          <w:b/>
          <w:i/>
          <w:color w:val="000000"/>
          <w:sz w:val="20"/>
        </w:rPr>
        <w:t>Supplemental cash flow and other information related to leases are as follows:</w:t>
      </w:r>
    </w:p>
    <w:tbl>
      <w:tblPr>
        <w:tblW w:w="9219" w:type="dxa"/>
        <w:jc w:val="center"/>
        <w:tblInd w:w="0" w:type="dxa"/>
        <w:tblCellMar>
          <w:top w:w="28" w:type="dxa"/>
          <w:left w:w="28" w:type="dxa"/>
          <w:bottom w:w="28" w:type="dxa"/>
          <w:right w:w="28" w:type="dxa"/>
        </w:tblCellMar>
      </w:tblPr>
      <w:tblGrid>
        <w:gridCol w:w="2295"/>
        <w:gridCol w:w="2012"/>
        <w:gridCol w:w="2023"/>
        <w:gridCol w:w="109"/>
        <w:gridCol w:w="109"/>
        <w:gridCol w:w="109"/>
        <w:gridCol w:w="241"/>
        <w:gridCol w:w="704"/>
        <w:gridCol w:w="124"/>
        <w:gridCol w:w="124"/>
        <w:gridCol w:w="124"/>
        <w:gridCol w:w="124"/>
        <w:gridCol w:w="241"/>
        <w:gridCol w:w="704"/>
        <w:gridCol w:w="176"/>
      </w:tblGrid>
      <w:tr>
        <w:trPr/>
        <w:tc>
          <w:tcPr>
            <w:tcW w:w="2295" w:type="dxa"/>
            <w:tcBorders/>
            <w:shd w:fill="auto" w:val="clear"/>
            <w:vAlign w:val="center"/>
          </w:tcPr>
          <w:p>
            <w:pPr>
              <w:pStyle w:val="TableContents"/>
              <w:spacing w:before="0" w:after="283"/>
              <w:rPr>
                <w:sz w:val="4"/>
                <w:szCs w:val="4"/>
              </w:rPr>
            </w:pPr>
            <w:r>
              <w:rPr>
                <w:sz w:val="4"/>
                <w:szCs w:val="4"/>
              </w:rPr>
            </w:r>
          </w:p>
        </w:tc>
        <w:tc>
          <w:tcPr>
            <w:tcW w:w="2012" w:type="dxa"/>
            <w:tcBorders/>
            <w:shd w:fill="auto" w:val="clear"/>
            <w:vAlign w:val="center"/>
          </w:tcPr>
          <w:p>
            <w:pPr>
              <w:pStyle w:val="TableContents"/>
              <w:spacing w:before="0" w:after="283"/>
              <w:rPr>
                <w:sz w:val="4"/>
                <w:szCs w:val="4"/>
              </w:rPr>
            </w:pPr>
            <w:r>
              <w:rPr>
                <w:sz w:val="4"/>
                <w:szCs w:val="4"/>
              </w:rPr>
            </w:r>
          </w:p>
        </w:tc>
        <w:tc>
          <w:tcPr>
            <w:tcW w:w="2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for amounts included in the measurement of lease liabilities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for operating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6,005 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for 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outflows for finance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finance lease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years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years</w:t>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years</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years</w:t>
            </w:r>
          </w:p>
        </w:tc>
      </w:tr>
      <w:tr>
        <w:trPr/>
        <w:tc>
          <w:tcPr>
            <w:tcW w:w="6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r>
      <w:tr>
        <w:trPr/>
        <w:tc>
          <w:tcPr>
            <w:tcW w:w="6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r>
    </w:tbl>
    <w:p>
      <w:pPr>
        <w:pStyle w:val="TextBody"/>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modified certain of its operating leases, resulting in a decrease of its lease liabilities by $3,094 and an increase of its lease liabilities by $367, during the three months ended March 31, 2023 and 2022, respectively, with a corresponding adjustment to ROU assets.</w:t>
      </w:r>
    </w:p>
    <w:p>
      <w:pPr>
        <w:pStyle w:val="TextBody"/>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 did not have any significant leases that have not yet commenced but that create significant rights and obligations for the Company.</w:t>
      </w:r>
    </w:p>
    <w:p>
      <w:pPr>
        <w:pStyle w:val="TextBody"/>
        <w:spacing w:lineRule="auto" w:line="288" w:before="180" w:after="180"/>
        <w:ind w:left="0" w:right="0" w:firstLine="495"/>
        <w:jc w:val="both"/>
        <w:rPr>
          <w:rFonts w:ascii="Times New Roman;sans-serif" w:hAnsi="Times New Roman;sans-serif"/>
          <w:b/>
          <w:color w:val="000000"/>
          <w:sz w:val="20"/>
        </w:rPr>
      </w:pPr>
      <w:r>
        <w:rPr>
          <w:rFonts w:ascii="Times New Roman;sans-serif" w:hAnsi="Times New Roman;sans-serif"/>
          <w:b/>
          <w:color w:val="000000"/>
          <w:sz w:val="20"/>
        </w:rPr>
        <w:t>Maturities of lease liabilities as of March 31, 2023 were as follows:</w:t>
      </w:r>
    </w:p>
    <w:tbl>
      <w:tblPr>
        <w:tblW w:w="6083" w:type="dxa"/>
        <w:jc w:val="center"/>
        <w:tblInd w:w="0" w:type="dxa"/>
        <w:tblCellMar>
          <w:top w:w="28" w:type="dxa"/>
          <w:left w:w="28" w:type="dxa"/>
          <w:bottom w:w="28" w:type="dxa"/>
          <w:right w:w="28" w:type="dxa"/>
        </w:tblCellMar>
      </w:tblPr>
      <w:tblGrid>
        <w:gridCol w:w="972"/>
        <w:gridCol w:w="855"/>
        <w:gridCol w:w="857"/>
        <w:gridCol w:w="109"/>
        <w:gridCol w:w="109"/>
        <w:gridCol w:w="109"/>
        <w:gridCol w:w="292"/>
        <w:gridCol w:w="998"/>
        <w:gridCol w:w="150"/>
        <w:gridCol w:w="109"/>
        <w:gridCol w:w="109"/>
        <w:gridCol w:w="109"/>
        <w:gridCol w:w="331"/>
        <w:gridCol w:w="732"/>
        <w:gridCol w:w="242"/>
      </w:tblGrid>
      <w:tr>
        <w:trPr/>
        <w:tc>
          <w:tcPr>
            <w:tcW w:w="972"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Finance Leases</w:t>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(April 1 - December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15,228 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10,387 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9,295 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thereafter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19,429 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14,855 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2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59,750 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80" w:after="80"/>
        <w:ind w:left="0" w:right="0" w:firstLine="495"/>
        <w:jc w:val="both"/>
        <w:rPr/>
      </w:pPr>
      <w:r>
        <w:rPr/>
      </w:r>
    </w:p>
    <w:p>
      <w:pPr>
        <w:pStyle w:val="TextBody"/>
        <w:spacing w:before="180" w:after="80"/>
        <w:ind w:left="0" w:right="0" w:firstLine="495"/>
        <w:jc w:val="both"/>
        <w:rPr/>
      </w:pPr>
      <w:r>
        <w:rPr/>
      </w:r>
    </w:p>
    <w:p>
      <w:pPr>
        <w:pStyle w:val="TextBody"/>
        <w:spacing w:before="180" w:after="80"/>
        <w:ind w:left="0" w:right="0" w:firstLine="495"/>
        <w:jc w:val="both"/>
        <w:rPr/>
      </w:pPr>
      <w:r>
        <w:rPr/>
      </w:r>
    </w:p>
    <w:p>
      <w:pPr>
        <w:pStyle w:val="TextBody"/>
        <w:spacing w:before="180" w:after="80"/>
        <w:ind w:left="0" w:right="0" w:firstLine="495"/>
        <w:jc w:val="both"/>
        <w:rPr/>
      </w:pPr>
      <w:r>
        <w:rPr/>
      </w:r>
    </w:p>
    <w:p>
      <w:pPr>
        <w:pStyle w:val="TextBody"/>
        <w:spacing w:before="180" w:after="80"/>
        <w:ind w:left="0" w:right="0" w:firstLine="495"/>
        <w:jc w:val="both"/>
        <w:rPr/>
      </w:pPr>
      <w:r>
        <w:rPr/>
      </w:r>
    </w:p>
    <w:p>
      <w:pPr>
        <w:pStyle w:val="TextBody"/>
        <w:spacing w:before="180" w:after="80"/>
        <w:ind w:left="0" w:right="0" w:firstLine="495"/>
        <w:jc w:val="both"/>
        <w:rPr/>
      </w:pPr>
      <w:r>
        <w:rPr/>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rFonts w:ascii="Times New Roman;sans-serif" w:hAnsi="Times New Roman;sans-serif"/>
          <w:b/>
          <w:color w:val="0000FF"/>
          <w:sz w:val="20"/>
          <w:u w:val="single"/>
        </w:rPr>
      </w:pPr>
      <w:r>
        <w:rPr>
          <w:rFonts w:ascii="Times New Roman;sans-serif" w:hAnsi="Times New Roman;sans-serif"/>
          <w:b/>
          <w:color w:val="0000FF"/>
          <w:sz w:val="20"/>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spacing w:lineRule="auto" w:line="288" w:before="180" w:after="80"/>
        <w:ind w:left="0" w:right="0" w:firstLine="495"/>
        <w:jc w:val="both"/>
        <w:rPr>
          <w:rFonts w:ascii="Times New Roman;sans-serif" w:hAnsi="Times New Roman;sans-serif"/>
          <w:b/>
          <w:color w:val="000000"/>
          <w:sz w:val="20"/>
        </w:rPr>
      </w:pPr>
      <w:r>
        <w:rPr>
          <w:rFonts w:ascii="Times New Roman;sans-serif" w:hAnsi="Times New Roman;sans-serif"/>
          <w:b/>
          <w:color w:val="000000"/>
          <w:sz w:val="20"/>
        </w:rPr>
        <w:t>Maturities of lease liabilities as of December 31, 2022 were as follows:</w:t>
      </w:r>
    </w:p>
    <w:tbl>
      <w:tblPr>
        <w:tblW w:w="6084" w:type="dxa"/>
        <w:jc w:val="left"/>
        <w:tblInd w:w="0" w:type="dxa"/>
        <w:tblCellMar>
          <w:top w:w="28" w:type="dxa"/>
          <w:left w:w="28" w:type="dxa"/>
          <w:bottom w:w="28" w:type="dxa"/>
          <w:right w:w="28" w:type="dxa"/>
        </w:tblCellMar>
      </w:tblPr>
      <w:tblGrid>
        <w:gridCol w:w="970"/>
        <w:gridCol w:w="851"/>
        <w:gridCol w:w="864"/>
        <w:gridCol w:w="109"/>
        <w:gridCol w:w="109"/>
        <w:gridCol w:w="109"/>
        <w:gridCol w:w="292"/>
        <w:gridCol w:w="998"/>
        <w:gridCol w:w="150"/>
        <w:gridCol w:w="109"/>
        <w:gridCol w:w="109"/>
        <w:gridCol w:w="109"/>
        <w:gridCol w:w="331"/>
        <w:gridCol w:w="732"/>
        <w:gridCol w:w="242"/>
      </w:tblGrid>
      <w:tr>
        <w:trPr/>
        <w:tc>
          <w:tcPr>
            <w:tcW w:w="970"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Finance Leases</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14,846 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2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10,037 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8,941 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6,474 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thereafter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19,624 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78,633 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15,500 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2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63,133 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22. Income Taxes</w:t>
      </w:r>
    </w:p>
    <w:p>
      <w:pPr>
        <w:pStyle w:val="TextBody"/>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the tax provision for interim periods using an estimate of its annual effective tax rate. Each quarter, the Company updates its estimate of annual effective tax rate, and if its estimated tax rate changes, the Company makes a cumulative adjustment.</w:t>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decreased from 23.7% during the three months ended March 31, 2022 to 13.6% during the three months ended March 31, 2023. The Company recorded income tax expense of $8,058 and $11,202 for the three months ended March 31, 2023 and 2022, respectively. The decrease in income tax expense was primarily as a result of higher excess tax benefits related to stock-based compensation during the three months ended March 31, 2023, compared to the three months ended March 31, 2022, partially offset by an increase in income tax expense on higher profit and an increase in non-deductible expenses during the three months ended March 31, 2023.</w:t>
      </w:r>
    </w:p>
    <w:p>
      <w:pPr>
        <w:pStyle w:val="TextBody"/>
        <w:spacing w:before="0" w:after="0"/>
        <w:ind w:left="0" w:right="0" w:firstLine="450"/>
        <w:jc w:val="both"/>
        <w:rPr/>
      </w:pPr>
      <w:r>
        <w:rPr/>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Company’s subsidiaries in India, U.K. and Australia repatriated $76,000 (net of $4,015 withholding taxes), $15,598 and $9,081, respectively, to the United States. These distributions do not constitute a change in the Company’s permanent reinvestment assertion.</w:t>
      </w:r>
    </w:p>
    <w:p>
      <w:pPr>
        <w:pStyle w:val="TextBody"/>
        <w:spacing w:before="0" w:after="0"/>
        <w:ind w:left="0" w:right="0" w:firstLine="450"/>
        <w:jc w:val="both"/>
        <w:rPr/>
      </w:pPr>
      <w:r>
        <w:rPr/>
      </w:r>
    </w:p>
    <w:p>
      <w:pPr>
        <w:pStyle w:val="TextBody"/>
        <w:spacing w:lineRule="auto" w:line="268" w:before="8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Deferred income taxes recognized in AOCI were as follows:</w:t>
      </w:r>
    </w:p>
    <w:tbl>
      <w:tblPr>
        <w:tblW w:w="6762" w:type="dxa"/>
        <w:jc w:val="center"/>
        <w:tblInd w:w="0" w:type="dxa"/>
        <w:tblCellMar>
          <w:top w:w="28" w:type="dxa"/>
          <w:left w:w="28" w:type="dxa"/>
          <w:bottom w:w="28" w:type="dxa"/>
          <w:right w:w="28" w:type="dxa"/>
        </w:tblCellMar>
      </w:tblPr>
      <w:tblGrid>
        <w:gridCol w:w="1520"/>
        <w:gridCol w:w="1336"/>
        <w:gridCol w:w="1344"/>
        <w:gridCol w:w="247"/>
        <w:gridCol w:w="811"/>
        <w:gridCol w:w="128"/>
        <w:gridCol w:w="128"/>
        <w:gridCol w:w="128"/>
        <w:gridCol w:w="128"/>
        <w:gridCol w:w="247"/>
        <w:gridCol w:w="565"/>
        <w:gridCol w:w="180"/>
      </w:tblGrid>
      <w:tr>
        <w:trPr/>
        <w:tc>
          <w:tcPr>
            <w:tcW w:w="1520"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c>
          <w:tcPr>
            <w:tcW w:w="1344"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42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2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taxes benefit / (expense) recognized on:</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gain/(loss) on cash flow hedges</w:t>
            </w:r>
          </w:p>
        </w:tc>
        <w:tc>
          <w:tcPr>
            <w:tcW w:w="2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cash flow hedges</w:t>
            </w:r>
          </w:p>
        </w:tc>
        <w:tc>
          <w:tcPr>
            <w:tcW w:w="10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retirement benefits</w:t>
            </w:r>
          </w:p>
        </w:tc>
        <w:tc>
          <w:tcPr>
            <w:tcW w:w="10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gain/(loss)</w:t>
            </w:r>
          </w:p>
        </w:tc>
        <w:tc>
          <w:tcPr>
            <w:tcW w:w="10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(2,991)</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964</w:t>
            </w:r>
            <w:r>
              <w:rPr>
                <w:color w:val="000000"/>
              </w:rPr>
              <w:t>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80" w:after="80"/>
        <w:ind w:left="0" w:right="0" w:firstLine="450"/>
        <w:jc w:val="center"/>
        <w:rPr/>
      </w:pPr>
      <w:r>
        <w:rPr/>
      </w:r>
    </w:p>
    <w:p>
      <w:pPr>
        <w:pStyle w:val="TextBody"/>
        <w:spacing w:before="180" w:after="80"/>
        <w:ind w:left="0" w:right="0" w:firstLine="450"/>
        <w:jc w:val="center"/>
        <w:rPr/>
      </w:pPr>
      <w:r>
        <w:rPr/>
      </w:r>
    </w:p>
    <w:p>
      <w:pPr>
        <w:pStyle w:val="TextBody"/>
        <w:spacing w:before="180" w:after="80"/>
        <w:ind w:left="0" w:right="0" w:firstLine="450"/>
        <w:jc w:val="center"/>
        <w:rPr/>
      </w:pPr>
      <w:r>
        <w:rPr/>
      </w:r>
    </w:p>
    <w:p>
      <w:pPr>
        <w:pStyle w:val="TextBody"/>
        <w:spacing w:before="180" w:after="80"/>
        <w:ind w:left="0" w:right="0" w:firstLine="450"/>
        <w:jc w:val="center"/>
        <w:rPr/>
      </w:pPr>
      <w:r>
        <w:rPr/>
      </w:r>
    </w:p>
    <w:p>
      <w:pPr>
        <w:pStyle w:val="TextBody"/>
        <w:spacing w:before="180" w:after="80"/>
        <w:ind w:left="0" w:right="0" w:firstLine="45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rFonts w:ascii="Times New Roman;sans-serif" w:hAnsi="Times New Roman;sans-serif"/>
          <w:b/>
          <w:color w:val="0000FF"/>
          <w:sz w:val="20"/>
          <w:u w:val="single"/>
        </w:rPr>
      </w:pPr>
      <w:r>
        <w:rPr>
          <w:rFonts w:ascii="Times New Roman;sans-serif" w:hAnsi="Times New Roman;sans-serif"/>
          <w:b/>
          <w:color w:val="0000FF"/>
          <w:sz w:val="20"/>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23. Stock Based Compensation</w:t>
      </w:r>
    </w:p>
    <w:p>
      <w:pPr>
        <w:pStyle w:val="TextBody"/>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by nature of function, as below, are included in the unaudited consolidated statements of income:</w:t>
      </w:r>
    </w:p>
    <w:tbl>
      <w:tblPr>
        <w:tblW w:w="7343" w:type="dxa"/>
        <w:jc w:val="center"/>
        <w:tblInd w:w="0" w:type="dxa"/>
        <w:tblCellMar>
          <w:top w:w="28" w:type="dxa"/>
          <w:left w:w="28" w:type="dxa"/>
          <w:bottom w:w="28" w:type="dxa"/>
          <w:right w:w="28" w:type="dxa"/>
        </w:tblCellMar>
      </w:tblPr>
      <w:tblGrid>
        <w:gridCol w:w="1730"/>
        <w:gridCol w:w="1524"/>
        <w:gridCol w:w="1530"/>
        <w:gridCol w:w="220"/>
        <w:gridCol w:w="753"/>
        <w:gridCol w:w="113"/>
        <w:gridCol w:w="113"/>
        <w:gridCol w:w="113"/>
        <w:gridCol w:w="113"/>
        <w:gridCol w:w="220"/>
        <w:gridCol w:w="753"/>
        <w:gridCol w:w="161"/>
      </w:tblGrid>
      <w:tr>
        <w:trPr/>
        <w:tc>
          <w:tcPr>
            <w:tcW w:w="1730" w:type="dxa"/>
            <w:tcBorders/>
            <w:shd w:fill="auto" w:val="clear"/>
            <w:vAlign w:val="center"/>
          </w:tcPr>
          <w:p>
            <w:pPr>
              <w:pStyle w:val="TableContents"/>
              <w:spacing w:before="0" w:after="283"/>
              <w:rPr>
                <w:sz w:val="4"/>
                <w:szCs w:val="4"/>
              </w:rPr>
            </w:pPr>
            <w:r>
              <w:rPr>
                <w:sz w:val="4"/>
                <w:szCs w:val="4"/>
              </w:rPr>
            </w:r>
          </w:p>
        </w:tc>
        <w:tc>
          <w:tcPr>
            <w:tcW w:w="1524" w:type="dxa"/>
            <w:tcBorders/>
            <w:shd w:fill="auto" w:val="clear"/>
            <w:vAlign w:val="center"/>
          </w:tcPr>
          <w:p>
            <w:pPr>
              <w:pStyle w:val="TableContents"/>
              <w:spacing w:before="0" w:after="283"/>
              <w:rPr>
                <w:sz w:val="4"/>
                <w:szCs w:val="4"/>
              </w:rPr>
            </w:pPr>
            <w:r>
              <w:rPr>
                <w:sz w:val="4"/>
                <w:szCs w:val="4"/>
              </w:rPr>
            </w:r>
          </w:p>
        </w:tc>
        <w:tc>
          <w:tcPr>
            <w:tcW w:w="153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7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7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5,825 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expenses</w:t>
            </w:r>
          </w:p>
        </w:tc>
        <w:tc>
          <w:tcPr>
            <w:tcW w:w="9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Income tax benefit related to share-based compensation</w:t>
            </w:r>
            <w:r>
              <w:rPr>
                <w:rFonts w:ascii="Times New Roman;sans-serif" w:hAnsi="Times New Roman;sans-serif"/>
                <w:b w:val="false"/>
                <w:color w:val="000000"/>
                <w:sz w:val="13"/>
              </w:rPr>
              <w:t>(1)</w:t>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180" w:after="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(1) Includes $12,520 and $3,610 during the three months ended March 31, 2023 and 2022 respectively, related to discrete benefits recognized in income tax expense in accordance with ASU No. 2016-09, Compensation - Stock Compensation.</w:t>
      </w:r>
    </w:p>
    <w:p>
      <w:pPr>
        <w:pStyle w:val="TextBody"/>
        <w:spacing w:lineRule="auto" w:line="268" w:before="180" w:after="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 had 952,074 and 1,324,755 shares, respectively, available for grant under the 2018 Omnibus Incentive Plan.</w:t>
      </w:r>
    </w:p>
    <w:p>
      <w:pPr>
        <w:pStyle w:val="TextBody"/>
        <w:spacing w:before="180" w:after="80"/>
        <w:ind w:left="0" w:right="0" w:firstLine="495"/>
        <w:jc w:val="both"/>
        <w:rPr/>
      </w:pPr>
      <w:r>
        <w:rPr/>
      </w:r>
    </w:p>
    <w:p>
      <w:pPr>
        <w:pStyle w:val="TextBody"/>
        <w:spacing w:lineRule="auto" w:line="288" w:before="80" w:after="180"/>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spacing w:lineRule="auto" w:line="288" w:before="180" w:after="18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there was no stock option activity under the Company’s stock-based compensation plans. The number of stock options that were vested and exercisable as of each of March 31, 2023 and December 31, 2022 were 3,093 units.</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Share Matching Program</w:t>
      </w:r>
    </w:p>
    <w:p>
      <w:pPr>
        <w:pStyle w:val="TextBody"/>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Under the Company’s 2018 Omnibus Incentive Plan (the “2018 Plan”), the Company established a share matching program (“SMP”) for executive officers and other specified employees. Under the SMP, the Company agreed to issue a number of restricted stock units equal to the number of newly acquired shares of the Company's common stock.</w:t>
      </w:r>
    </w:p>
    <w:p>
      <w:pPr>
        <w:pStyle w:val="TextBody"/>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nil and 52,636, respectively, restricted stock units were issued under the Company’s SMP. As of each of March 31, 2023 and December 31, 2022, the number of unvested restricted stock units was 47,623 units.</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Restricted Stock Units</w:t>
      </w:r>
    </w:p>
    <w:p>
      <w:pPr>
        <w:pStyle w:val="TextBody"/>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unit activity under the Company’s stock-based compensation plans is shown below:</w:t>
      </w:r>
    </w:p>
    <w:tbl>
      <w:tblPr>
        <w:tblW w:w="6657" w:type="dxa"/>
        <w:jc w:val="center"/>
        <w:tblInd w:w="0" w:type="dxa"/>
        <w:tblCellMar>
          <w:top w:w="28" w:type="dxa"/>
          <w:left w:w="28" w:type="dxa"/>
          <w:bottom w:w="28" w:type="dxa"/>
          <w:right w:w="28" w:type="dxa"/>
        </w:tblCellMar>
      </w:tblPr>
      <w:tblGrid>
        <w:gridCol w:w="1185"/>
        <w:gridCol w:w="1039"/>
        <w:gridCol w:w="1045"/>
        <w:gridCol w:w="109"/>
        <w:gridCol w:w="109"/>
        <w:gridCol w:w="109"/>
        <w:gridCol w:w="449"/>
        <w:gridCol w:w="451"/>
        <w:gridCol w:w="251"/>
        <w:gridCol w:w="117"/>
        <w:gridCol w:w="117"/>
        <w:gridCol w:w="117"/>
        <w:gridCol w:w="302"/>
        <w:gridCol w:w="1036"/>
        <w:gridCol w:w="221"/>
      </w:tblGrid>
      <w:tr>
        <w:trPr/>
        <w:tc>
          <w:tcPr>
            <w:tcW w:w="1185"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Restricted Stock Units</w:t>
            </w:r>
          </w:p>
        </w:tc>
      </w:tr>
      <w:tr>
        <w:trPr/>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w:t>
              <w:br/>
              <w:t>Fair Value</w:t>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923,126 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217,194 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172.80 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(284,174)</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87.52 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(8,513)</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99.41 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847,633 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121.44 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0" w:after="0"/>
        <w:ind w:left="0" w:right="0" w:hanging="450"/>
        <w:jc w:val="both"/>
        <w:rPr/>
      </w:pPr>
      <w:r>
        <w:rPr>
          <w:rFonts w:ascii="Times New Roman;sans-serif" w:hAnsi="Times New Roman;sans-serif"/>
          <w:b w:val="false"/>
          <w:i/>
          <w:color w:val="000000"/>
          <w:sz w:val="18"/>
        </w:rPr>
        <w:t xml:space="preserve">* </w:t>
      </w:r>
      <w:r>
        <w:rPr>
          <w:rFonts w:ascii="Times New Roman;sans-serif" w:hAnsi="Times New Roman;sans-serif"/>
          <w:b w:val="false"/>
          <w:i/>
          <w:color w:val="000000"/>
          <w:sz w:val="20"/>
        </w:rPr>
        <w:t>As of March 31, 2023 and December 31, 2022 restricted stock units vested for which the underlying common stock is yet to be issued are 119,908 and 174,490 respectively.</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rFonts w:ascii="Times New Roman;sans-serif" w:hAnsi="Times New Roman;sans-serif"/>
          <w:b/>
          <w:color w:val="0000FF"/>
          <w:sz w:val="20"/>
          <w:u w:val="single"/>
        </w:rPr>
      </w:pPr>
      <w:r>
        <w:rPr>
          <w:rFonts w:ascii="Times New Roman;sans-serif" w:hAnsi="Times New Roman;sans-serif"/>
          <w:b/>
          <w:color w:val="0000FF"/>
          <w:sz w:val="20"/>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unrecognized compensation cost of $86,957 is expected to be expensed over a weighted average period of 2.9 years.</w:t>
      </w:r>
    </w:p>
    <w:p>
      <w:pPr>
        <w:pStyle w:val="TextBody"/>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Performance Based Stock Awards</w:t>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Under the 2018 Plan, the Company grants performance-based restricted stock units (“PRSUs”) to executive officers and other specified employees. During the three months ended March 31, 2023, the Company granted 40% of each award recipient’s equity grants in the form of PRSUs that cliff vest at the end of a three-year period based on an aggregated revenue target for a three-year period (“PU”). The remaining 60% of each award recipient’s equity grants are PRSUs that are based on market conditions, contingent on the Company's meeting a total shareholder return relative to a group of peer companies specified under the 2018 Plan, and are measured over a three-year performance period (“MU”).</w:t>
      </w:r>
    </w:p>
    <w:p>
      <w:pPr>
        <w:pStyle w:val="TextBody"/>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PRSU activity under the Company’s stock plans is shown below:</w:t>
      </w:r>
    </w:p>
    <w:tbl>
      <w:tblPr>
        <w:tblW w:w="9574" w:type="dxa"/>
        <w:jc w:val="center"/>
        <w:tblInd w:w="0" w:type="dxa"/>
        <w:tblCellMar>
          <w:top w:w="28" w:type="dxa"/>
          <w:left w:w="28" w:type="dxa"/>
          <w:bottom w:w="28" w:type="dxa"/>
          <w:right w:w="28" w:type="dxa"/>
        </w:tblCellMar>
      </w:tblPr>
      <w:tblGrid>
        <w:gridCol w:w="1147"/>
        <w:gridCol w:w="1006"/>
        <w:gridCol w:w="1012"/>
        <w:gridCol w:w="360"/>
        <w:gridCol w:w="361"/>
        <w:gridCol w:w="251"/>
        <w:gridCol w:w="120"/>
        <w:gridCol w:w="120"/>
        <w:gridCol w:w="120"/>
        <w:gridCol w:w="305"/>
        <w:gridCol w:w="1045"/>
        <w:gridCol w:w="165"/>
        <w:gridCol w:w="109"/>
        <w:gridCol w:w="109"/>
        <w:gridCol w:w="109"/>
        <w:gridCol w:w="413"/>
        <w:gridCol w:w="413"/>
        <w:gridCol w:w="251"/>
        <w:gridCol w:w="166"/>
        <w:gridCol w:w="166"/>
        <w:gridCol w:w="166"/>
        <w:gridCol w:w="322"/>
        <w:gridCol w:w="1100"/>
        <w:gridCol w:w="238"/>
      </w:tblGrid>
      <w:tr>
        <w:trPr/>
        <w:tc>
          <w:tcPr>
            <w:tcW w:w="1147"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 Based PRSUs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Market Condition Based PRSUs</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w:t>
              <w:b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w:t>
            </w:r>
          </w:p>
        </w:tc>
        <w:tc>
          <w:tcPr>
            <w:tcW w:w="4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w:t>
              <w:br/>
              <w:t>Fair Value</w:t>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178,712 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134.72 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43,868 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65,729 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223.61 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660" w:type="dxa"/>
            <w:gridSpan w:val="3"/>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119.98 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155.67 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31, 2023</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93,329 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144.82 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244,247 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158.62 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unrecognized compensation cost of $43,169 is expected to be expensed over a weighted average period of 2.3 years.</w:t>
      </w:r>
    </w:p>
    <w:p>
      <w:pPr>
        <w:pStyle w:val="TextBody"/>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Employee Stock Purchase Plan</w:t>
      </w:r>
    </w:p>
    <w:p>
      <w:pPr>
        <w:pStyle w:val="TextBody"/>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June 21, 2022, at the annual meeting of stockholders of the Company, the Company’s stockholders approved the ExlService Holdings, Inc. 2022 Employee Stock Purchase Plan (the “2022 ESPP”).</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2022 ESPP allows eligible employees to purchase the Company’s shares of common stock through payroll deductions at a pre-specified discount to the lower of closing price of the Company’s common shares on the date of offering or the last business day of each purchase interval. The dollar amount of shares of common stock that can be purchased under the 2022 ESPP must not exceed 15% of the participating employee’s compensation during the offering period, subject to a cap of $25 per employee per calendar year. The Company has registered 800,000 shares of common stock to be reserved for issuance over the term of the 2022 ESPP.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second offering period under the 2022 ESPP commenced on January 1, 2023 with a term of six months.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7,636 common shares were issued under the 2022 ESPP for purchases of common stock made during the first offering period that completed on December 31, 2022. As of March 31, 2023 and December 31, 2022, 792,364 and 800,000 shares, respectively, remain available for future issuance under the 2022 ESPP.</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76" w:before="180" w:after="180"/>
        <w:rPr>
          <w:rFonts w:ascii="Times New Roman;sans-serif" w:hAnsi="Times New Roman;sans-serif"/>
          <w:b/>
          <w:color w:val="000000"/>
          <w:sz w:val="20"/>
        </w:rPr>
      </w:pPr>
      <w:r>
        <w:rPr>
          <w:rFonts w:ascii="Times New Roman;sans-serif" w:hAnsi="Times New Roman;sans-serif"/>
          <w:b/>
          <w:color w:val="000000"/>
          <w:sz w:val="20"/>
        </w:rPr>
        <w:t>24. Related Party Disclosures</w:t>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2022, the Company entered into a service contract for providing analytics services to The Vanguard Group Inc., which beneficially owns more than 10% of the Company’s common stock as of March 31, 2023. During the three months ended March 31, 2023, the Company recognized revenues, net of $951 related to this service contract. The Company had outstanding accounts receivable of $1,217 and $856, related to this service contract as of March 31, 2023 and December 31, 2022, respectively.</w:t>
      </w:r>
    </w:p>
    <w:p>
      <w:pPr>
        <w:pStyle w:val="TextBody"/>
        <w:spacing w:before="120" w:after="180"/>
        <w:ind w:left="0" w:right="0" w:firstLine="495"/>
        <w:jc w:val="both"/>
        <w:rPr/>
      </w:pPr>
      <w:r>
        <w:rPr/>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rFonts w:ascii="Times New Roman;sans-serif" w:hAnsi="Times New Roman;sans-serif"/>
          <w:b/>
          <w:color w:val="0000FF"/>
          <w:sz w:val="20"/>
          <w:u w:val="single"/>
        </w:rPr>
      </w:pPr>
      <w:r>
        <w:rPr>
          <w:rFonts w:ascii="Times New Roman;sans-serif" w:hAnsi="Times New Roman;sans-serif"/>
          <w:b/>
          <w:color w:val="0000FF"/>
          <w:sz w:val="20"/>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spacing w:before="120" w:after="18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25. Commitments and Contingencies</w:t>
      </w:r>
    </w:p>
    <w:p>
      <w:pPr>
        <w:pStyle w:val="TextBody"/>
        <w:spacing w:lineRule="auto" w:line="288" w:before="180" w:after="180"/>
        <w:rPr>
          <w:rFonts w:ascii="Times New Roman;sans-serif" w:hAnsi="Times New Roman;sans-serif"/>
          <w:b/>
          <w:i/>
          <w:color w:val="000000"/>
          <w:sz w:val="20"/>
        </w:rPr>
      </w:pPr>
      <w:r>
        <w:rPr>
          <w:rFonts w:ascii="Times New Roman;sans-serif" w:hAnsi="Times New Roman;sans-serif"/>
          <w:b/>
          <w:i/>
          <w:color w:val="000000"/>
          <w:sz w:val="20"/>
        </w:rPr>
        <w:t>Capital Commitments</w:t>
      </w:r>
    </w:p>
    <w:p>
      <w:pPr>
        <w:pStyle w:val="TextBody"/>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committed to spend approximately $7,500 under agreements to purchase property and equipment. This amount is net of capital advances paid which are recognized in unaudited consolidated balance sheets as “Capital work in progress” under “Property and equipment, net.”</w:t>
      </w:r>
    </w:p>
    <w:p>
      <w:pPr>
        <w:pStyle w:val="TextBody"/>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Other Commitments</w:t>
      </w:r>
    </w:p>
    <w:p>
      <w:pPr>
        <w:pStyle w:val="TextBody"/>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Certain units of the Company’s Indian subsidiaries were established as 100% Export-Oriented units or under the Software Technology Parks of India or Special Economic Zone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 believes, however, that these units have in the past satisfied, and will continue to satisfy, the required conditions.</w:t>
      </w:r>
    </w:p>
    <w:p>
      <w:pPr>
        <w:pStyle w:val="TextBody"/>
        <w:spacing w:before="0" w:after="0"/>
        <w:ind w:left="0" w:right="0" w:firstLine="495"/>
        <w:jc w:val="both"/>
        <w:rPr/>
      </w:pPr>
      <w:r>
        <w:rPr/>
      </w:r>
    </w:p>
    <w:p>
      <w:pPr>
        <w:pStyle w:val="TextBody"/>
        <w:spacing w:lineRule="auto" w:line="26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operations centers in the Philippines are registered as qualified Philippines Economic Zone Authority units, which provides the Company fiscal incentives on the import of capital goods and local purchase of services and materials. The Company is required to meet certain requirements to retain the incentives. The Company has complied, and intends to continue compliance, with the requirements to avail itself of the incentives.</w:t>
      </w:r>
    </w:p>
    <w:p>
      <w:pPr>
        <w:pStyle w:val="TextBody"/>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transfer pricing regulations in the countries in which the Company operates require that controlled intercompany transactions be at arm’s-length. Accordingly, the Company determines and documents pricing for controlled intercompany transactions based on an economic analysis as prescribed in the respective regulations. The tax authorities have jurisdiction to review the Company’s transfer pricing. If the Company’s transfer pricing is challenged by the authorities, they could assess additional tax, interest and penalties, thereby impacting the Company’s profitability and cash flows.</w:t>
      </w:r>
    </w:p>
    <w:p>
      <w:pPr>
        <w:pStyle w:val="TextBody"/>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currently involved in transfer pricing and related income tax disputes with Indian tax authorities. The aggregate amount demanded by Indian tax authorities (net of advance payments) as of March 31, 2023 and December 31, 2022 is $37,072 and $37,088, respectively. The Company has made payments and/or provided bank guarantees against these demands in the amounts of $7,316 and $7,532, as of March 31, 2023 and December 31, 2022, respectively. The Company believes that its positions will more likely than not be sustained upon final examination by the tax authorities, and accordingly has not accrued any liabilities with respect to these matters in its consolidated financial statements.</w:t>
      </w:r>
    </w:p>
    <w:p>
      <w:pPr>
        <w:pStyle w:val="TextBody"/>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India’s Value Added Tax (“VAT”) regime ended in June 2017 and was replaced by the current Goods and Service Tax (“GST”) regime. Pursuant to reviewing the Company’s annual VAT filings, the Indian tax authorities raised aggregate VAT tax demands for tax years 2015 and 2017, in the amounts of $5,563 and $5,526, as of March 31, 2023 and December 31, 2022, respectively. The GST authorities rejected the Company’s refunds claims in the amounts of $3,892 and $3,866 as of March 31, 2023 and December 31, 2022, respectively. The Company has filed appeals against these matters and believes that it is more likely than not that upon final examination its position will be sustained based on its technical merits. Accordingly, no provision was recognized as of March 31, 2023 and December 31, 2022, respectively.</w:t>
      </w:r>
    </w:p>
    <w:p>
      <w:pPr>
        <w:pStyle w:val="TextBody"/>
        <w:spacing w:before="0" w:after="0"/>
        <w:ind w:left="0" w:right="0" w:firstLine="495"/>
        <w:rPr/>
      </w:pPr>
      <w:r>
        <w:rPr/>
      </w:r>
    </w:p>
    <w:p>
      <w:pPr>
        <w:pStyle w:val="TextBody"/>
        <w:spacing w:lineRule="auto" w:line="26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One of the Company’s subsidiaries in India has undergone an assessment with the statutory authority with respect to defined social security contribution plan. Except for some components of the assessment for which the Company has recognized a provision in the financial statements, the Company believes that the amount demanded by such authority is not a meaningful indicator of the potential liabilities of the Company, and that the matter is without merit. The Company is defending against the assessment order and has accordingly instituted an appeal against the order before the relevant tribunal while also making a payment under protest of the amount demanded, being a prerequisite for the appeal to be admitted. As of the reporting date, the Company’s management does not believe that the ultimate assessment will have a material adverse effect on the Company’s consolidated financial condition, results of operations or cash flows. The Company will continue to monitor and evaluate its position based on future events and developments in this matter.</w:t>
      </w:r>
    </w:p>
    <w:p>
      <w:pPr>
        <w:pStyle w:val="TextBody"/>
        <w:spacing w:lineRule="auto" w:line="266"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2019 and September 2020, the Indian Parliament passed various consolidating labor codes, including the Code on Social Security, 2020 (the “Indian Social Security Code”) which aims to rationalize labor laws. The Indian Social Security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rFonts w:ascii="Times New Roman;sans-serif" w:hAnsi="Times New Roman;sans-serif"/>
          <w:b/>
          <w:color w:val="0000FF"/>
          <w:sz w:val="20"/>
          <w:u w:val="single"/>
        </w:rPr>
      </w:pPr>
      <w:r>
        <w:rPr>
          <w:rFonts w:ascii="Times New Roman;sans-serif" w:hAnsi="Times New Roman;sans-serif"/>
          <w:b/>
          <w:color w:val="0000FF"/>
          <w:sz w:val="20"/>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spacing w:lineRule="auto" w:line="266"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Code has implications on defined social security contribution plans, provision of certain benefits or facilities to employees at employer’s costs and post-retirement benefits. Most specifically, it broadens the definition of an employee and wages and liberalizes the definition of “continuous period” for the purpose of determining employee benefits, among others. However, the rules for the Indian Social Security Code are yet to be published and the effective date from which these changes are applicable is yet to be notified. The Company will complete its evaluation once the subject rules are notified and will give appropriate impact in the financial statements in the period in which, the Indian Social Security Code becomes effective and the related rules to determine the financial impact are published.</w:t>
      </w:r>
    </w:p>
    <w:p>
      <w:pPr>
        <w:pStyle w:val="TextBody"/>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its subsidiaries, and/or their present officers or directors, may be or have been, named as a defendant in litigation matters, including employment-related claims. The plaintiffs in those cases seek damages, including, where applicable, compensatory damages, punitive damages and attorney’s fees. With respect to pending litigation matters as of the reporting date, the Company believes that the damages claimed are without merit, and the Company intends to vigorously defend them. The Company will continuously monitor developments on these matters to assess potential impacts to the financial statements.</w:t>
      </w:r>
    </w:p>
    <w:p>
      <w:pPr>
        <w:pStyle w:val="TextBody"/>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outcomes of legal actions are unpredictable and subject to significant uncertainties, and thus it is inherently difficult to determine the likelihood of the Company incurring a material loss or quantification of any such loss. With respect to pending litigation matters as of the reporting date, based on information currently available, including the Company’s assessment of the facts underlying each matter and advice of counsel, the amount or range of reasonably possible losses, if any, cannot be reasonably estimated. Based on the Company’s assessment, including the availability of insurance recoveries, the Company’s management does not believe that currently pending litigation, individually or in aggregate, will have a material adverse effect on the Company’s consolidated financial condition, results of operations or cash flows. The Company will continuously monitor these matters to assess potential impacts to the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94c2d3dd1ce14e10b7b4d9e6b8321d18_1824">
        <w:r>
          <w:rPr>
            <w:rStyle w:val="InternetLink"/>
            <w:rFonts w:ascii="Times New Roman;sans-serif" w:hAnsi="Times New Roman;sans-serif"/>
            <w:b/>
            <w:color w:val="0000FF"/>
            <w:sz w:val="20"/>
            <w:u w:val="single"/>
          </w:rPr>
          <w:t>Table of Contents</w:t>
        </w:r>
      </w:hyperlink>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76" w:before="0" w:after="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2022. Some of the statements in the following discussion are forward looking statements.</w:t>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within the meaning of the United States Private Securities Litigation Reform Act of 1995.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our ability to maintain and grow client demand for our services and solutions, including anticipating and incorporating the latest technology into our offerings;</w:t>
      </w:r>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impact on client demand by the selling cycle and terms of our client contracts;</w:t>
      </w:r>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fluctuations in our earnings;</w:t>
      </w:r>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our ability to hire and retain enough sufficiently trained employees to support our operations or any changes in the senior management team;</w:t>
      </w:r>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our ability to accurately estimate and/or manage costs;</w:t>
      </w:r>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our ability to adjust our pricing terms or effectively manage our asset utilization levels to meet the changing demands of our clients and potential clients;</w:t>
      </w:r>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cyber security incidents, data breaches, or other unauthorized disclosure of sensitive or confidential client and employee data;</w:t>
      </w:r>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reliance on third parties to deliver services and infrastructure for client critical services;</w:t>
      </w:r>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employee wage increases;</w:t>
      </w:r>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failure to protect our intellectual property;</w:t>
      </w:r>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our dependence on a limited number of clients in a limited number of industries and our ability to withstand the loss of a significant client;</w:t>
      </w:r>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our ability to grow our business or effectively manage growth and international operations;</w:t>
      </w:r>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our ability to successfully consummate or integrate strategic acquisitions including the impact from the impairment of goodwill and other intangible assets, if any;</w:t>
      </w:r>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our ability to adhere to regulations or accreditation or licensing standards that govern our business;</w:t>
      </w:r>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increasing competition in our industry;</w:t>
      </w:r>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telecommunications or technology disruptions or breaches, natural or other disasters, medical epidemics or pandemics, such as COVID-19, or acts of violence or war;</w:t>
      </w:r>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operational and information security failures arising as a result of remote work solutions adopted due to COVID-19;</w:t>
      </w:r>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legal liability arising out of customer and third party contracts;</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94c2d3dd1ce14e10b7b4d9e6b8321d18_1824">
        <w:r>
          <w:rPr>
            <w:rStyle w:val="InternetLink"/>
            <w:rFonts w:ascii="Times New Roman;sans-serif" w:hAnsi="Times New Roman;sans-serif"/>
            <w:b/>
            <w:color w:val="0000FF"/>
            <w:sz w:val="20"/>
            <w:u w:val="single"/>
          </w:rPr>
          <w:t>Table of Contents</w:t>
        </w:r>
      </w:hyperlink>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adverse outcome of our disputes with the tax authorities in the geographies where we operate;</w:t>
      </w:r>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the introduction of new or unfavorable tax legislation;</w:t>
      </w:r>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changes in tax laws or decisions regarding repatriation of funds held abroad;</w:t>
      </w:r>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exposure to currency exchange rate fluctuations in the various currencies in which we do business including the potential effects of Russian-Ukraine conflict, rising inflation, high interest rates and economic recessionary trends on currency exchange rates;</w:t>
      </w:r>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restrictions on immigration;</w:t>
      </w:r>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ability to service debt or obtain additional financing on favorable terms. Inception of interest rate swaps to hedge interest rate risk;</w:t>
      </w:r>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negative public reaction in the U.S. or elsewhere to offshore outsourcing;</w:t>
      </w:r>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effects of political and economic conditions globally, particularly in the geographies where we operate;</w:t>
      </w:r>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ability to make accurate estimates and assumptions in connection with the preparation of our consolidated financial statements;</w:t>
      </w:r>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regulatory, legislative and judicial developments, including changes to or the withdrawal of governmental fiscal incentives;</w:t>
      </w:r>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credit risk fluctuations in the market values of our investment and derivatives portfolios; and</w:t>
      </w:r>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our ability to meet our environmental, social and governance-related goals and targets;</w:t>
      </w:r>
    </w:p>
    <w:p>
      <w:pPr>
        <w:pStyle w:val="TextBody"/>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These and other factors are more fully discussed in our Annual Report on Form 10-K for the fiscal year ended December 31, 2022. These and other risks could cause actual results to differ materially from those implied by forward-looking statements in this Quarterly Report on Form 10-Q.</w:t>
      </w:r>
    </w:p>
    <w:p>
      <w:pPr>
        <w:pStyle w:val="TextBody"/>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by us in this Quarterly Report on Form 10-Q, or elsewhere, speak only as of the date on which they were made. New risks and uncertainties may occur from time to time, and it is impossible for us to predict those events or how they may affect us. We have no obligation to update any forward-looking statements in this Quarterly Report on Form 10-Q after the date of this Quarterly Report on Form 10-Q, except as required by federal securities laws.</w:t>
      </w:r>
    </w:p>
    <w:p>
      <w:pPr>
        <w:pStyle w:val="TextBody"/>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Executive Overview</w:t>
      </w:r>
    </w:p>
    <w:p>
      <w:pPr>
        <w:pStyle w:val="TextBody"/>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data analytics and digital operations and solutions company that partners with clients to improve business outcomes and unlock growth. By bringing together deep domain expertise with robust data, powerful analytics, cloud, AI and ML, we create agile, scalable solutions and execute complex operations for the world’s leading corporations in industries including insurance, healthcare, banking and financial services, media, and retail, among others.</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deliver data analytics and digital operations and solutions to our clients, driving enterprise-scale business transformation initiatives that leverage our deep expertise in advanced analytics, AI, ML and cloud. We manage and report financial information through our four strategic business units: Insurance, Healthcare, Analytics and Emerging Business, which reflects how management reviews financial information and makes operating decisions.</w:t>
      </w:r>
    </w:p>
    <w:p>
      <w:pPr>
        <w:pStyle w:val="TextBody"/>
        <w:spacing w:lineRule="auto" w:line="288" w:before="18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Our reportable segments are as follows: </w:t>
      </w:r>
    </w:p>
    <w:p>
      <w:pPr>
        <w:pStyle w:val="TextBody"/>
        <w:spacing w:lineRule="auto" w:line="288" w:before="180" w:after="180"/>
        <w:ind w:left="0" w:right="0" w:hanging="360"/>
        <w:rPr/>
      </w:pPr>
      <w:r>
        <w:rPr>
          <w:color w:val="000000"/>
        </w:rPr>
        <w:t>•</w:t>
      </w:r>
      <w:r>
        <w:rPr>
          <w:rFonts w:ascii="Times New Roman;sans-serif" w:hAnsi="Times New Roman;sans-serif"/>
          <w:b w:val="false"/>
          <w:color w:val="000000"/>
          <w:sz w:val="20"/>
        </w:rPr>
        <w:t>Insurance,</w:t>
      </w:r>
    </w:p>
    <w:p>
      <w:pPr>
        <w:pStyle w:val="TextBody"/>
        <w:spacing w:lineRule="auto" w:line="288" w:before="180" w:after="180"/>
        <w:ind w:left="0" w:right="0" w:hanging="360"/>
        <w:rPr/>
      </w:pPr>
      <w:r>
        <w:rPr>
          <w:color w:val="000000"/>
        </w:rPr>
        <w:t>•</w:t>
      </w:r>
      <w:r>
        <w:rPr>
          <w:rFonts w:ascii="Times New Roman;sans-serif" w:hAnsi="Times New Roman;sans-serif"/>
          <w:b w:val="false"/>
          <w:color w:val="000000"/>
          <w:sz w:val="20"/>
        </w:rPr>
        <w:t>Healthcare,</w:t>
      </w:r>
    </w:p>
    <w:p>
      <w:pPr>
        <w:pStyle w:val="TextBody"/>
        <w:spacing w:lineRule="auto" w:line="288" w:before="180" w:after="180"/>
        <w:ind w:left="0" w:right="0" w:hanging="360"/>
        <w:rPr/>
      </w:pPr>
      <w:r>
        <w:rPr>
          <w:color w:val="000000"/>
        </w:rPr>
        <w:t>•</w:t>
      </w:r>
      <w:r>
        <w:rPr>
          <w:rFonts w:ascii="Times New Roman;sans-serif" w:hAnsi="Times New Roman;sans-serif"/>
          <w:b w:val="false"/>
          <w:color w:val="000000"/>
          <w:sz w:val="20"/>
        </w:rPr>
        <w:t>Analytics, and</w:t>
      </w:r>
    </w:p>
    <w:p>
      <w:pPr>
        <w:pStyle w:val="TextBody"/>
        <w:spacing w:lineRule="auto" w:line="288" w:before="180" w:after="180"/>
        <w:ind w:left="0" w:right="0" w:hanging="360"/>
        <w:rPr/>
      </w:pPr>
      <w:r>
        <w:rPr>
          <w:color w:val="000000"/>
        </w:rPr>
        <w:t>•</w:t>
      </w:r>
      <w:r>
        <w:rPr>
          <w:rFonts w:ascii="Times New Roman;sans-serif" w:hAnsi="Times New Roman;sans-serif"/>
          <w:b w:val="false"/>
          <w:color w:val="000000"/>
          <w:sz w:val="20"/>
        </w:rPr>
        <w:t>Emerging Business</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global delivery network, which includes highly trained industry and process specialists across the United States, Latin America, South Africa, Europe and Asia (primarily India and the Philippines), is a key asset. We have operations centers in India, the United States, the United Kingdom, the Republic of Ireland, the Philippines, Bulgaria, Colombia, South Africa, Romania and the Czech Republic.</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94c2d3dd1ce14e10b7b4d9e6b8321d18_1824">
        <w:r>
          <w:rPr>
            <w:rStyle w:val="InternetLink"/>
            <w:rFonts w:ascii="Times New Roman;sans-serif" w:hAnsi="Times New Roman;sans-serif"/>
            <w:b/>
            <w:color w:val="0000FF"/>
            <w:sz w:val="20"/>
            <w:u w:val="single"/>
          </w:rPr>
          <w:t>Table of Contents</w:t>
        </w:r>
      </w:hyperlink>
    </w:p>
    <w:p>
      <w:pPr>
        <w:pStyle w:val="TextBody"/>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Revenues</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we generated revenues of $400.6 million compared to revenues of $329.2 million for the three months ended March 31, 2022, an increase of $71.4 million, or 21.7%. </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serve clients mainly in the United States and the United Kingdom, with these two regions generating 84.6% and 10.4%, respectively, of our total revenues for the three months ended March 31, 2023 and 85.8% and 10.0%, respectively, of our revenues for the three months ended March 31, 2022.</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our total revenues from our top ten clients accounted for 34.8% and 36.2% of our total revenues, respectively. Although we continue to develop relationships with new clients to diversify our client base, we believe that the loss of any of our top ten clients could have a material adverse effect on our financial performance.</w:t>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Our Business</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data analytics and digital operations and solutions to our clients. We market our services to our existing and prospective clients through our sales and client management teams, which are aligned by key industry verticals and cross-industry domains such as finance and accounting. Our sales and client management teams operate primarily from the United States, Europe and Australia.</w:t>
      </w:r>
    </w:p>
    <w:p>
      <w:pPr>
        <w:pStyle w:val="TextBody"/>
        <w:spacing w:lineRule="auto" w:line="288" w:before="180" w:after="180"/>
        <w:ind w:left="0" w:right="0" w:firstLine="450"/>
        <w:jc w:val="both"/>
        <w:rPr/>
      </w:pPr>
      <w:r>
        <w:rPr>
          <w:rFonts w:ascii="Times New Roman;sans-serif" w:hAnsi="Times New Roman;sans-serif"/>
          <w:b w:val="false"/>
          <w:i/>
          <w:color w:val="000000"/>
          <w:sz w:val="20"/>
        </w:rPr>
        <w:t>Digital Operations and Solutions:</w:t>
      </w:r>
      <w:r>
        <w:rPr>
          <w:color w:val="000000"/>
        </w:rPr>
        <w:t xml:space="preserve"> </w:t>
      </w:r>
      <w:r>
        <w:rPr>
          <w:rFonts w:ascii="Times New Roman;sans-serif" w:hAnsi="Times New Roman;sans-serif"/>
          <w:b w:val="false"/>
          <w:color w:val="000000"/>
          <w:sz w:val="20"/>
        </w:rPr>
        <w:t>We provide our clients with a range of digital operations and solutions from our Insurance, Healthcare and Emerging Business strategic business units, which are focused on solving complex industry challenges such as the insurance claims life cycle, financial transactions processing and provider and member experiences. This typically involves the use of agile delivery models to implement digital technologies and interventions like hyper-automation, customer experience transformation, advanced automation, robotics, enterprise architecture, end-to-end business function management and transformations. We either administer and manage these functions on an ongoing basis via longer-term arrangements or project work. For a portion of our digital operations and solutions,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 We also provide consulting services related to digital operations and solutions that include industry-specific digital transformational services as well as cross-industry finance and accounting services as part of the Emerging Business strategic business unit.</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our services under contracts with our clients, which typically have terms of three or more years, with some being contracts with no end dates. These contracts provide us with a relatively predictable revenue base for a substantial portion of our digital operations and solutions business. However, our clients can typically terminate these contracts with or without cause and with short notice periods. We have a long selling cycle for our services and the budget and approval processes of prospective clients make it difficult to predict the timing of entering into definitive agreements with new clients. Similarly, new license sales and implementation projects for our technology service platforms and other software-based services have a long selling cycle, however ongoing annual maintenance and support contracts for existing arrangements provide us with a relatively predictable revenue base.</w:t>
      </w:r>
    </w:p>
    <w:p>
      <w:pPr>
        <w:pStyle w:val="TextBody"/>
        <w:spacing w:lineRule="auto" w:line="276"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charge for our services using various pricing models like time-and-material pricing, full-time-equivalent pricing, transaction-based pricing, outcome-based pricing, subscription-based pricing and other alternative pricing models. Outcome-based pricing arrangements are examples of non-linear pricing models where clients link revenues from platforms and solutions and the services we provide to usage or savings rather than the efforts deployed to provide these services. We continue to observe a shift in the industry pricing models toward transaction-based pricing, outcome-based pricing and other alternative pricing models. We believe this trend will continue and we use such alternative pricing models with some of our current clients and are seeking to move certain other clients from a full-time-equivalent pricing model to a transaction-based or other alternative pricing model. These alternative pricing models place the focus on operating efficiency in order to maintain or improve our gross margins.</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observed that prospective larger clients are entering into multi-vendor relationships with regard to their digital operations and solutions needs to seek more favorable contract terms and diversification of the risk of concentration on a few vendors. We believe that the trend toward multi-vendor relationships will continue. A multi-vendor relationship allows a client to seek more favorable pricing and other contract terms from each vendor, which can result in significantly reduced gross margins from the provision of services to such client for each vendor. To the extent our large clients expand their use of multi-vendor relationships and are able to extract more favorable contract terms from other vendors, our gross margins and revenues may be reduced with regard to such clients if we are required to modify the terms of our relationships with such clients to meet competition.</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94c2d3dd1ce14e10b7b4d9e6b8321d18_1824">
        <w:r>
          <w:rPr>
            <w:rStyle w:val="InternetLink"/>
            <w:rFonts w:ascii="Times New Roman;sans-serif" w:hAnsi="Times New Roman;sans-serif"/>
            <w:b/>
            <w:color w:val="0000FF"/>
            <w:sz w:val="20"/>
            <w:u w:val="single"/>
          </w:rPr>
          <w:t>Table of Contents</w:t>
        </w:r>
      </w:hyperlink>
    </w:p>
    <w:p>
      <w:pPr>
        <w:pStyle w:val="TextBody"/>
        <w:spacing w:lineRule="auto" w:line="268" w:before="0" w:after="0"/>
        <w:ind w:left="0" w:right="0" w:firstLine="450"/>
        <w:jc w:val="both"/>
        <w:rPr/>
      </w:pPr>
      <w:r>
        <w:rPr>
          <w:rFonts w:ascii="Times New Roman;sans-serif" w:hAnsi="Times New Roman;sans-serif"/>
          <w:b w:val="false"/>
          <w:i/>
          <w:color w:val="000000"/>
          <w:sz w:val="20"/>
        </w:rPr>
        <w:t>Analytics:</w:t>
      </w:r>
      <w:r>
        <w:rPr>
          <w:color w:val="000000"/>
        </w:rPr>
        <w:t xml:space="preserve"> </w:t>
      </w:r>
      <w:r>
        <w:rPr>
          <w:rFonts w:ascii="Times New Roman;sans-serif" w:hAnsi="Times New Roman;sans-serif"/>
          <w:b w:val="false"/>
          <w:color w:val="000000"/>
          <w:sz w:val="20"/>
        </w:rPr>
        <w:t>Our analytics services aim to drive better business outcomes for our clients by unlocking deep insights from data and creating data-led solutions across all parts of our clients’ business. We provide care optimization and reimbursement optimization services, for our clients through our healthcare analytics solutions and services. We also offer integrated solutions to help our clients in cost containment by leveraging technology platforms, customizable and configurable analytics and expertise in healthcare reimbursements to help clients enhance their claim payment accuracy. Our Analytics teams deliver predictive and prescriptive analytics in the areas of customer acquisition and life cycle management, risk underwriting and pricing, operational effectiveness, credit and operational risk monitoring and governance, regulatory reporting and data management. We enhance, modernize and enrich structured and unstructured data and use a spectrum of advanced analytical tools and techniques, including our in-house AI and ML capabilities and proprietary solutions to create insights, improve decision making for our clients and address a range of complex industry-wide priorities. Our acquisition of Clairvoyant AI, Inc. in December 2021 strengthened our data analytics capabilities with additional expertise in data and product engineering, cloud enablement and managed services, further supporting our clients in the insurance, healthcare, banking and financial services and retail industries. We actively cross-sell and, where appropriate, integrate our analytics services with other digital operations and solutions as part of a comprehensive offering for our clients. Our projects-based analytics services are cyclical and can be significantly affected by variations in business cycles. In addition, our projects-based analytics services are documented in contracts with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fluctuations and uncertainties in the revenues generated from providing analytics services.</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revenues from our analytics services will grow as we expand our service offerings and client base, both organically and through acquisitions.</w:t>
      </w:r>
    </w:p>
    <w:p>
      <w:pPr>
        <w:pStyle w:val="TextBody"/>
        <w:spacing w:lineRule="auto" w:line="288" w:before="120" w:after="18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in our critical accounting policies and estimates during the three months ended March 31, 2023, as compared to the critical accounting policies and estimates referred in Part II, Item 7, “Management’s Discussion and Analysis of Financial Condition and Results of Operations” under “Critical Accounting Policies and Estimates” and Note 2 - Summary of Significant Accounting Policies to our consolidated financial statements included in our Annual Report on Form 10-K for the fiscal year ended December 31, 2022.</w:t>
      </w:r>
    </w:p>
    <w:p>
      <w:pPr>
        <w:pStyle w:val="TextBody"/>
        <w:spacing w:before="180" w:after="180"/>
        <w:ind w:left="0" w:right="0" w:firstLine="450"/>
        <w:jc w:val="both"/>
        <w:rPr/>
      </w:pPr>
      <w:r>
        <w:rPr/>
      </w:r>
    </w:p>
    <w:p>
      <w:pPr>
        <w:pStyle w:val="TextBody"/>
        <w:spacing w:before="180" w:after="180"/>
        <w:ind w:left="0" w:right="0" w:firstLine="450"/>
        <w:jc w:val="both"/>
        <w:rPr/>
      </w:pPr>
      <w:r>
        <w:rPr/>
      </w:r>
    </w:p>
    <w:p>
      <w:pPr>
        <w:pStyle w:val="TextBody"/>
        <w:spacing w:before="180" w:after="180"/>
        <w:ind w:left="0" w:right="0" w:firstLine="450"/>
        <w:jc w:val="both"/>
        <w:rPr/>
      </w:pPr>
      <w:r>
        <w:rPr/>
      </w:r>
    </w:p>
    <w:p>
      <w:pPr>
        <w:pStyle w:val="TextBody"/>
        <w:spacing w:before="180" w:after="180"/>
        <w:ind w:left="0" w:right="0" w:firstLine="450"/>
        <w:jc w:val="both"/>
        <w:rPr/>
      </w:pPr>
      <w:r>
        <w:rPr/>
      </w:r>
    </w:p>
    <w:p>
      <w:pPr>
        <w:pStyle w:val="TextBody"/>
        <w:spacing w:before="180" w:after="180"/>
        <w:ind w:left="0" w:right="0" w:firstLine="450"/>
        <w:jc w:val="both"/>
        <w:rPr/>
      </w:pPr>
      <w:r>
        <w:rPr/>
      </w:r>
    </w:p>
    <w:p>
      <w:pPr>
        <w:pStyle w:val="TextBody"/>
        <w:spacing w:before="180" w:after="180"/>
        <w:ind w:left="0" w:right="0" w:firstLine="450"/>
        <w:jc w:val="both"/>
        <w:rPr/>
      </w:pPr>
      <w:r>
        <w:rPr/>
      </w:r>
    </w:p>
    <w:p>
      <w:pPr>
        <w:pStyle w:val="TextBody"/>
        <w:spacing w:before="180" w:after="180"/>
        <w:ind w:left="0" w:right="0" w:firstLine="450"/>
        <w:jc w:val="both"/>
        <w:rPr/>
      </w:pPr>
      <w:r>
        <w:rPr/>
      </w:r>
    </w:p>
    <w:p>
      <w:pPr>
        <w:pStyle w:val="TextBody"/>
        <w:spacing w:before="180" w:after="180"/>
        <w:ind w:left="0" w:right="0" w:firstLine="450"/>
        <w:jc w:val="both"/>
        <w:rPr/>
      </w:pPr>
      <w:r>
        <w:rPr/>
      </w:r>
    </w:p>
    <w:p>
      <w:pPr>
        <w:pStyle w:val="TextBody"/>
        <w:spacing w:before="180" w:after="180"/>
        <w:ind w:left="0" w:right="0" w:firstLine="450"/>
        <w:jc w:val="both"/>
        <w:rPr/>
      </w:pPr>
      <w:r>
        <w:rPr/>
      </w:r>
    </w:p>
    <w:p>
      <w:pPr>
        <w:pStyle w:val="TextBody"/>
        <w:spacing w:before="180" w:after="180"/>
        <w:ind w:left="0" w:right="0" w:firstLine="450"/>
        <w:jc w:val="both"/>
        <w:rPr/>
      </w:pPr>
      <w:r>
        <w:rPr/>
      </w:r>
    </w:p>
    <w:p>
      <w:pPr>
        <w:pStyle w:val="TextBody"/>
        <w:spacing w:before="180" w:after="180"/>
        <w:ind w:left="0" w:right="0" w:firstLine="450"/>
        <w:jc w:val="both"/>
        <w:rPr/>
      </w:pPr>
      <w:r>
        <w:rPr/>
      </w:r>
    </w:p>
    <w:p>
      <w:pPr>
        <w:pStyle w:val="TextBody"/>
        <w:spacing w:before="180" w:after="180"/>
        <w:ind w:left="0" w:right="0" w:firstLine="450"/>
        <w:jc w:val="both"/>
        <w:rPr/>
      </w:pPr>
      <w:r>
        <w:rPr/>
      </w:r>
    </w:p>
    <w:p>
      <w:pPr>
        <w:pStyle w:val="TextBody"/>
        <w:spacing w:before="180" w:after="180"/>
        <w:jc w:val="both"/>
        <w:rPr/>
      </w:pPr>
      <w:r>
        <w:rPr/>
      </w:r>
    </w:p>
    <w:p>
      <w:pPr>
        <w:pStyle w:val="TextBody"/>
        <w:spacing w:before="180" w:after="180"/>
        <w:jc w:val="both"/>
        <w:rPr/>
      </w:pPr>
      <w:r>
        <w:rPr/>
      </w:r>
    </w:p>
    <w:p>
      <w:pPr>
        <w:pStyle w:val="TextBody"/>
        <w:spacing w:before="180" w:after="180"/>
        <w:jc w:val="both"/>
        <w:rPr/>
      </w:pPr>
      <w:r>
        <w:rPr/>
      </w:r>
    </w:p>
    <w:p>
      <w:pPr>
        <w:pStyle w:val="TextBody"/>
        <w:spacing w:before="180" w:after="180"/>
        <w:jc w:val="both"/>
        <w:rPr/>
      </w:pPr>
      <w:r>
        <w:rPr/>
      </w:r>
    </w:p>
    <w:p>
      <w:pPr>
        <w:pStyle w:val="TextBody"/>
        <w:spacing w:before="180" w:after="180"/>
        <w:jc w:val="both"/>
        <w:rPr/>
      </w:pPr>
      <w:r>
        <w:rPr/>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94c2d3dd1ce14e10b7b4d9e6b8321d18_1824">
        <w:r>
          <w:rPr>
            <w:rStyle w:val="InternetLink"/>
            <w:rFonts w:ascii="Times New Roman;sans-serif" w:hAnsi="Times New Roman;sans-serif"/>
            <w:b/>
            <w:color w:val="0000FF"/>
            <w:sz w:val="20"/>
            <w:u w:val="single"/>
          </w:rPr>
          <w:t>Table of Contents</w:t>
        </w:r>
      </w:hyperlink>
    </w:p>
    <w:p>
      <w:pPr>
        <w:pStyle w:val="TextBody"/>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6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 of operations:</w:t>
      </w:r>
    </w:p>
    <w:tbl>
      <w:tblPr>
        <w:tblW w:w="8531" w:type="dxa"/>
        <w:jc w:val="left"/>
        <w:tblInd w:w="0" w:type="dxa"/>
        <w:tblCellMar>
          <w:top w:w="28" w:type="dxa"/>
          <w:left w:w="28" w:type="dxa"/>
          <w:bottom w:w="28" w:type="dxa"/>
          <w:right w:w="28" w:type="dxa"/>
        </w:tblCellMar>
      </w:tblPr>
      <w:tblGrid>
        <w:gridCol w:w="2162"/>
        <w:gridCol w:w="1902"/>
        <w:gridCol w:w="1905"/>
        <w:gridCol w:w="241"/>
        <w:gridCol w:w="704"/>
        <w:gridCol w:w="124"/>
        <w:gridCol w:w="124"/>
        <w:gridCol w:w="124"/>
        <w:gridCol w:w="124"/>
        <w:gridCol w:w="241"/>
        <w:gridCol w:w="704"/>
        <w:gridCol w:w="176"/>
      </w:tblGrid>
      <w:tr>
        <w:trPr/>
        <w:tc>
          <w:tcPr>
            <w:tcW w:w="2162" w:type="dxa"/>
            <w:tcBorders/>
            <w:shd w:fill="auto" w:val="clear"/>
            <w:vAlign w:val="center"/>
          </w:tcPr>
          <w:p>
            <w:pPr>
              <w:pStyle w:val="TableContents"/>
              <w:spacing w:before="0" w:after="283"/>
              <w:rPr>
                <w:sz w:val="4"/>
                <w:szCs w:val="4"/>
              </w:rPr>
            </w:pPr>
            <w:r>
              <w:rPr>
                <w:sz w:val="4"/>
                <w:szCs w:val="4"/>
              </w:rPr>
            </w:r>
          </w:p>
        </w:tc>
        <w:tc>
          <w:tcPr>
            <w:tcW w:w="1902" w:type="dxa"/>
            <w:tcBorders/>
            <w:shd w:fill="auto" w:val="clear"/>
            <w:vAlign w:val="center"/>
          </w:tcPr>
          <w:p>
            <w:pPr>
              <w:pStyle w:val="TableContents"/>
              <w:spacing w:before="0" w:after="283"/>
              <w:rPr>
                <w:sz w:val="4"/>
                <w:szCs w:val="4"/>
              </w:rPr>
            </w:pPr>
            <w:r>
              <w:rPr>
                <w:sz w:val="4"/>
                <w:szCs w:val="4"/>
              </w:rPr>
            </w:r>
          </w:p>
        </w:tc>
        <w:tc>
          <w:tcPr>
            <w:tcW w:w="1905"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5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6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6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5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Cost of revenues</w:t>
            </w:r>
            <w:r>
              <w:rPr>
                <w:rFonts w:ascii="Times New Roman;sans-serif" w:hAnsi="Times New Roman;sans-serif"/>
                <w:b w:val="false"/>
                <w:color w:val="000000"/>
                <w:sz w:val="13"/>
              </w:rPr>
              <w:t>(1)</w:t>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Gross profit</w:t>
            </w:r>
            <w:r>
              <w:rPr>
                <w:rFonts w:ascii="Times New Roman;sans-serif" w:hAnsi="Times New Roman;sans-serif"/>
                <w:b/>
                <w:color w:val="000000"/>
                <w:sz w:val="13"/>
              </w:rPr>
              <w:t>(1)</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149.1</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121.7</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6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expenses</w:t>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21" w:type="dxa"/>
            <w:gridSpan w:val="3"/>
            <w:tcBorders/>
            <w:shd w:fill="auto" w:val="clear"/>
            <w:vAlign w:val="center"/>
          </w:tcPr>
          <w:p>
            <w:pPr>
              <w:pStyle w:val="TableContents"/>
              <w:spacing w:before="0" w:after="283"/>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59.4</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44.0</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w:t>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21" w:type="dxa"/>
            <w:gridSpan w:val="3"/>
            <w:tcBorders/>
            <w:shd w:fill="auto" w:val="clear"/>
            <w:vAlign w:val="center"/>
          </w:tcPr>
          <w:p>
            <w:pPr>
              <w:pStyle w:val="TableContents"/>
              <w:spacing w:before="0" w:after="283"/>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 expense and earnings from equity affiliates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59.3</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47.3</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earnings from equity affiliates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51.2</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36.1</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from equity-method investment</w:t>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ExlService Holdings, Inc. stockholders</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51.3</w:t>
            </w: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36.2</w:t>
            </w: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80"/>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(1) Exclusive of depreciation and amortization expense.</w:t>
      </w:r>
    </w:p>
    <w:p>
      <w:pPr>
        <w:pStyle w:val="TextBody"/>
        <w:spacing w:lineRule="auto" w:line="288" w:before="180" w:after="180"/>
        <w:rPr>
          <w:rFonts w:ascii="Times New Roman;sans-serif" w:hAnsi="Times New Roman;sans-serif"/>
          <w:b w:val="false"/>
          <w:i/>
          <w:color w:val="000000"/>
          <w:sz w:val="20"/>
        </w:rPr>
      </w:pPr>
      <w:r>
        <w:rPr>
          <w:rFonts w:ascii="Times New Roman;sans-serif" w:hAnsi="Times New Roman;sans-serif"/>
          <w:b w:val="false"/>
          <w:i/>
          <w:color w:val="000000"/>
          <w:sz w:val="20"/>
        </w:rPr>
        <w:t>Due to rounding, the numbers presented in the tables included in this Part I, Item 2, “Management’s Discussion and Analysis of Financial Condition and Results of Operations” may not add up precisely to the totals provided.</w:t>
      </w:r>
    </w:p>
    <w:p>
      <w:pPr>
        <w:pStyle w:val="TextBody"/>
        <w:spacing w:before="180" w:after="180"/>
        <w:ind w:left="0" w:right="0" w:hanging="90"/>
        <w:rPr/>
      </w:pPr>
      <w:r>
        <w:rPr/>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94c2d3dd1ce14e10b7b4d9e6b8321d18_1824">
        <w:r>
          <w:rPr>
            <w:rStyle w:val="InternetLink"/>
            <w:rFonts w:ascii="Times New Roman;sans-serif" w:hAnsi="Times New Roman;sans-serif"/>
            <w:b/>
            <w:color w:val="0000FF"/>
            <w:sz w:val="20"/>
            <w:u w:val="single"/>
          </w:rPr>
          <w:t>Table of Contents</w:t>
        </w:r>
      </w:hyperlink>
    </w:p>
    <w:p>
      <w:pPr>
        <w:pStyle w:val="TextBody"/>
        <w:spacing w:lineRule="auto" w:line="288" w:before="180" w:after="180"/>
        <w:rPr>
          <w:rFonts w:ascii="Times New Roman;sans-serif" w:hAnsi="Times New Roman;sans-serif"/>
          <w:b/>
          <w:i/>
          <w:color w:val="000000"/>
          <w:sz w:val="20"/>
        </w:rPr>
      </w:pPr>
      <w:r>
        <w:rPr>
          <w:rFonts w:ascii="Times New Roman;sans-serif" w:hAnsi="Times New Roman;sans-serif"/>
          <w:b/>
          <w:i/>
          <w:color w:val="000000"/>
          <w:sz w:val="20"/>
        </w:rPr>
        <w:t xml:space="preserve">Three Months Ended March 31, 2023 Compared to Three Months Ended March 31, 2022 </w:t>
      </w:r>
    </w:p>
    <w:p>
      <w:pPr>
        <w:pStyle w:val="TextBody"/>
        <w:spacing w:lineRule="auto" w:line="288" w:before="180" w:after="180"/>
        <w:ind w:left="0" w:right="0" w:firstLine="450"/>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revenues by reportable segments:</w:t>
      </w:r>
    </w:p>
    <w:tbl>
      <w:tblPr>
        <w:tblW w:w="6759" w:type="dxa"/>
        <w:jc w:val="left"/>
        <w:tblInd w:w="0" w:type="dxa"/>
        <w:tblCellMar>
          <w:top w:w="28" w:type="dxa"/>
          <w:left w:w="28" w:type="dxa"/>
          <w:bottom w:w="28" w:type="dxa"/>
          <w:right w:w="28" w:type="dxa"/>
        </w:tblCellMar>
      </w:tblPr>
      <w:tblGrid>
        <w:gridCol w:w="607"/>
        <w:gridCol w:w="534"/>
        <w:gridCol w:w="539"/>
        <w:gridCol w:w="241"/>
        <w:gridCol w:w="706"/>
        <w:gridCol w:w="124"/>
        <w:gridCol w:w="124"/>
        <w:gridCol w:w="124"/>
        <w:gridCol w:w="124"/>
        <w:gridCol w:w="241"/>
        <w:gridCol w:w="706"/>
        <w:gridCol w:w="124"/>
        <w:gridCol w:w="109"/>
        <w:gridCol w:w="109"/>
        <w:gridCol w:w="109"/>
        <w:gridCol w:w="211"/>
        <w:gridCol w:w="511"/>
        <w:gridCol w:w="109"/>
        <w:gridCol w:w="109"/>
        <w:gridCol w:w="109"/>
        <w:gridCol w:w="109"/>
        <w:gridCol w:w="255"/>
        <w:gridCol w:w="256"/>
        <w:gridCol w:w="569"/>
      </w:tblGrid>
      <w:tr>
        <w:trPr/>
        <w:tc>
          <w:tcPr>
            <w:tcW w:w="607"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1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Healthcare</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Business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Analytics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net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Revenues for the three months ended March 31, 2023 were $400.6 million, up $71.4 million, or 21.7%, compared to the three months ended March 31, 2022, driven primarily by revenue growth from our new and existing clients in the Analytics, Emerging Business and Insurance reportable segments.</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growth in Insurance of $22.6 million was primarily driven by expansion of business from our new and existing clients of $24.0 million. This was partially offset by a loss of $1.4 million mainly attributable to the depreciation of the Australian dollar, the Indian rupee and the U.K. pound sterling against the U.S. dollar during the three months ended March 31, 2023, compared to the three months ended March 31, 2022. Insurance revenues were 31.4% of our total revenues during each of the three months ended March 31, 2023 and 2022.</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growth in Healthcare of $0.5 million was primarily driven by expansion of business from our existing clients, partially offset by the ramp-downs during the three months ended March 31, 2023. Healthcare revenues were 6.7% and 7.9% of our total revenues during the three months ended March 31, 2023 and 2022, respectively.</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growth in Emerging Business of $15.5 million was primarily driven by expansion of business from our new clients and existing clients of $17.3 million. This was partially offset by a loss of $1.8 million mainly attributable to the depreciation of the U.K. pound sterling and the Indian rupee against the U.S. dollar during the three months ended March 31, 2023, compared to the three months ended March 31, 2022. Emerging Business revenues were 16.5% and 15.4% of our total revenues during the three months ended March 31, 2023 and 2022, respectively.</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growth in Analytics of $32.8 million was primarily driven by higher volumes in our annuity and project based engagements from our new and existing clients of $33.8 million. This was partially offset by a loss of $1.0 million mainly attributable to the depreciation of the U.K. pound sterling against the U.S. dollar during the three months ended March 31, 2023, compared to the three months ended March 31, 2022. Analytics revenues were 45.4% and 45.3% of our total revenues during the three months ended March 31, 2023 and 2022, respectively.</w:t>
      </w:r>
    </w:p>
    <w:p>
      <w:pPr>
        <w:pStyle w:val="TextBody"/>
        <w:spacing w:before="120" w:after="283"/>
        <w:ind w:left="0" w:right="0" w:firstLine="450"/>
        <w:jc w:val="both"/>
        <w:rPr/>
      </w:pPr>
      <w:r>
        <w:rPr/>
      </w:r>
    </w:p>
    <w:p>
      <w:pPr>
        <w:pStyle w:val="TextBody"/>
        <w:spacing w:before="180" w:after="180"/>
        <w:ind w:left="0" w:right="0" w:firstLine="630"/>
        <w:jc w:val="both"/>
        <w:rPr/>
      </w:pPr>
      <w:r>
        <w:rPr/>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94c2d3dd1ce14e10b7b4d9e6b8321d18_1824">
        <w:r>
          <w:rPr>
            <w:rStyle w:val="InternetLink"/>
            <w:rFonts w:ascii="Times New Roman;sans-serif" w:hAnsi="Times New Roman;sans-serif"/>
            <w:b/>
            <w:color w:val="0000FF"/>
            <w:sz w:val="20"/>
            <w:u w:val="single"/>
          </w:rPr>
          <w:t>Table of Contents</w:t>
        </w:r>
      </w:hyperlink>
    </w:p>
    <w:p>
      <w:pPr>
        <w:pStyle w:val="TextBody"/>
        <w:spacing w:lineRule="auto" w:line="288" w:before="180" w:after="180"/>
        <w:ind w:left="0" w:right="0" w:firstLine="495"/>
        <w:jc w:val="both"/>
        <w:rPr/>
      </w:pPr>
      <w:r>
        <w:rPr>
          <w:rFonts w:ascii="Times New Roman;sans-serif" w:hAnsi="Times New Roman;sans-serif"/>
          <w:b/>
          <w:i/>
          <w:color w:val="000000"/>
          <w:sz w:val="20"/>
        </w:rPr>
        <w:t xml:space="preserve">Cost of Revenues and Gross Margin: </w:t>
      </w:r>
      <w:r>
        <w:rPr>
          <w:rFonts w:ascii="Times New Roman;sans-serif" w:hAnsi="Times New Roman;sans-serif"/>
          <w:b w:val="false"/>
          <w:color w:val="000000"/>
          <w:sz w:val="20"/>
        </w:rPr>
        <w:t>The following table sets forth cost of revenues and gross margin of our reportable segments.</w:t>
      </w:r>
    </w:p>
    <w:tbl>
      <w:tblPr>
        <w:tblW w:w="10205" w:type="dxa"/>
        <w:jc w:val="left"/>
        <w:tblInd w:w="0" w:type="dxa"/>
        <w:tblCellMar>
          <w:top w:w="28" w:type="dxa"/>
          <w:left w:w="28" w:type="dxa"/>
          <w:bottom w:w="28" w:type="dxa"/>
          <w:right w:w="28" w:type="dxa"/>
        </w:tblCellMar>
      </w:tblPr>
      <w:tblGrid>
        <w:gridCol w:w="533"/>
        <w:gridCol w:w="469"/>
        <w:gridCol w:w="474"/>
        <w:gridCol w:w="221"/>
        <w:gridCol w:w="646"/>
        <w:gridCol w:w="113"/>
        <w:gridCol w:w="113"/>
        <w:gridCol w:w="113"/>
        <w:gridCol w:w="113"/>
        <w:gridCol w:w="221"/>
        <w:gridCol w:w="646"/>
        <w:gridCol w:w="113"/>
        <w:gridCol w:w="109"/>
        <w:gridCol w:w="109"/>
        <w:gridCol w:w="109"/>
        <w:gridCol w:w="211"/>
        <w:gridCol w:w="511"/>
        <w:gridCol w:w="109"/>
        <w:gridCol w:w="109"/>
        <w:gridCol w:w="109"/>
        <w:gridCol w:w="109"/>
        <w:gridCol w:w="255"/>
        <w:gridCol w:w="256"/>
        <w:gridCol w:w="508"/>
        <w:gridCol w:w="109"/>
        <w:gridCol w:w="109"/>
        <w:gridCol w:w="109"/>
        <w:gridCol w:w="255"/>
        <w:gridCol w:w="256"/>
        <w:gridCol w:w="424"/>
        <w:gridCol w:w="170"/>
        <w:gridCol w:w="170"/>
        <w:gridCol w:w="170"/>
        <w:gridCol w:w="255"/>
        <w:gridCol w:w="256"/>
        <w:gridCol w:w="424"/>
        <w:gridCol w:w="109"/>
        <w:gridCol w:w="109"/>
        <w:gridCol w:w="109"/>
        <w:gridCol w:w="230"/>
        <w:gridCol w:w="232"/>
        <w:gridCol w:w="430"/>
      </w:tblGrid>
      <w:tr>
        <w:trPr/>
        <w:tc>
          <w:tcPr>
            <w:tcW w:w="533"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r>
      <w:tr>
        <w:trPr/>
        <w:tc>
          <w:tcPr>
            <w:tcW w:w="14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of 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Margin</w:t>
            </w:r>
          </w:p>
        </w:tc>
      </w:tr>
      <w:tr>
        <w:trPr/>
        <w:tc>
          <w:tcPr>
            <w:tcW w:w="14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9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98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4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99"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5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4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4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4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Healthcare</w:t>
            </w:r>
          </w:p>
        </w:tc>
        <w:tc>
          <w:tcPr>
            <w:tcW w:w="8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5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4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4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4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Business</w:t>
            </w:r>
          </w:p>
        </w:tc>
        <w:tc>
          <w:tcPr>
            <w:tcW w:w="8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5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4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4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Analytics</w:t>
            </w:r>
          </w:p>
        </w:tc>
        <w:tc>
          <w:tcPr>
            <w:tcW w:w="8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5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4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4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cost of revenues was $251.5 million compared to $207.5 million for the three months ended March 31, 2022, an increase of $44.0 million, or 21.2%. Our gross margin for the three months ended March 31, 2023 was 37.2% compared to 37.0% for the three months ended March 31, 2022, an increase of 20 basis points (“bps”) primarily driven by higher revenues and expansion in margin in certain existing clients during the three months ended March 31, 2023, compared to the three months ended March 31, 2022.</w:t>
      </w:r>
    </w:p>
    <w:p>
      <w:pPr>
        <w:pStyle w:val="TextBody"/>
        <w:spacing w:lineRule="auto" w:line="26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cost of revenues in Insurance of $17.2 million for the three months ended March 31, 2023 was primarily due to increases in employee-related costs of $16.9 million on account of higher headcount and wage inflation, and higher technology costs of $2.9 million on account of increased use of the hybrid and remote working models, partially offset by foreign exchange gain, net of hedging of $2.6 million. Gross margin in Insurance decreased by 240 bps during the three months ended March 31, 2023, compared to the three months ended March 31, 2022, primarily due to lower margins associated with higher costs during ramp-ups in certain existing and new clients during the three months ended March 31, 2023, compared to the three months ended March 31, 2022.</w:t>
      </w:r>
    </w:p>
    <w:p>
      <w:pPr>
        <w:pStyle w:val="TextBody"/>
        <w:spacing w:before="0" w:after="0"/>
        <w:ind w:left="0" w:right="0" w:firstLine="450"/>
        <w:rPr/>
      </w:pPr>
      <w:r>
        <w:rPr/>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cost of revenues in Healthcare of $1.2 million for the three months ended March 31, 2023 was primarily due to increases in employee-related costs of $1.8 million on account of higher headcount and wage inflation, partially offset by foreign exchange gain, net of hedging of $0.6 million. Gross margin in Healthcare decreased by 290 bps during the three months ended March 31, 2023, compared to the three months ended March 31, 2022, primarily due to lower revenues associated with the ramp-down of certain existing clients and higher other operating costs, partially offset by foreign exchange gain, net of hedging during the three months ended March 31, 2023, compared to the three months ended March 31, 2022.</w:t>
      </w:r>
    </w:p>
    <w:p>
      <w:pPr>
        <w:pStyle w:val="TextBody"/>
        <w:spacing w:before="0" w:after="0"/>
        <w:ind w:left="0" w:right="0" w:firstLine="450"/>
        <w:rPr/>
      </w:pPr>
      <w:r>
        <w:rPr/>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cost of revenues in Emerging Business of $6.8 million for the three months ended March 31, 2023 was primarily due to increases in employee-related costs of $7.2 million on account of higher headcount and wage inflation, higher technology costs of $0.8 million on account of increased use of the hybrid and remote working models and higher other operating costs of $0.5 million, partially offset by foreign exchange gain, net of hedging of $1.7 million. Gross margin in Emerging Business increased by 320 bps during the three months ended March 31, 2023, compared to the three months ended March 31, 2022, primarily due to higher revenues and operational efficiencies during the three months ended March 31, 2023, compared to the three months ended March 31, 2022.</w:t>
      </w:r>
    </w:p>
    <w:p>
      <w:pPr>
        <w:pStyle w:val="TextBody"/>
        <w:spacing w:before="0" w:after="0"/>
        <w:ind w:left="0" w:right="0" w:firstLine="450"/>
        <w:jc w:val="both"/>
        <w:rPr/>
      </w:pPr>
      <w:r>
        <w:rPr/>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cost of revenues in Analytics of $18.8 million for the three months ended March 31, 2023 was primarily due to increases in employee-related costs of $20.9 million on account of higher headcount and wage inflation and higher other operating costs of $0.9 million, partially offset by foreign exchange gain, net of hedging of $3.0 million. Gross margin in Analytics increased by 120 bps during the three months ended March 31, 2023, compared to the three months ended March 31, 2022, primarily due to higher revenues during the three months ended March 31, 2023, compared to the three months ended March 31, 2022.</w:t>
      </w:r>
    </w:p>
    <w:p>
      <w:pPr>
        <w:pStyle w:val="TextBody"/>
        <w:spacing w:before="0" w:after="0"/>
        <w:ind w:left="0" w:right="0" w:firstLine="450"/>
        <w:jc w:val="both"/>
        <w:rPr/>
      </w:pPr>
      <w:r>
        <w:rPr/>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94c2d3dd1ce14e10b7b4d9e6b8321d18_1824">
        <w:r>
          <w:rPr>
            <w:rStyle w:val="InternetLink"/>
            <w:rFonts w:ascii="Times New Roman;sans-serif" w:hAnsi="Times New Roman;sans-serif"/>
            <w:b/>
            <w:color w:val="0000FF"/>
            <w:sz w:val="20"/>
            <w:u w:val="single"/>
          </w:rPr>
          <w:t>Table of Contents</w:t>
        </w:r>
      </w:hyperlink>
    </w:p>
    <w:p>
      <w:pPr>
        <w:pStyle w:val="TextBody"/>
        <w:spacing w:lineRule="auto" w:line="288" w:before="18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(“SG&amp;A”) Expenses.</w:t>
      </w:r>
    </w:p>
    <w:tbl>
      <w:tblPr>
        <w:tblW w:w="8653" w:type="dxa"/>
        <w:jc w:val="left"/>
        <w:tblInd w:w="0" w:type="dxa"/>
        <w:tblCellMar>
          <w:top w:w="28" w:type="dxa"/>
          <w:left w:w="28" w:type="dxa"/>
          <w:bottom w:w="28" w:type="dxa"/>
          <w:right w:w="28" w:type="dxa"/>
        </w:tblCellMar>
      </w:tblPr>
      <w:tblGrid>
        <w:gridCol w:w="1354"/>
        <w:gridCol w:w="1189"/>
        <w:gridCol w:w="1192"/>
        <w:gridCol w:w="214"/>
        <w:gridCol w:w="520"/>
        <w:gridCol w:w="276"/>
        <w:gridCol w:w="111"/>
        <w:gridCol w:w="111"/>
        <w:gridCol w:w="111"/>
        <w:gridCol w:w="214"/>
        <w:gridCol w:w="520"/>
        <w:gridCol w:w="276"/>
        <w:gridCol w:w="109"/>
        <w:gridCol w:w="109"/>
        <w:gridCol w:w="109"/>
        <w:gridCol w:w="211"/>
        <w:gridCol w:w="511"/>
        <w:gridCol w:w="109"/>
        <w:gridCol w:w="109"/>
        <w:gridCol w:w="109"/>
        <w:gridCol w:w="109"/>
        <w:gridCol w:w="255"/>
        <w:gridCol w:w="256"/>
        <w:gridCol w:w="569"/>
      </w:tblGrid>
      <w:tr>
        <w:trPr/>
        <w:tc>
          <w:tcPr>
            <w:tcW w:w="1354"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37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7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5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expenses</w:t>
            </w:r>
          </w:p>
        </w:tc>
        <w:tc>
          <w:tcPr>
            <w:tcW w:w="7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revenues</w:t>
            </w:r>
          </w:p>
        </w:tc>
        <w:tc>
          <w:tcPr>
            <w:tcW w:w="734"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2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SG&amp;A expenses of $12.1 million was primarily due to higher employee-related costs of $11.1 million on account of higher headcount and wage inflation, increase in travel costs of $1.2 million and higher other operating costs of $1.2 million. This was partially offset by foreign exchange gain, net of hedging of $1.4 million, during the three months ended March 31, 2023, compared to the three months ended March 31, 2022.</w:t>
      </w:r>
    </w:p>
    <w:p>
      <w:pPr>
        <w:pStyle w:val="TextBody"/>
        <w:spacing w:lineRule="auto" w:line="268" w:before="18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Depreciation and Amortization.</w:t>
      </w:r>
    </w:p>
    <w:tbl>
      <w:tblPr>
        <w:tblW w:w="8623" w:type="dxa"/>
        <w:jc w:val="left"/>
        <w:tblInd w:w="0" w:type="dxa"/>
        <w:tblCellMar>
          <w:top w:w="28" w:type="dxa"/>
          <w:left w:w="28" w:type="dxa"/>
          <w:bottom w:w="28" w:type="dxa"/>
          <w:right w:w="28" w:type="dxa"/>
        </w:tblCellMar>
      </w:tblPr>
      <w:tblGrid>
        <w:gridCol w:w="1195"/>
        <w:gridCol w:w="1051"/>
        <w:gridCol w:w="1054"/>
        <w:gridCol w:w="214"/>
        <w:gridCol w:w="520"/>
        <w:gridCol w:w="276"/>
        <w:gridCol w:w="111"/>
        <w:gridCol w:w="111"/>
        <w:gridCol w:w="111"/>
        <w:gridCol w:w="214"/>
        <w:gridCol w:w="520"/>
        <w:gridCol w:w="276"/>
        <w:gridCol w:w="109"/>
        <w:gridCol w:w="109"/>
        <w:gridCol w:w="109"/>
        <w:gridCol w:w="211"/>
        <w:gridCol w:w="481"/>
        <w:gridCol w:w="109"/>
        <w:gridCol w:w="109"/>
        <w:gridCol w:w="109"/>
        <w:gridCol w:w="109"/>
        <w:gridCol w:w="309"/>
        <w:gridCol w:w="309"/>
        <w:gridCol w:w="897"/>
      </w:tblGrid>
      <w:tr>
        <w:trPr/>
        <w:tc>
          <w:tcPr>
            <w:tcW w:w="1195"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change</w:t>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5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8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amortization expense</w:t>
            </w:r>
          </w:p>
        </w:tc>
        <w:tc>
          <w:tcPr>
            <w:tcW w:w="7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8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revenues</w:t>
            </w:r>
          </w:p>
        </w:tc>
        <w:tc>
          <w:tcPr>
            <w:tcW w:w="734"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depreciation expense of $0.2 million was primarily due to depreciation of $0.6 million related to our investments in digital capabilities, computers and networking equipment, partially offset by foreign exchange gain, net of hedging of $0.4 million during the three months ended March 31, 2023, compared to the three months ended March 31, 2022. The decrease in intangibles amortization expense of $0.3 million during the three months ended March 31, 2023, compared to the three months ended March 31, 2022, was primarily due to end of useful lives for certain intangible assets. </w:t>
      </w:r>
    </w:p>
    <w:p>
      <w:pPr>
        <w:pStyle w:val="TextBody"/>
        <w:spacing w:lineRule="auto" w:line="268" w:before="180" w:after="180"/>
        <w:ind w:left="0" w:right="0" w:firstLine="450"/>
        <w:jc w:val="both"/>
        <w:rPr/>
      </w:pPr>
      <w:r>
        <w:rPr>
          <w:rFonts w:ascii="Times New Roman;sans-serif" w:hAnsi="Times New Roman;sans-serif"/>
          <w:b/>
          <w:i/>
          <w:color w:val="000000"/>
          <w:sz w:val="20"/>
        </w:rPr>
        <w:t>Income from Operations.</w:t>
      </w:r>
      <w:r>
        <w:rPr>
          <w:color w:val="000000"/>
        </w:rPr>
        <w:t xml:space="preserve"> </w:t>
      </w:r>
      <w:r>
        <w:rPr>
          <w:rFonts w:ascii="Times New Roman;sans-serif" w:hAnsi="Times New Roman;sans-serif"/>
          <w:b w:val="false"/>
          <w:color w:val="000000"/>
          <w:sz w:val="20"/>
        </w:rPr>
        <w:t>Income from operations increased by $15.4 million, or 35.2%, from $44.0 million for the three months ended March 31, 2022 to $59.4 million for the three months ended March 31, 2023, primarily due to higher revenues, partially offset by higher cost of revenues and higher SG&amp;A expenses during the three months ended March 31, 2023. As a percentage of revenues, income from operations increased from 13.4% for the three months ended March 31, 2022 to 14.8% for the three months ended March 31, 2023.</w:t>
      </w:r>
    </w:p>
    <w:p>
      <w:pPr>
        <w:pStyle w:val="TextBody"/>
        <w:spacing w:lineRule="auto" w:line="288" w:before="0" w:after="0"/>
        <w:ind w:left="0" w:right="0" w:firstLine="450"/>
        <w:jc w:val="both"/>
        <w:rPr/>
      </w:pPr>
      <w:r>
        <w:rPr>
          <w:rFonts w:ascii="Times New Roman;sans-serif" w:hAnsi="Times New Roman;sans-serif"/>
          <w:b/>
          <w:i/>
          <w:color w:val="000000"/>
          <w:sz w:val="20"/>
        </w:rPr>
        <w:t>Foreign Exchange Gain, net.</w:t>
      </w:r>
      <w:r>
        <w:rPr>
          <w:color w:val="000000"/>
        </w:rPr>
        <w:t xml:space="preserve"> </w:t>
      </w:r>
      <w:r>
        <w:rPr>
          <w:rFonts w:ascii="Times New Roman;sans-serif" w:hAnsi="Times New Roman;sans-serif"/>
          <w:b w:val="false"/>
          <w:color w:val="000000"/>
          <w:sz w:val="20"/>
        </w:rPr>
        <w:t>Foreign exchange gains and losses are primarily attributable to the movement of the U.S. dollar against the Indian rupee, the Philippine peso, the U.K. pound sterling and the South African ZAR during the three months ended March 31, 2023, compared to the three months ended March 31, 2022. The average exchange rate of the U.S. dollar against the Indian rupee increased from 75.25 during the three months ended March 31, 2022 to 82.25 during the three months ended March 31, 2023. The average exchange rate of the U.S. dollar against the Philippine peso increased from 51.32 during the three months ended March 31, 2022 to 54.78 during the three months ended March 31, 2023. The average exchange rate of the U.K. pound sterling against the U.S. dollar decreased from 1.33 during the three months ended March 31, 2022 to 1.23 during the three months ended March 31, 2023. The average exchange rate of the U.S. dollar against the South African ZAR increased from 15.15 during the three months ended March 31, 2022 to 17.90 during the three months ended March 31, 2023.</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 foreign exchange gain, net of $0.1 million for the three months ended March 31, 2023 compared to a foreign exchange gain, net of $1.8 million for the three months ended March 31, 2022.</w:t>
      </w:r>
    </w:p>
    <w:p>
      <w:pPr>
        <w:pStyle w:val="TextBody"/>
        <w:spacing w:lineRule="auto" w:line="268" w:before="0" w:after="0"/>
        <w:ind w:left="0" w:right="0" w:firstLine="450"/>
        <w:jc w:val="both"/>
        <w:rPr/>
      </w:pPr>
      <w:r>
        <w:rPr>
          <w:rFonts w:ascii="Times New Roman;sans-serif" w:hAnsi="Times New Roman;sans-serif"/>
          <w:b/>
          <w:i/>
          <w:color w:val="000000"/>
          <w:sz w:val="20"/>
        </w:rPr>
        <w:t>Interest expense</w:t>
      </w:r>
      <w:r>
        <w:rPr>
          <w:rFonts w:ascii="Times New Roman;sans-serif" w:hAnsi="Times New Roman;sans-serif"/>
          <w:b w:val="false"/>
          <w:color w:val="000000"/>
          <w:sz w:val="20"/>
        </w:rPr>
        <w:t>. Interest expense increased from $0.9 million for the three months ended March 31, 2022 to $3.4 million for the three months ended March 31, 2023, primarily due to a higher effective interest rate of 5.9% during the three months ended March 31, 2023, compared to 1.3% during the three months ended March 31, 2022, partially offset by a lower average outstanding balance under our revolving credit facility during the three months ended March 31, 2023, compared to the three months ended March 31, 2022.</w:t>
      </w:r>
    </w:p>
    <w:p>
      <w:pPr>
        <w:pStyle w:val="TextBody"/>
        <w:spacing w:before="180" w:after="180"/>
        <w:ind w:left="0" w:right="0" w:firstLine="450"/>
        <w:jc w:val="both"/>
        <w:rPr/>
      </w:pPr>
      <w:r>
        <w:rPr/>
      </w:r>
    </w:p>
    <w:p>
      <w:pPr>
        <w:pStyle w:val="TextBody"/>
        <w:spacing w:before="180" w:after="18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94c2d3dd1ce14e10b7b4d9e6b8321d18_1824">
        <w:r>
          <w:rPr>
            <w:rStyle w:val="InternetLink"/>
            <w:rFonts w:ascii="Times New Roman;sans-serif" w:hAnsi="Times New Roman;sans-serif"/>
            <w:b/>
            <w:color w:val="0000FF"/>
            <w:sz w:val="20"/>
            <w:u w:val="single"/>
          </w:rPr>
          <w:t>Table of Contents</w:t>
        </w:r>
      </w:hyperlink>
    </w:p>
    <w:p>
      <w:pPr>
        <w:pStyle w:val="TextBody"/>
        <w:spacing w:lineRule="auto" w:line="288" w:before="18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Other Income, net.</w:t>
      </w:r>
    </w:p>
    <w:tbl>
      <w:tblPr>
        <w:tblW w:w="8847" w:type="dxa"/>
        <w:jc w:val="left"/>
        <w:tblInd w:w="0" w:type="dxa"/>
        <w:tblCellMar>
          <w:top w:w="28" w:type="dxa"/>
          <w:left w:w="28" w:type="dxa"/>
          <w:bottom w:w="28" w:type="dxa"/>
          <w:right w:w="28" w:type="dxa"/>
        </w:tblCellMar>
      </w:tblPr>
      <w:tblGrid>
        <w:gridCol w:w="1462"/>
        <w:gridCol w:w="1285"/>
        <w:gridCol w:w="1288"/>
        <w:gridCol w:w="279"/>
        <w:gridCol w:w="537"/>
        <w:gridCol w:w="144"/>
        <w:gridCol w:w="144"/>
        <w:gridCol w:w="144"/>
        <w:gridCol w:w="144"/>
        <w:gridCol w:w="279"/>
        <w:gridCol w:w="537"/>
        <w:gridCol w:w="144"/>
        <w:gridCol w:w="109"/>
        <w:gridCol w:w="109"/>
        <w:gridCol w:w="109"/>
        <w:gridCol w:w="211"/>
        <w:gridCol w:w="406"/>
        <w:gridCol w:w="109"/>
        <w:gridCol w:w="109"/>
        <w:gridCol w:w="109"/>
        <w:gridCol w:w="109"/>
        <w:gridCol w:w="255"/>
        <w:gridCol w:w="256"/>
        <w:gridCol w:w="569"/>
      </w:tblGrid>
      <w:tr>
        <w:trPr/>
        <w:tc>
          <w:tcPr>
            <w:tcW w:w="1462"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r>
      <w:tr>
        <w:trPr/>
        <w:tc>
          <w:tcPr>
            <w:tcW w:w="40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5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40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0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5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4035"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432"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and mark-to-market on investments</w:t>
            </w:r>
          </w:p>
        </w:tc>
        <w:tc>
          <w:tcPr>
            <w:tcW w:w="27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dividend income</w:t>
            </w:r>
          </w:p>
        </w:tc>
        <w:tc>
          <w:tcPr>
            <w:tcW w:w="8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 net</w:t>
            </w:r>
          </w:p>
        </w:tc>
        <w:tc>
          <w:tcPr>
            <w:tcW w:w="8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increased by $0.8 million, from $2.4 million for the three months ended March 31, 2022 to $3.2 million for the three months ended March 31, 2023. The increase is primarily due to higher return on mutual fund investments of $0.5 million and higher interest income on our short-term and long-term investments of $0.9 million during the three months ended March 31, 2023, compared to the three months ended March 31, 2022. This was partially offset by interest on income tax refunds of $0.7 million received during the three months ended March 31, 2022.</w:t>
      </w:r>
    </w:p>
    <w:p>
      <w:pPr>
        <w:pStyle w:val="TextBody"/>
        <w:spacing w:lineRule="auto" w:line="288" w:before="180" w:after="180"/>
        <w:ind w:left="0" w:right="0" w:firstLine="450"/>
        <w:jc w:val="both"/>
        <w:rPr/>
      </w:pPr>
      <w:r>
        <w:rPr>
          <w:rFonts w:ascii="Times New Roman;sans-serif" w:hAnsi="Times New Roman;sans-serif"/>
          <w:b/>
          <w:i/>
          <w:color w:val="000000"/>
          <w:sz w:val="20"/>
        </w:rPr>
        <w:t>Income Tax Expense</w:t>
      </w:r>
      <w:r>
        <w:rPr>
          <w:rFonts w:ascii="Times New Roman;sans-serif" w:hAnsi="Times New Roman;sans-serif"/>
          <w:b w:val="false"/>
          <w:color w:val="000000"/>
          <w:sz w:val="20"/>
        </w:rPr>
        <w:t>. The effective tax rate decreased from 23.7% during the three months ended March 31, 2022 to 13.6% during the three months ended March 31, 2023. We recorded income tax expense of $8.1 million and $11.2 million for the three months ended March 31, 2023 and 2022, respectively. The decrease in income tax expense was primarily as a result of higher excess tax benefits related to stock-based compensation during the three months ended March 31, 2023, compared to the three months ended March 31, 2022, partially offset by an increase in income tax expense on higher profit and an increase in non-deductible expense during the three months ended March 31, 2023.</w:t>
      </w:r>
    </w:p>
    <w:p>
      <w:pPr>
        <w:pStyle w:val="TextBody"/>
        <w:spacing w:lineRule="auto" w:line="268" w:before="180" w:after="180"/>
        <w:ind w:left="0" w:right="0" w:firstLine="450"/>
        <w:jc w:val="both"/>
        <w:rPr/>
      </w:pPr>
      <w:r>
        <w:rPr>
          <w:rFonts w:ascii="Times New Roman;sans-serif" w:hAnsi="Times New Roman;sans-serif"/>
          <w:b/>
          <w:i/>
          <w:color w:val="000000"/>
          <w:sz w:val="20"/>
        </w:rPr>
        <w:t>Net Income</w:t>
      </w:r>
      <w:r>
        <w:rPr>
          <w:rFonts w:ascii="Times New Roman;sans-serif" w:hAnsi="Times New Roman;sans-serif"/>
          <w:b w:val="false"/>
          <w:color w:val="000000"/>
          <w:sz w:val="20"/>
        </w:rPr>
        <w:t>. Net income increased from $36.2 million for the three months ended March 31, 2022 to $51.3 million for the three months ended March 31, 2023, primarily due to an increase in income from operations of $15.4 million, lower income tax expense of $3.1 million and higher other income, net of $0.8 million, partially offset by higher interest expense of $2.5 million and lower foreign exchange gain, net of $1.7 million. As a percentage of revenues, net income increased from 11.0% during the three months ended March 31, 2022 to 12.8% during the three months ended March 31, 2023.</w:t>
      </w:r>
    </w:p>
    <w:p>
      <w:pPr>
        <w:pStyle w:val="TextBody"/>
        <w:spacing w:before="180" w:after="180"/>
        <w:ind w:left="0" w:right="0" w:firstLine="450"/>
        <w:jc w:val="both"/>
        <w:rPr/>
      </w:pPr>
      <w:r>
        <w:rPr/>
      </w:r>
    </w:p>
    <w:p>
      <w:pPr>
        <w:pStyle w:val="TextBody"/>
        <w:spacing w:before="180" w:after="18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94c2d3dd1ce14e10b7b4d9e6b8321d18_1824">
        <w:r>
          <w:rPr>
            <w:rStyle w:val="InternetLink"/>
            <w:rFonts w:ascii="Times New Roman;sans-serif" w:hAnsi="Times New Roman;sans-serif"/>
            <w:b/>
            <w:color w:val="0000FF"/>
            <w:sz w:val="20"/>
            <w:u w:val="single"/>
          </w:rPr>
          <w:t>Table of Contents</w:t>
        </w:r>
      </w:hyperlink>
    </w:p>
    <w:p>
      <w:pPr>
        <w:pStyle w:val="TextBody"/>
        <w:spacing w:lineRule="auto" w:line="288" w:before="180" w:after="180"/>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Liquidity and Capital Resources</w:t>
      </w:r>
    </w:p>
    <w:tbl>
      <w:tblPr>
        <w:tblW w:w="6685" w:type="dxa"/>
        <w:jc w:val="left"/>
        <w:tblInd w:w="0" w:type="dxa"/>
        <w:tblCellMar>
          <w:top w:w="28" w:type="dxa"/>
          <w:left w:w="28" w:type="dxa"/>
          <w:bottom w:w="28" w:type="dxa"/>
          <w:right w:w="28" w:type="dxa"/>
        </w:tblCellMar>
      </w:tblPr>
      <w:tblGrid>
        <w:gridCol w:w="1553"/>
        <w:gridCol w:w="1364"/>
        <w:gridCol w:w="1372"/>
        <w:gridCol w:w="225"/>
        <w:gridCol w:w="659"/>
        <w:gridCol w:w="116"/>
        <w:gridCol w:w="116"/>
        <w:gridCol w:w="116"/>
        <w:gridCol w:w="116"/>
        <w:gridCol w:w="225"/>
        <w:gridCol w:w="659"/>
        <w:gridCol w:w="164"/>
      </w:tblGrid>
      <w:tr>
        <w:trPr/>
        <w:tc>
          <w:tcPr>
            <w:tcW w:w="1553" w:type="dxa"/>
            <w:tcBorders/>
            <w:shd w:fill="auto" w:val="clear"/>
            <w:vAlign w:val="center"/>
          </w:tcPr>
          <w:p>
            <w:pPr>
              <w:pStyle w:val="TableContents"/>
              <w:spacing w:before="0" w:after="283"/>
              <w:rPr>
                <w:sz w:val="4"/>
                <w:szCs w:val="4"/>
              </w:rPr>
            </w:pPr>
            <w:r>
              <w:rPr>
                <w:sz w:val="4"/>
                <w:szCs w:val="4"/>
              </w:rPr>
            </w:r>
          </w:p>
        </w:tc>
        <w:tc>
          <w:tcPr>
            <w:tcW w:w="1364"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9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9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4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Opening cash, cash equivalents and restricted cash</w:t>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by/(used for) operating activities</w:t>
            </w:r>
          </w:p>
        </w:tc>
        <w:tc>
          <w:tcPr>
            <w:tcW w:w="8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by/(used for) investing activities</w:t>
            </w:r>
          </w:p>
        </w:tc>
        <w:tc>
          <w:tcPr>
            <w:tcW w:w="8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for)/provided by financing activities</w:t>
            </w:r>
          </w:p>
        </w:tc>
        <w:tc>
          <w:tcPr>
            <w:tcW w:w="8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w:t>
            </w:r>
          </w:p>
        </w:tc>
        <w:tc>
          <w:tcPr>
            <w:tcW w:w="8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Closing cash, cash equivalents and restricted cash</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2022, we had $203.8 million and $269.9 million, respectively, in cash, cash equivalents and short-term investments, of which $177.5 million and $233.3 million, respectively, is located in foreign jurisdictions that upon distribution may be subject to withholding and other taxes. We periodically evaluate opportunities to distribute cash among our group entities to fund our operations, expand our business and make strategic acquisitions in the United States and other geographies, and as and when we decide to distribute, we may have to accrue additional taxes in accordance with local tax laws, rules and regulations in the relevant foreign jurisdictions. During the three months ended March 31, 2023, our subsidiaries in India, U.K. and Australia repatriated $76.0 million (net of $4.0 million withholding taxes), $15.6 million and $9.1 million, respectively, to the United States. These distributions do not constitute a change in our permanent reinvestment assertion.</w:t>
      </w:r>
    </w:p>
    <w:p>
      <w:pPr>
        <w:pStyle w:val="TextBody"/>
        <w:spacing w:lineRule="auto" w:line="288" w:before="18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$16.0 million during the three months ended March 31, 2023 compared to net cash used for operating activities of $26.9 million during the three months ended March 31, 2022, reflecting higher cash earnings and efficiencies in management of working capital. The major drivers contributing to the increase of $42.9 million year-over-year included the following:</w:t>
      </w:r>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Increase in cash earnings including adjustments for non-cash and other items contributed higher cash flow of $22.8 million during the three months ended March 31, 2023 compared to the three months ended March 31, 2022. These adjustments comprise of deferred tax effects, depreciation and amortization of long-lived assets and intangibles acquired in business combinations, share-based employee compensation, unrealized foreign currency exchange gain/(loss), unrealized gain/(loss) on investments, among others.</w:t>
      </w:r>
    </w:p>
    <w:p>
      <w:pPr>
        <w:pStyle w:val="TextBody"/>
        <w:spacing w:lineRule="auto" w:line="288" w:before="180" w:after="180"/>
        <w:ind w:left="0" w:right="0" w:hanging="360"/>
        <w:jc w:val="both"/>
        <w:rPr/>
      </w:pPr>
      <w:r>
        <w:rPr>
          <w:color w:val="000000"/>
        </w:rPr>
        <w:t>•</w:t>
      </w:r>
      <w:r>
        <w:rPr>
          <w:rFonts w:ascii="Times New Roman;sans-serif" w:hAnsi="Times New Roman;sans-serif"/>
          <w:b w:val="false"/>
          <w:color w:val="000000"/>
          <w:sz w:val="20"/>
        </w:rPr>
        <w:t>Changes in accounts receivable, including unbilled receivable and deferred revenue, contributed to a higher cash flow of $13.5 million during the three months ended March 31, 2023 compared to the three months ended March 31, 2022. Changes in accounts receivable was driven by revenue growth. Days sales outstanding was 65 days as of March 31, 2023 compared to 64 days as of March 31, 2022.</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Decrease in employee-related and other payments, partially offset by increase in other current assets contributed to a higher cash flow of $6.4 million during the three months ended March 31, 2023 compared to the three months ended March 31, 2022.</w:t>
      </w:r>
    </w:p>
    <w:p>
      <w:pPr>
        <w:pStyle w:val="TextBody"/>
        <w:spacing w:before="0" w:after="0"/>
        <w:jc w:val="both"/>
        <w:rPr/>
      </w:pPr>
      <w:r>
        <w:rPr/>
      </w:r>
    </w:p>
    <w:p>
      <w:pPr>
        <w:pStyle w:val="TextBody"/>
        <w:spacing w:lineRule="auto" w:line="268" w:before="0" w:after="0"/>
        <w:ind w:left="0" w:right="0" w:firstLine="450"/>
        <w:jc w:val="both"/>
        <w:rPr/>
      </w:pPr>
      <w:r>
        <w:rPr>
          <w:rFonts w:ascii="Times New Roman;sans-serif" w:hAnsi="Times New Roman;sans-serif"/>
          <w:b w:val="false"/>
          <w:i/>
          <w:color w:val="000000"/>
          <w:sz w:val="20"/>
        </w:rPr>
        <w:t>Investing Activities:</w:t>
      </w:r>
      <w:r>
        <w:rPr>
          <w:color w:val="000000"/>
        </w:rPr>
        <w:t xml:space="preserve"> </w:t>
      </w:r>
      <w:r>
        <w:rPr>
          <w:rFonts w:ascii="Times New Roman;sans-serif" w:hAnsi="Times New Roman;sans-serif"/>
          <w:b w:val="false"/>
          <w:color w:val="000000"/>
          <w:sz w:val="20"/>
        </w:rPr>
        <w:t>Cash provided by investing activities were $43.3 million for the three months ended March 31, 2023 as compared to cash used for investing activities of $4.7 million for the three months ended March 31, 2022. The increase of $48.0 million was primarily due to higher net redemption of investments of $55.3 million during the three months ended March 31, 2023 as compared to net redemption of investments of $12.7 million during the three months ended March 31, 2022, lower cash paid for purchase of long-lived assets, including investments in infrastructure, technology assets, software and product developments of $4.1 million during the three months ended March 31, 2023 compared to the three months ended March 31, 2022, and payment of a portion of purchase consideration for our business acquisition of $1.4 million, during the three months ended March 31, 2022.</w:t>
      </w:r>
    </w:p>
    <w:p>
      <w:pPr>
        <w:pStyle w:val="TextBody"/>
        <w:spacing w:before="0" w:after="0"/>
        <w:ind w:left="0" w:right="0" w:firstLine="450"/>
        <w:jc w:val="both"/>
        <w:rPr/>
      </w:pPr>
      <w:r>
        <w:rPr/>
      </w:r>
    </w:p>
    <w:p>
      <w:pPr>
        <w:pStyle w:val="TextBody"/>
        <w:spacing w:lineRule="auto" w:line="268" w:before="0" w:after="0"/>
        <w:ind w:left="0" w:right="0" w:firstLine="450"/>
        <w:jc w:val="both"/>
        <w:rPr/>
      </w:pPr>
      <w:r>
        <w:rPr>
          <w:rFonts w:ascii="Times New Roman;sans-serif" w:hAnsi="Times New Roman;sans-serif"/>
          <w:b w:val="false"/>
          <w:i/>
          <w:color w:val="000000"/>
          <w:sz w:val="20"/>
        </w:rPr>
        <w:t>Financing Activities:</w:t>
      </w:r>
      <w:r>
        <w:rPr>
          <w:color w:val="000000"/>
        </w:rPr>
        <w:t xml:space="preserve"> </w:t>
      </w:r>
      <w:r>
        <w:rPr>
          <w:rFonts w:ascii="Times New Roman;sans-serif" w:hAnsi="Times New Roman;sans-serif"/>
          <w:b w:val="false"/>
          <w:color w:val="000000"/>
          <w:sz w:val="20"/>
        </w:rPr>
        <w:t>Cash used for financing activities were $91.3 million during the three months ended March 31, 2023 as compared to cash provided by financing activities of $3.6 million during the three months ended March 31, 2022. The decrease of $94.9 million was primarily due to net repayment of $50.0 million under our revolving credit facility during the three months ended March 31, 2023 as compared to net proceeds of $35.0 million during the three months ended March 31, 2022 and higher purchases of treasury stock of $11.0 million under our share repurchase program during the three months ended March 31, 2023 as compared to the three months ended March 31, 2022.</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94c2d3dd1ce14e10b7b4d9e6b8321d18_1824">
        <w:r>
          <w:rPr>
            <w:rStyle w:val="InternetLink"/>
            <w:rFonts w:ascii="Times New Roman;sans-serif" w:hAnsi="Times New Roman;sans-serif"/>
            <w:b/>
            <w:color w:val="0000FF"/>
            <w:sz w:val="20"/>
            <w:u w:val="single"/>
          </w:rPr>
          <w:t>Table of Contents</w:t>
        </w:r>
      </w:hyperlink>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use cash from operating activities to maintain and expand our business by making investments, primarily related to building new digital capabilities and purchase telecommunications equipment and computer hardware and software in connection with managing client operations.</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incurred $12.5 million of capital expenditures during the three months ended March 31, 2023. We expect to incur total capital expenditures of between $47.0 million to $52.0 million in 2023, primarily to meet our growth requirements, including additions to our facilities as well as investments in technology applications, product development, digital technology, advanced automation, robotics and infrastructure.</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any tax assessment orders that have been issued, or may be issued against us or our subsidiaries, we may be required to deposit additional amounts with the relevant authorities with respect to such assessment orders (see Note 25 - Commitments and Contingencies to our unaudited consolidated financial statements herein for further details).</w:t>
      </w:r>
    </w:p>
    <w:p>
      <w:pPr>
        <w:pStyle w:val="TextBody"/>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existing cash, cash equivalents and short-term investments and sources of liquidity will be sufficient to satisfy our cash requirements over the next 12 months. Our future cash requirements will depend on many factors, including our rate of revenue growth, our investments in strategic initiatives, applications or technologies, operation centers and acquisition of complementary businesses, continued purchases under our board-authorized stock repurchase program, which may require the use of significant cash resources and/or additional financing. We anticipate that we will continue to rely upon cash from operating activities to finance most of our above mentioned requirements, although if we have significant growth through acquisitions, we may need to obtain additional financing. </w:t>
      </w:r>
    </w:p>
    <w:p>
      <w:pPr>
        <w:pStyle w:val="TextBody"/>
        <w:spacing w:before="0" w:after="0"/>
        <w:ind w:left="0" w:right="0" w:firstLine="495"/>
        <w:jc w:val="both"/>
        <w:rPr/>
      </w:pPr>
      <w:r>
        <w:rPr/>
      </w:r>
    </w:p>
    <w:p>
      <w:pPr>
        <w:pStyle w:val="TextBody"/>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deposits in federally insured financial institutions in excess of federally insured limits, however these deposits are diversified with no significant concentration with a particular financial institution. While we have not experienced any losses while operating with such financial institutions, the recent failure of Silicon Valley Bank and Signature Bank may expose us in general to credit risk in the event of any potential default by the financial institutions holding our cash and cash equivalents to the extent recorded in the unaudited consolidated balance sheets.</w:t>
      </w:r>
    </w:p>
    <w:p>
      <w:pPr>
        <w:pStyle w:val="TextBody"/>
        <w:spacing w:before="0" w:after="0"/>
        <w:ind w:left="0" w:right="0" w:firstLine="495"/>
        <w:jc w:val="both"/>
        <w:rPr/>
      </w:pPr>
      <w:r>
        <w:rPr/>
      </w:r>
    </w:p>
    <w:p>
      <w:pPr>
        <w:pStyle w:val="TextBody"/>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enter into contracts and commitments that obligate us to make payments in the future. These obligations include borrowings, including interest obligations, purchase commitments, operating and finance lease commitments, employee benefit payments under gratuity plans and uncertain tax positions. See Note 18- Borrowings, Note 21- Leases and Note 25- Commitments and Contingencies to our unaudited consolidated financial statements herein for further information on material cash requirements from known contractual and other obligations.</w:t>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provide standby letters of credit to third parties primarily for facility leases. As of March 31, 2023 and December 31, 2022, we had outstanding letters of credit of $0.5 million, each, that were not recognized in our consolidated balance sheets. These are unlikely to have, a current or future material effect on our financial condition, revenues or expenses, results of operations, liquidity, capital expenditures or capital resources. We had no other off-balance sheet arrangements or obligations.</w:t>
      </w:r>
    </w:p>
    <w:p>
      <w:pPr>
        <w:pStyle w:val="TextBody"/>
        <w:spacing w:lineRule="auto" w:line="288" w:before="180" w:after="180"/>
        <w:rPr>
          <w:rFonts w:ascii="Times New Roman;sans-serif" w:hAnsi="Times New Roman;sans-serif"/>
          <w:b/>
          <w:i/>
          <w:color w:val="000000"/>
          <w:sz w:val="20"/>
        </w:rPr>
      </w:pPr>
      <w:r>
        <w:rPr>
          <w:rFonts w:ascii="Times New Roman;sans-serif" w:hAnsi="Times New Roman;sans-serif"/>
          <w:b/>
          <w:i/>
          <w:color w:val="000000"/>
          <w:sz w:val="20"/>
        </w:rPr>
        <w:t>Financing Arrangements (Debt Facility)</w:t>
      </w:r>
    </w:p>
    <w:p>
      <w:pPr>
        <w:pStyle w:val="TextBody"/>
        <w:spacing w:lineRule="auto" w:line="417"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debt position:</w:t>
      </w:r>
    </w:p>
    <w:tbl>
      <w:tblPr>
        <w:tblW w:w="7687" w:type="dxa"/>
        <w:jc w:val="left"/>
        <w:tblInd w:w="0" w:type="dxa"/>
        <w:tblCellMar>
          <w:top w:w="28" w:type="dxa"/>
          <w:left w:w="28" w:type="dxa"/>
          <w:bottom w:w="28" w:type="dxa"/>
          <w:right w:w="28" w:type="dxa"/>
        </w:tblCellMar>
      </w:tblPr>
      <w:tblGrid>
        <w:gridCol w:w="1227"/>
        <w:gridCol w:w="1080"/>
        <w:gridCol w:w="1083"/>
        <w:gridCol w:w="109"/>
        <w:gridCol w:w="109"/>
        <w:gridCol w:w="109"/>
        <w:gridCol w:w="372"/>
        <w:gridCol w:w="1115"/>
        <w:gridCol w:w="192"/>
        <w:gridCol w:w="109"/>
        <w:gridCol w:w="109"/>
        <w:gridCol w:w="109"/>
        <w:gridCol w:w="416"/>
        <w:gridCol w:w="1245"/>
        <w:gridCol w:w="303"/>
      </w:tblGrid>
      <w:tr>
        <w:trPr/>
        <w:tc>
          <w:tcPr>
            <w:tcW w:w="1227"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79" w:type="dxa"/>
            <w:gridSpan w:val="3"/>
            <w:tcBorders/>
            <w:shd w:fill="auto" w:val="clear"/>
            <w:vAlign w:val="center"/>
          </w:tcPr>
          <w:p>
            <w:pPr>
              <w:pStyle w:val="TableContents"/>
              <w:spacing w:before="0" w:after="283"/>
              <w:rPr>
                <w:sz w:val="4"/>
                <w:szCs w:val="4"/>
              </w:rPr>
            </w:pPr>
            <w:r>
              <w:rPr>
                <w:sz w:val="4"/>
                <w:szCs w:val="4"/>
              </w:rPr>
            </w:r>
          </w:p>
        </w:tc>
        <w:tc>
          <w:tcPr>
            <w:tcW w:w="2291" w:type="dxa"/>
            <w:gridSpan w:val="6"/>
            <w:tcBorders/>
            <w:shd w:fill="auto" w:val="clea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3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0" w:type="dxa"/>
            <w:gridSpan w:val="9"/>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(dollars in millions)</w:t>
            </w:r>
          </w:p>
        </w:tc>
      </w:tr>
      <w:tr>
        <w:trPr/>
        <w:tc>
          <w:tcPr>
            <w:tcW w:w="3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0"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199" w:before="0" w:after="283"/>
              <w:jc w:val="center"/>
              <w:rPr>
                <w:rFonts w:ascii="Times New Roman;sans-serif" w:hAnsi="Times New Roman;sans-serif"/>
                <w:b/>
                <w:color w:val="000000"/>
                <w:sz w:val="16"/>
              </w:rPr>
            </w:pPr>
            <w:r>
              <w:rPr>
                <w:rFonts w:ascii="Times New Roman;sans-serif" w:hAnsi="Times New Roman;sans-serif"/>
                <w:b/>
                <w:color w:val="000000"/>
                <w:sz w:val="16"/>
              </w:rPr>
              <w:t>Revolving credit facility</w:t>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borrowings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3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borrowings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199"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1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199" w:before="0" w:after="283"/>
              <w:jc w:val="right"/>
              <w:rPr/>
            </w:pPr>
            <w:r>
              <w:rPr>
                <w:rFonts w:ascii="Times New Roman;sans-serif" w:hAnsi="Times New Roman;sans-serif"/>
                <w:b/>
                <w:color w:val="000000"/>
                <w:sz w:val="20"/>
              </w:rPr>
              <w:t>200.0</w:t>
            </w:r>
            <w:r>
              <w:rPr>
                <w:color w:val="000000"/>
              </w:rPr>
              <w:t> </w:t>
            </w:r>
          </w:p>
        </w:tc>
        <w:tc>
          <w:tcPr>
            <w:tcW w:w="19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199"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199" w:before="0" w:after="283"/>
              <w:jc w:val="right"/>
              <w:rPr/>
            </w:pPr>
            <w:r>
              <w:rPr>
                <w:rFonts w:ascii="Times New Roman;sans-serif" w:hAnsi="Times New Roman;sans-serif"/>
                <w:b/>
                <w:color w:val="000000"/>
                <w:sz w:val="20"/>
              </w:rPr>
              <w:t>250.0</w:t>
            </w:r>
            <w:r>
              <w:rPr>
                <w:color w:val="000000"/>
              </w:rPr>
              <w:t> </w:t>
            </w:r>
          </w:p>
        </w:tc>
        <w:tc>
          <w:tcPr>
            <w:tcW w:w="30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Unamortized debt issuance costs for our revolving credit facility of $1.1 million and $1.2 million as of March 31, 2023 and December 31, 2022, respectively, are presented under “Other current assets” and “Other assets,” as applicable in our consolidated balance sheets.</w:t>
      </w:r>
    </w:p>
    <w:p>
      <w:pPr>
        <w:pStyle w:val="TextBody"/>
        <w:spacing w:lineRule="auto" w:line="288" w:before="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Note 18 - Borrowings to our unaudited consolidated financial statements herein for further details.</w:t>
      </w:r>
    </w:p>
    <w:p>
      <w:pPr>
        <w:pStyle w:val="TextBody"/>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a description of recent accounting pronouncements, see Note 2 - Summary of Significant Accounting Policies - Recent Accounting Pronouncements to our unaudited consolidated financial statements contained herein.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94c2d3dd1ce14e10b7b4d9e6b8321d18_1824">
        <w:r>
          <w:rPr>
            <w:rStyle w:val="InternetLink"/>
            <w:rFonts w:ascii="Times New Roman;sans-serif" w:hAnsi="Times New Roman;sans-serif"/>
            <w:b/>
            <w:color w:val="0000FF"/>
            <w:sz w:val="20"/>
            <w:u w:val="single"/>
          </w:rPr>
          <w:t>Table of Contents</w:t>
        </w:r>
      </w:hyperlink>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there were no material changes in our market risk exposure. For a discussion of our market risk associated with exchange rate risk and interest rate risk, see Part II, Item 7A “Quantitative and Qualitative Disclosures About Market Risk” in our Annual Report on Form 10-K for the fiscal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180" w:after="180"/>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disclosure controls and procedures that are designed to ensure that information required to be disclosed in the reports the Company files or submits under the Securities Exchange Act of 1934, as amended (the “Exchange Act”) is recorded, processed, summarized and reported within the time periods specified in the U.S. Securities and Exchange Commission’s rules and forms, and that such information is accumulated and communicated to the Company’s management, including its Chief Executive Officer (“CEO”) and Chief Financial Officer (“CFO”), to allow timely decisions regarding required disclosure. In connection with the preparation of this Quarterly Report on Form 10-Q, the Company’s management carried out an evaluation, under the supervision and with the participation of the CEO and CFO, of the effectiveness and operation of the Company’s disclosure controls and procedures as of March 31, 2023. Based upon that evaluation, the CEO and CFO have concluded that the Company’s disclosure controls and procedures, as of March 31, 2023, were effective.</w:t>
      </w:r>
    </w:p>
    <w:p>
      <w:pPr>
        <w:pStyle w:val="TextBody"/>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there were no changes in our internal control over financial reporting (as defined in Rules 13a-15(f) and 15d-15(f) under the Exchange Act) that have materially affected, or are reasonably likely to materially affect, our internal control over financial reporting.</w:t>
      </w:r>
    </w:p>
    <w:p>
      <w:pPr>
        <w:pStyle w:val="TextBody"/>
        <w:spacing w:before="180" w:after="18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course of our normal business activities, various lawsuits, claims and proceedings may be instituted or asserted against us. Although there can be no assurance, we believe that the disposition of matters currently instituted or asserted will not have a material adverse effect on our consolidated financial position, results of operations or cash flows. See Note 25 - Commitments and Contingencies to our unaudited consolidated financial statements contained herein for details regarding our tax proceedings.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disclosed under the heading “Risk Factors” in our Annual Report on Form 10-K for the fiscal year ended December 31, 2022, a number of risks which may materially affect our business, financial condition or results of operations. You should carefully consider those risk factors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ind w:left="0" w:right="0" w:hanging="1440"/>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Unregistered Sales of Equity Securities</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Use of Proceeds</w:t>
      </w:r>
    </w:p>
    <w:p>
      <w:pPr>
        <w:pStyle w:val="TextBody"/>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lineRule="auto" w:line="288" w:before="180" w:after="180"/>
        <w:rPr>
          <w:rFonts w:ascii="Times New Roman;sans-serif" w:hAnsi="Times New Roman;sans-serif"/>
          <w:b/>
          <w:i/>
          <w:color w:val="000000"/>
          <w:sz w:val="20"/>
        </w:rPr>
      </w:pPr>
      <w:r>
        <w:rPr>
          <w:rFonts w:ascii="Times New Roman;sans-serif" w:hAnsi="Times New Roman;sans-serif"/>
          <w:b/>
          <w:i/>
          <w:color w:val="000000"/>
          <w:sz w:val="20"/>
        </w:rPr>
        <w:t>Purchases of Equity Securities by the Issuer</w:t>
      </w:r>
    </w:p>
    <w:p>
      <w:pPr>
        <w:pStyle w:val="TextBody"/>
        <w:spacing w:lineRule="auto" w:line="26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purchases of common stock were as follows:</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94c2d3dd1ce14e10b7b4d9e6b8321d18_1824">
        <w:r>
          <w:rPr>
            <w:rStyle w:val="InternetLink"/>
            <w:rFonts w:ascii="Times New Roman;sans-serif" w:hAnsi="Times New Roman;sans-serif"/>
            <w:b/>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572"/>
        <w:gridCol w:w="450"/>
        <w:gridCol w:w="456"/>
        <w:gridCol w:w="109"/>
        <w:gridCol w:w="109"/>
        <w:gridCol w:w="109"/>
        <w:gridCol w:w="504"/>
        <w:gridCol w:w="399"/>
        <w:gridCol w:w="400"/>
        <w:gridCol w:w="109"/>
        <w:gridCol w:w="109"/>
        <w:gridCol w:w="109"/>
        <w:gridCol w:w="231"/>
        <w:gridCol w:w="791"/>
        <w:gridCol w:w="119"/>
        <w:gridCol w:w="109"/>
        <w:gridCol w:w="109"/>
        <w:gridCol w:w="109"/>
        <w:gridCol w:w="714"/>
        <w:gridCol w:w="616"/>
        <w:gridCol w:w="618"/>
        <w:gridCol w:w="109"/>
        <w:gridCol w:w="109"/>
        <w:gridCol w:w="109"/>
        <w:gridCol w:w="410"/>
        <w:gridCol w:w="2309"/>
        <w:gridCol w:w="308"/>
      </w:tblGrid>
      <w:tr>
        <w:trPr/>
        <w:tc>
          <w:tcPr>
            <w:tcW w:w="572"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23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r>
      <w:tr>
        <w:trPr/>
        <w:tc>
          <w:tcPr>
            <w:tcW w:w="14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 Number of</w:t>
            </w:r>
          </w:p>
          <w:p>
            <w:pPr>
              <w:pStyle w:val="TableContents"/>
              <w:spacing w:lineRule="auto" w:line="240" w:before="0" w:after="0"/>
              <w:jc w:val="center"/>
              <w:rPr/>
            </w:pPr>
            <w:r>
              <w:rPr>
                <w:rFonts w:ascii="Times New Roman;sans-serif" w:hAnsi="Times New Roman;sans-serif"/>
                <w:b/>
                <w:color w:val="000000"/>
                <w:sz w:val="20"/>
              </w:rPr>
              <w:t>Shares Purchased</w:t>
            </w:r>
            <w:r>
              <w:rPr>
                <w:rFonts w:ascii="Times New Roman;sans-serif" w:hAnsi="Times New Roman;sans-serif"/>
                <w:b/>
                <w:color w:val="000000"/>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Average Price</w:t>
            </w:r>
          </w:p>
          <w:p>
            <w:pPr>
              <w:pStyle w:val="TableContents"/>
              <w:spacing w:lineRule="auto" w:line="240" w:before="0" w:after="0"/>
              <w:jc w:val="center"/>
              <w:rPr/>
            </w:pPr>
            <w:r>
              <w:rPr>
                <w:rFonts w:ascii="Times New Roman;sans-serif" w:hAnsi="Times New Roman;sans-serif"/>
                <w:b/>
                <w:color w:val="000000"/>
                <w:sz w:val="20"/>
              </w:rPr>
              <w:t>Paid per share</w:t>
            </w:r>
            <w:r>
              <w:rPr>
                <w:rFonts w:ascii="Times New Roman;sans-serif" w:hAnsi="Times New Roman;sans-serif"/>
                <w:b/>
                <w:color w:val="000000"/>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Part of Publicly</w:t>
              <w:br/>
              <w:t>Announced Plans or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Approximate Dollar Value of Shares That May Yet Be Purchased Under the Plans or Programs</w:t>
            </w:r>
          </w:p>
        </w:tc>
      </w:tr>
      <w:tr>
        <w:trPr/>
        <w:tc>
          <w:tcPr>
            <w:tcW w:w="14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 through January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72,440 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50,056 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222,955,003 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2023 through February 28,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53,099 </w:t>
            </w:r>
          </w:p>
        </w:tc>
        <w:tc>
          <w:tcPr>
            <w:tcW w:w="4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37,941 </w:t>
            </w:r>
          </w:p>
        </w:tc>
        <w:tc>
          <w:tcPr>
            <w:tcW w:w="6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216,479,165 </w:t>
            </w:r>
          </w:p>
        </w:tc>
        <w:tc>
          <w:tcPr>
            <w:tcW w:w="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2023 through March 31, 2023</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133,842 </w:t>
            </w:r>
          </w:p>
        </w:tc>
        <w:tc>
          <w:tcPr>
            <w:tcW w:w="4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133,028 </w:t>
            </w:r>
          </w:p>
        </w:tc>
        <w:tc>
          <w:tcPr>
            <w:tcW w:w="6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195,645,267 </w:t>
            </w:r>
          </w:p>
        </w:tc>
        <w:tc>
          <w:tcPr>
            <w:tcW w:w="3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259,381 </w:t>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221,025 </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(1) Includes 38,356 shares of our common stock acquired by us at the price of $170.23 in connection with satisfaction of tax withholding obligations on vested restricted stock. The price paid per share for the restricted stock was the closing price of common stock on the trading day prior to the vesting date of the restricted stock units.</w:t>
      </w:r>
    </w:p>
    <w:p>
      <w:pPr>
        <w:pStyle w:val="TextBody"/>
        <w:spacing w:lineRule="auto" w:line="26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October 5, 2021, our board of directors authorized a $300 million common stock repurchase program beginning January 1, 2022 (the “2022 Repurchase Program”).</w:t>
      </w:r>
    </w:p>
    <w:p>
      <w:pPr>
        <w:pStyle w:val="TextBody"/>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Under the 2022 Repurchase Program, shares may be purchased by us from time to time from the open market and through private transactions, or otherwise, as determined by our management as market conditions warrant. We have structured open market purchases under the 2022 Repurchase Program to comply with Rule 10b-18 under the Exchange Act. Repurchases may be discontinued at any time by management.</w:t>
      </w:r>
    </w:p>
    <w:p>
      <w:pPr>
        <w:pStyle w:val="TextBody"/>
        <w:spacing w:before="0" w:after="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12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12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94c2d3dd1ce14e10b7b4d9e6b8321d18_1824">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INDEX TO EXHIBITS</w:t>
      </w:r>
    </w:p>
    <w:p>
      <w:pPr>
        <w:pStyle w:val="TextBody"/>
        <w:spacing w:before="240" w:after="283"/>
        <w:ind w:left="0" w:right="0" w:firstLine="495"/>
        <w:rPr/>
      </w:pPr>
      <w:r>
        <w:rPr/>
      </w: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being filed as part of this report or incorporated by reference as indicated therein:</w:t>
      </w:r>
    </w:p>
    <w:tbl>
      <w:tblPr>
        <w:tblW w:w="10205" w:type="dxa"/>
        <w:jc w:val="left"/>
        <w:tblInd w:w="0" w:type="dxa"/>
        <w:tblCellMar>
          <w:top w:w="28" w:type="dxa"/>
          <w:left w:w="28" w:type="dxa"/>
          <w:bottom w:w="28" w:type="dxa"/>
          <w:right w:w="28" w:type="dxa"/>
        </w:tblCellMar>
      </w:tblPr>
      <w:tblGrid>
        <w:gridCol w:w="248"/>
        <w:gridCol w:w="203"/>
        <w:gridCol w:w="208"/>
        <w:gridCol w:w="109"/>
        <w:gridCol w:w="109"/>
        <w:gridCol w:w="109"/>
        <w:gridCol w:w="2833"/>
        <w:gridCol w:w="2640"/>
        <w:gridCol w:w="3746"/>
      </w:tblGrid>
      <w:tr>
        <w:trPr/>
        <w:tc>
          <w:tcPr>
            <w:tcW w:w="24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3" w:type="dxa"/>
            <w:tcBorders/>
            <w:shd w:fill="auto" w:val="clear"/>
            <w:vAlign w:val="center"/>
          </w:tcPr>
          <w:p>
            <w:pPr>
              <w:pStyle w:val="TableContents"/>
              <w:spacing w:before="0" w:after="283"/>
              <w:rPr>
                <w:sz w:val="4"/>
                <w:szCs w:val="4"/>
              </w:rPr>
            </w:pPr>
            <w:r>
              <w:rPr>
                <w:sz w:val="4"/>
                <w:szCs w:val="4"/>
              </w:rPr>
            </w:r>
          </w:p>
        </w:tc>
        <w:tc>
          <w:tcPr>
            <w:tcW w:w="2640" w:type="dxa"/>
            <w:tcBorders/>
            <w:shd w:fill="auto" w:val="clear"/>
            <w:vAlign w:val="center"/>
          </w:tcPr>
          <w:p>
            <w:pPr>
              <w:pStyle w:val="TableContents"/>
              <w:spacing w:before="0" w:after="283"/>
              <w:rPr>
                <w:sz w:val="4"/>
                <w:szCs w:val="4"/>
              </w:rPr>
            </w:pPr>
            <w:r>
              <w:rPr>
                <w:sz w:val="4"/>
                <w:szCs w:val="4"/>
              </w:rPr>
            </w:r>
          </w:p>
        </w:tc>
        <w:tc>
          <w:tcPr>
            <w:tcW w:w="3746" w:type="dxa"/>
            <w:tcBorders/>
            <w:shd w:fill="auto" w:val="clear"/>
            <w:vAlign w:val="center"/>
          </w:tcPr>
          <w:p>
            <w:pPr>
              <w:pStyle w:val="TableContents"/>
              <w:spacing w:before="0" w:after="283"/>
              <w:rPr>
                <w:sz w:val="4"/>
                <w:szCs w:val="4"/>
              </w:rPr>
            </w:pPr>
            <w:r>
              <w:rPr>
                <w:sz w:val="4"/>
                <w:szCs w:val="4"/>
              </w:rPr>
            </w:r>
          </w:p>
        </w:tc>
      </w:tr>
      <w:tr>
        <w:trPr/>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
              <w:r>
                <w:rPr>
                  <w:rStyle w:val="InternetLink"/>
                  <w:rFonts w:ascii="Times New Roman;sans-serif" w:hAnsi="Times New Roman;sans-serif"/>
                  <w:b w:val="false"/>
                  <w:color w:val="0000FF"/>
                  <w:sz w:val="20"/>
                  <w:u w:val="single"/>
                </w:rPr>
                <w:t>Amended and Restated Certificate of Incorporation of the Company (incorporated by reference to Exhibit 3.1 of the Company’s Current Report on Form 8-K (File No. 1-33089) filed on October 25, 2006).</w:t>
              </w:r>
            </w:hyperlink>
          </w:p>
        </w:tc>
      </w:tr>
      <w:tr>
        <w:trPr/>
        <w:tc>
          <w:tcPr>
            <w:tcW w:w="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fldChar w:fldCharType="begin"/>
            </w:r>
            <w:r>
              <w:rPr>
                <w:rStyle w:val="InternetLink"/>
                <w:sz w:val="20"/>
                <w:u w:val="single"/>
                <w:b w:val="false"/>
                <w:rFonts w:ascii="Times New Roman;sans-serif" w:hAnsi="Times New Roman;sans-serif"/>
              </w:rPr>
              <w:instrText> HYPERLINK "http://www.sec.gov/Archives/edgar/data/1297989/000104746919002609/a2238453zdef14a.htm" \l "PROP1"</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0000FF"/>
                <w:sz w:val="20"/>
                <w:u w:val="single"/>
              </w:rPr>
              <w:t>Certificate of Amendment to Amended and Restated Certificate of Incorporation of the Company (incorporated by reference to Annex A to the Company’s Definitive Proxy Statement on Schedule 14A (File No. 1-33089) filed on April 26, 2019).</w:t>
            </w:r>
            <w:r>
              <w:rPr>
                <w:rStyle w:val="InternetLink"/>
                <w:sz w:val="20"/>
                <w:u w:val="single"/>
                <w:b w:val="false"/>
                <w:rFonts w:ascii="Times New Roman;sans-serif" w:hAnsi="Times New Roman;sans-serif"/>
              </w:rPr>
              <w:fldChar w:fldCharType="end"/>
            </w:r>
          </w:p>
        </w:tc>
      </w:tr>
      <w:tr>
        <w:trPr/>
        <w:tc>
          <w:tcPr>
            <w:tcW w:w="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Fifth Amended and Restated By-laws of the Company (incorporated by reference to Exhibit 3.2 of the Company’s Current Report on Form 8-K (File No. 1-33089) filed on June 19, 2019).</w:t>
              </w:r>
            </w:hyperlink>
          </w:p>
        </w:tc>
      </w:tr>
      <w:tr>
        <w:trPr/>
        <w:tc>
          <w:tcPr>
            <w:tcW w:w="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ls-ex101x03312023x10q.htm">
              <w:r>
                <w:rPr>
                  <w:rStyle w:val="InternetLink"/>
                  <w:rFonts w:ascii="Times New Roman;sans-serif" w:hAnsi="Times New Roman;sans-serif"/>
                  <w:b w:val="false"/>
                  <w:color w:val="0000FF"/>
                  <w:sz w:val="20"/>
                  <w:u w:val="single"/>
                </w:rPr>
                <w:t>Amendment No. 2 to Second Amended and Restated Employment and Non-Competition Agreement, effective February 16, 2023, between the Company and Rohit Kapoor.</w:t>
              </w:r>
            </w:hyperlink>
          </w:p>
        </w:tc>
      </w:tr>
      <w:tr>
        <w:trPr/>
        <w:tc>
          <w:tcPr>
            <w:tcW w:w="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ls-ex102x03312023x10q.htm">
              <w:r>
                <w:rPr>
                  <w:rStyle w:val="InternetLink"/>
                  <w:rFonts w:ascii="Times New Roman;sans-serif" w:hAnsi="Times New Roman;sans-serif"/>
                  <w:b w:val="false"/>
                  <w:color w:val="0000FF"/>
                  <w:sz w:val="20"/>
                  <w:u w:val="single"/>
                </w:rPr>
                <w:t>Form of Restricted Stock Unit Agreement (applicable to U.S. Executive Officers) under the 2018 Omnibus Incentive Plan.</w:t>
              </w:r>
            </w:hyperlink>
          </w:p>
        </w:tc>
      </w:tr>
      <w:tr>
        <w:trPr/>
        <w:tc>
          <w:tcPr>
            <w:tcW w:w="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ls-ex103x03312023x10q.htm">
              <w:r>
                <w:rPr>
                  <w:rStyle w:val="InternetLink"/>
                  <w:rFonts w:ascii="Times New Roman;sans-serif" w:hAnsi="Times New Roman;sans-serif"/>
                  <w:b w:val="false"/>
                  <w:color w:val="0000FF"/>
                  <w:sz w:val="20"/>
                  <w:u w:val="single"/>
                </w:rPr>
                <w:t>Form of Restricted Stock Unit Agreement (applicable to International Executive Officers) under the 2018 Omnibus Incentive Plan.</w:t>
              </w:r>
            </w:hyperlink>
          </w:p>
        </w:tc>
      </w:tr>
      <w:tr>
        <w:trPr/>
        <w:tc>
          <w:tcPr>
            <w:tcW w:w="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ls-ex104x03312023x10q.htm">
              <w:r>
                <w:rPr>
                  <w:rStyle w:val="InternetLink"/>
                  <w:rFonts w:ascii="Times New Roman;sans-serif" w:hAnsi="Times New Roman;sans-serif"/>
                  <w:b w:val="false"/>
                  <w:color w:val="0000FF"/>
                  <w:sz w:val="20"/>
                  <w:u w:val="single"/>
                </w:rPr>
                <w:t>Form of ExlService Holdings, Inc. Employment Agreement (applicable to Executive Officers).</w:t>
              </w:r>
            </w:hyperlink>
          </w:p>
        </w:tc>
      </w:tr>
      <w:tr>
        <w:trPr/>
        <w:tc>
          <w:tcPr>
            <w:tcW w:w="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ls-ex105x03312023x10q.htm">
              <w:r>
                <w:rPr>
                  <w:rStyle w:val="InternetLink"/>
                  <w:rFonts w:ascii="Times New Roman;sans-serif" w:hAnsi="Times New Roman;sans-serif"/>
                  <w:b w:val="false"/>
                  <w:color w:val="0000FF"/>
                  <w:sz w:val="20"/>
                  <w:u w:val="single"/>
                </w:rPr>
                <w:t>Employment Agreement, effective as of April 18, 2022, between exl Service (India) Private Limited and Vikas Bhalla.</w:t>
              </w:r>
            </w:hyperlink>
          </w:p>
        </w:tc>
      </w:tr>
      <w:tr>
        <w:trPr/>
        <w:tc>
          <w:tcPr>
            <w:tcW w:w="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ls-ex311x03312023x10q.htm">
              <w:r>
                <w:rPr>
                  <w:rStyle w:val="InternetLink"/>
                  <w:rFonts w:ascii="Times New Roman;sans-serif" w:hAnsi="Times New Roman;sans-serif"/>
                  <w:b w:val="false"/>
                  <w:color w:val="0000FF"/>
                  <w:sz w:val="20"/>
                  <w:u w:val="single"/>
                </w:rPr>
                <w:t>Certification of the Chief Executive Officer of ExlService Holdings, pursuant to Rule 13a-14(a) of the Exchange Act, as adopted pursuant to Section 302 of the Sarbanes-Oxley Act of 2002.</w:t>
              </w:r>
            </w:hyperlink>
          </w:p>
        </w:tc>
      </w:tr>
      <w:tr>
        <w:trPr/>
        <w:tc>
          <w:tcPr>
            <w:tcW w:w="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ls-ex312x03312023x10q.htm">
              <w:r>
                <w:rPr>
                  <w:rStyle w:val="InternetLink"/>
                  <w:rFonts w:ascii="Times New Roman;sans-serif" w:hAnsi="Times New Roman;sans-serif"/>
                  <w:b w:val="false"/>
                  <w:color w:val="0000FF"/>
                  <w:sz w:val="20"/>
                  <w:u w:val="single"/>
                </w:rPr>
                <w:t>Certification of the Chief Financial Officer of ExlService Holdings, pursuant to Rule 13a-14(a) of the Exchange Act, as adopted pursuant to Section 302 of the Sarbanes-Oxley Act of 2002.</w:t>
              </w:r>
            </w:hyperlink>
          </w:p>
        </w:tc>
      </w:tr>
      <w:tr>
        <w:trPr/>
        <w:tc>
          <w:tcPr>
            <w:tcW w:w="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ls-ex321x03312023x10q.htm">
              <w:r>
                <w:rPr>
                  <w:rStyle w:val="InternetLink"/>
                  <w:rFonts w:ascii="Times New Roman;sans-serif" w:hAnsi="Times New Roman;sans-serif"/>
                  <w:b w:val="false"/>
                  <w:color w:val="0000FF"/>
                  <w:sz w:val="20"/>
                  <w:u w:val="single"/>
                </w:rPr>
                <w:t>Certification of the Chief Executive Officer pursuant to Rule 13a-14(b) of the Exchange Act and 18 U.S.C. Section 1350, as adopted pursuant to Section 906 of the Sarbanes-Oxley Act of 2002.</w:t>
              </w:r>
            </w:hyperlink>
          </w:p>
        </w:tc>
      </w:tr>
      <w:tr>
        <w:trPr/>
        <w:tc>
          <w:tcPr>
            <w:tcW w:w="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ls-ex322x03312023x10q.htm">
              <w:r>
                <w:rPr>
                  <w:rStyle w:val="InternetLink"/>
                  <w:rFonts w:ascii="Times New Roman;sans-serif" w:hAnsi="Times New Roman;sans-serif"/>
                  <w:b w:val="false"/>
                  <w:color w:val="0000FF"/>
                  <w:sz w:val="20"/>
                  <w:u w:val="single"/>
                </w:rPr>
                <w:t>Certification of the Chief Financial Officer pursuant to Rule 13a-14(b) of the Exchange Act and 18 U.S.C. Section 1350, as adopted pursuant to Section 906 of the Sarbanes-Oxley Act of 2002.</w:t>
              </w:r>
            </w:hyperlink>
          </w:p>
        </w:tc>
      </w:tr>
      <w:tr>
        <w:trPr/>
        <w:tc>
          <w:tcPr>
            <w:tcW w:w="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r>
      <w:tr>
        <w:trPr/>
        <w:tc>
          <w:tcPr>
            <w:tcW w:w="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w:t>
            </w:r>
          </w:p>
        </w:tc>
      </w:tr>
      <w:tr>
        <w:trPr/>
        <w:tc>
          <w:tcPr>
            <w:tcW w:w="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w:t>
            </w:r>
          </w:p>
        </w:tc>
      </w:tr>
      <w:tr>
        <w:trPr/>
        <w:tc>
          <w:tcPr>
            <w:tcW w:w="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w:t>
            </w:r>
          </w:p>
        </w:tc>
      </w:tr>
      <w:tr>
        <w:trPr/>
        <w:tc>
          <w:tcPr>
            <w:tcW w:w="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Extension Presentation Linkbase*</w:t>
            </w:r>
          </w:p>
        </w:tc>
      </w:tr>
      <w:tr>
        <w:trPr/>
        <w:tc>
          <w:tcPr>
            <w:tcW w:w="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spacing w:before="0" w:after="0"/>
        <w:ind w:left="0" w:right="0" w:hanging="90"/>
        <w:jc w:val="both"/>
        <w:rPr/>
      </w:pPr>
      <w:r>
        <w:rPr/>
      </w:r>
    </w:p>
    <w:p>
      <w:pPr>
        <w:pStyle w:val="TextBody"/>
        <w:spacing w:lineRule="auto" w:line="288" w:before="0" w:after="0"/>
        <w:ind w:left="0" w:right="0" w:hanging="90"/>
        <w:jc w:val="both"/>
        <w:rPr>
          <w:rFonts w:ascii="Times New Roman;sans-serif" w:hAnsi="Times New Roman;sans-serif"/>
          <w:b w:val="false"/>
          <w:color w:val="000000"/>
          <w:sz w:val="20"/>
        </w:rPr>
      </w:pPr>
      <w:r>
        <w:rPr>
          <w:rFonts w:ascii="Times New Roman;sans-serif" w:hAnsi="Times New Roman;sans-serif"/>
          <w:b w:val="false"/>
          <w:color w:val="000000"/>
          <w:sz w:val="20"/>
        </w:rPr>
        <w:t>*This exhibit will not be deemed “filed” for purposes of Section 18 of the Exchange Act, or otherwise subject to the liability of that section. Such exhibit will not be deemed to be incorporated by reference into any filing under the Securities Act or the Exchange Act, except to the extent that the Company specifically incorporates it by reference.</w:t>
      </w:r>
    </w:p>
    <w:p>
      <w:pPr>
        <w:pStyle w:val="TextBody"/>
        <w:spacing w:lineRule="auto" w:line="288" w:before="0" w:after="0"/>
        <w:ind w:left="0" w:right="0" w:hanging="90"/>
        <w:jc w:val="both"/>
        <w:rPr>
          <w:rFonts w:ascii="Times New Roman;sans-serif" w:hAnsi="Times New Roman;sans-serif"/>
          <w:b w:val="false"/>
          <w:color w:val="000000"/>
          <w:sz w:val="20"/>
        </w:rPr>
      </w:pPr>
      <w:r>
        <w:rPr>
          <w:rFonts w:ascii="Times New Roman;sans-serif" w:hAnsi="Times New Roman;sans-serif"/>
          <w:b w:val="false"/>
          <w:color w:val="000000"/>
          <w:sz w:val="20"/>
        </w:rPr>
        <w:t>+Indicates management contract or compensatory plan required to be filed as an Exhibit.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rPr/>
      </w:pPr>
      <w:hyperlink w:anchor="i94c2d3dd1ce14e10b7b4d9e6b8321d18_1824">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240" w:after="283"/>
        <w:ind w:left="0" w:right="0" w:firstLine="495"/>
        <w:rPr/>
      </w:pPr>
      <w:r>
        <w:rPr/>
      </w:r>
    </w:p>
    <w:p>
      <w:pPr>
        <w:pStyle w:val="TextBody"/>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signed on its behalf by the undersigned thereunto duly authorized.</w:t>
      </w:r>
    </w:p>
    <w:p>
      <w:pPr>
        <w:pStyle w:val="TextBody"/>
        <w:spacing w:before="0" w:after="0"/>
        <w:rPr/>
      </w:pPr>
      <w:r>
        <w:rPr/>
      </w:r>
    </w:p>
    <w:tbl>
      <w:tblPr>
        <w:tblW w:w="9121" w:type="dxa"/>
        <w:jc w:val="left"/>
        <w:tblInd w:w="0" w:type="dxa"/>
        <w:tblCellMar>
          <w:top w:w="28" w:type="dxa"/>
          <w:left w:w="28" w:type="dxa"/>
          <w:bottom w:w="28" w:type="dxa"/>
          <w:right w:w="28" w:type="dxa"/>
        </w:tblCellMar>
      </w:tblPr>
      <w:tblGrid>
        <w:gridCol w:w="645"/>
        <w:gridCol w:w="568"/>
        <w:gridCol w:w="571"/>
        <w:gridCol w:w="313"/>
        <w:gridCol w:w="313"/>
        <w:gridCol w:w="313"/>
        <w:gridCol w:w="313"/>
        <w:gridCol w:w="313"/>
        <w:gridCol w:w="313"/>
        <w:gridCol w:w="1571"/>
        <w:gridCol w:w="1571"/>
        <w:gridCol w:w="2317"/>
      </w:tblGrid>
      <w:tr>
        <w:trPr/>
        <w:tc>
          <w:tcPr>
            <w:tcW w:w="645"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571" w:type="dxa"/>
            <w:tcBorders/>
            <w:shd w:fill="auto" w:val="clear"/>
            <w:vAlign w:val="center"/>
          </w:tcPr>
          <w:p>
            <w:pPr>
              <w:pStyle w:val="TableContents"/>
              <w:spacing w:before="0" w:after="283"/>
              <w:rPr>
                <w:sz w:val="4"/>
                <w:szCs w:val="4"/>
              </w:rPr>
            </w:pPr>
            <w:r>
              <w:rPr>
                <w:sz w:val="4"/>
                <w:szCs w:val="4"/>
              </w:rPr>
            </w:r>
          </w:p>
        </w:tc>
        <w:tc>
          <w:tcPr>
            <w:tcW w:w="1571" w:type="dxa"/>
            <w:tcBorders/>
            <w:shd w:fill="auto" w:val="clear"/>
            <w:vAlign w:val="center"/>
          </w:tcPr>
          <w:p>
            <w:pPr>
              <w:pStyle w:val="TableContents"/>
              <w:spacing w:before="0" w:after="283"/>
              <w:rPr>
                <w:sz w:val="4"/>
                <w:szCs w:val="4"/>
              </w:rPr>
            </w:pPr>
            <w:r>
              <w:rPr>
                <w:sz w:val="4"/>
                <w:szCs w:val="4"/>
              </w:rPr>
            </w:r>
          </w:p>
        </w:tc>
        <w:tc>
          <w:tcPr>
            <w:tcW w:w="2317"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27, 2023</w:t>
            </w:r>
          </w:p>
        </w:tc>
        <w:tc>
          <w:tcPr>
            <w:tcW w:w="733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EXLSERVICE HOLDINGS, INC.</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9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4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 MAURIZIO NICOLELLI</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4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MAURIZIO NICOLELLI</w:t>
              <w:br/>
              <w:t>Chief Financial Officer</w:t>
              <w:br/>
              <w:t>(Duly Authorized Signatory, Principal Financial and Accounting Officer)</w:t>
            </w:r>
          </w:p>
        </w:tc>
      </w:tr>
    </w:tbl>
    <w:p>
      <w:pPr>
        <w:pStyle w:val="TextBody"/>
        <w:spacing w:before="140" w:after="283"/>
        <w:ind w:left="0" w:right="0" w:firstLine="495"/>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240"/>
        <w:jc w:val="right"/>
        <w:rPr>
          <w:rFonts w:ascii="Times New Roman;sans-serif" w:hAnsi="Times New Roman;sans-serif"/>
          <w:b/>
          <w:color w:val="000000"/>
          <w:sz w:val="20"/>
        </w:rPr>
      </w:pPr>
      <w:r>
        <w:rPr>
          <w:rFonts w:ascii="Times New Roman;sans-serif" w:hAnsi="Times New Roman;sans-serif"/>
          <w:b/>
          <w:color w:val="000000"/>
          <w:sz w:val="20"/>
        </w:rPr>
        <w:t>Exhibit 10.1</w:t>
      </w:r>
    </w:p>
    <w:p>
      <w:pPr>
        <w:pStyle w:val="TextBody"/>
        <w:spacing w:lineRule="auto" w:line="264" w:before="0" w:after="2"/>
        <w:jc w:val="center"/>
        <w:rPr>
          <w:rFonts w:ascii="Times New Roman;sans-serif" w:hAnsi="Times New Roman;sans-serif"/>
          <w:b/>
          <w:color w:val="000000"/>
          <w:sz w:val="24"/>
        </w:rPr>
      </w:pPr>
      <w:r>
        <w:rPr>
          <w:rFonts w:ascii="Times New Roman;sans-serif" w:hAnsi="Times New Roman;sans-serif"/>
          <w:b/>
          <w:color w:val="000000"/>
          <w:sz w:val="24"/>
        </w:rPr>
        <w:t>AMENDMENT NO. 2 TO SECOND AMENDED AND RESTATED EMPLOYMENT AND NON-COMPETITION AGREEMENT</w:t>
      </w:r>
    </w:p>
    <w:p>
      <w:pPr>
        <w:pStyle w:val="TextBody"/>
        <w:spacing w:before="0" w:after="0"/>
        <w:jc w:val="center"/>
        <w:rPr/>
      </w:pPr>
      <w:r>
        <w:rPr/>
      </w:r>
    </w:p>
    <w:p>
      <w:pPr>
        <w:pStyle w:val="TextBody"/>
        <w:spacing w:lineRule="auto" w:line="264"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Companies and Executive are currently parties to the Second Amended and Restated </w:t>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Employment and Non-Competition Agreement dated as of August 3, 2020, as amended (the “Agreement”; capitalized terms used and not defined herein have the meaning ascribed to them in the Agreement), and wish to enter into this Amendment No. 2 to the Agreement (this “Amendment”).</w:t>
      </w:r>
    </w:p>
    <w:p>
      <w:pPr>
        <w:pStyle w:val="TextBody"/>
        <w:spacing w:before="0" w:after="0"/>
        <w:jc w:val="both"/>
        <w:rPr/>
      </w:pPr>
      <w:r>
        <w:rPr/>
      </w:r>
    </w:p>
    <w:p>
      <w:pPr>
        <w:pStyle w:val="TextBody"/>
        <w:spacing w:lineRule="auto" w:line="264" w:before="0" w:after="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Section 6(b) to the Agreement (Tax Planning Assistance) provides the Company shall reimburse Employee for up to $12,000 per annum for expenses incurred in connection with personal tax and estate planning services;</w:t>
      </w:r>
    </w:p>
    <w:p>
      <w:pPr>
        <w:pStyle w:val="TextBody"/>
        <w:spacing w:before="0" w:after="0"/>
        <w:jc w:val="both"/>
        <w:rPr/>
      </w:pPr>
      <w:r>
        <w:rPr/>
      </w:r>
    </w:p>
    <w:p>
      <w:pPr>
        <w:pStyle w:val="TextBody"/>
        <w:spacing w:lineRule="auto" w:line="264" w:before="0" w:after="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Company and Executive wish to amend Section 6(b) to the Agreement so as to increase the annual reimbursement amount; and</w:t>
      </w:r>
    </w:p>
    <w:p>
      <w:pPr>
        <w:pStyle w:val="TextBody"/>
        <w:spacing w:before="0" w:after="0"/>
        <w:ind w:left="0" w:right="0" w:firstLine="720"/>
        <w:jc w:val="both"/>
        <w:rPr/>
      </w:pPr>
      <w:r>
        <w:rPr/>
      </w:r>
    </w:p>
    <w:p>
      <w:pPr>
        <w:pStyle w:val="TextBody"/>
        <w:spacing w:lineRule="auto" w:line="264" w:before="0" w:after="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pursuant to Section 12(c) of the Employment Agreement, any modification of the Agreement must be agreed to in a writing signed by Executive and an officer of the Company (other than Executive);</w:t>
      </w:r>
    </w:p>
    <w:p>
      <w:pPr>
        <w:pStyle w:val="TextBody"/>
        <w:spacing w:before="0" w:after="0"/>
        <w:ind w:left="0" w:right="0" w:firstLine="720"/>
        <w:jc w:val="both"/>
        <w:rPr/>
      </w:pPr>
      <w:r>
        <w:rPr/>
      </w:r>
    </w:p>
    <w:p>
      <w:pPr>
        <w:pStyle w:val="TextBody"/>
        <w:spacing w:lineRule="auto" w:line="264"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Accordingly, in consideration of the premises and the respective covenants and agreements of the parties set forth below, and intending to be legally bound hereby, the parties agree as follows:</w:t>
      </w:r>
    </w:p>
    <w:p>
      <w:pPr>
        <w:pStyle w:val="TextBody"/>
        <w:spacing w:before="0" w:after="0"/>
        <w:ind w:left="0" w:right="0" w:firstLine="720"/>
        <w:jc w:val="both"/>
        <w:rPr/>
      </w:pPr>
      <w:r>
        <w:rPr/>
      </w:r>
    </w:p>
    <w:p>
      <w:pPr>
        <w:pStyle w:val="TextBody"/>
        <w:spacing w:lineRule="auto" w:line="264" w:before="0" w:after="0"/>
        <w:ind w:left="0" w:right="0" w:firstLine="720"/>
        <w:jc w:val="both"/>
        <w:rPr/>
      </w:pPr>
      <w:r>
        <w:rPr>
          <w:rFonts w:ascii="Times New Roman;sans-serif" w:hAnsi="Times New Roman;sans-serif"/>
          <w:b w:val="false"/>
          <w:color w:val="000000"/>
          <w:sz w:val="24"/>
        </w:rPr>
        <w:t xml:space="preserve">Section 1. </w:t>
      </w:r>
      <w:r>
        <w:rPr>
          <w:rFonts w:ascii="Times New Roman;sans-serif" w:hAnsi="Times New Roman;sans-serif"/>
          <w:b w:val="false"/>
          <w:color w:val="000000"/>
          <w:sz w:val="24"/>
          <w:u w:val="single"/>
        </w:rPr>
        <w:t>Tax Planning Assistance</w:t>
      </w:r>
      <w:r>
        <w:rPr>
          <w:rFonts w:ascii="Times New Roman;sans-serif" w:hAnsi="Times New Roman;sans-serif"/>
          <w:b w:val="false"/>
          <w:color w:val="000000"/>
          <w:sz w:val="24"/>
        </w:rPr>
        <w:t>. Section 6(b) to the Agreement is amended and restated in its entirety as follows:</w:t>
      </w:r>
    </w:p>
    <w:p>
      <w:pPr>
        <w:pStyle w:val="TextBody"/>
        <w:spacing w:before="0" w:after="0"/>
        <w:ind w:left="0" w:right="0" w:firstLine="720"/>
        <w:jc w:val="both"/>
        <w:rPr/>
      </w:pPr>
      <w:r>
        <w:rPr/>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4"/>
        </w:rPr>
        <w:t xml:space="preserve">The Company shall reimburse Executive up to $30,000 per annum for expenses incurred </w:t>
      </w:r>
    </w:p>
    <w:p>
      <w:pPr>
        <w:pStyle w:val="TextBody"/>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during the Employment Term in connection with personal tax and estate planning.”</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4"/>
        </w:rPr>
        <w:t xml:space="preserve">Section 2. </w:t>
      </w:r>
      <w:r>
        <w:rPr>
          <w:rFonts w:ascii="Times New Roman;sans-serif" w:hAnsi="Times New Roman;sans-serif"/>
          <w:b w:val="false"/>
          <w:color w:val="000000"/>
          <w:sz w:val="24"/>
          <w:u w:val="single"/>
        </w:rPr>
        <w:t>No Other Changes</w:t>
      </w:r>
      <w:r>
        <w:rPr>
          <w:rFonts w:ascii="Times New Roman;sans-serif" w:hAnsi="Times New Roman;sans-serif"/>
          <w:b w:val="false"/>
          <w:color w:val="000000"/>
          <w:sz w:val="24"/>
        </w:rPr>
        <w:t xml:space="preserve">. Except as amended by this Amendment, all other terms of </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the Agreement shall continue to be in full force and effect and are hereby ratified and confirmed.</w:t>
      </w:r>
    </w:p>
    <w:p>
      <w:pPr>
        <w:pStyle w:val="TextBody"/>
        <w:spacing w:before="0" w:after="0"/>
        <w:rPr/>
      </w:pPr>
      <w:r>
        <w:rPr/>
      </w:r>
    </w:p>
    <w:p>
      <w:pPr>
        <w:pStyle w:val="TextBody"/>
        <w:spacing w:before="0" w:after="0"/>
        <w:jc w:val="both"/>
        <w:rPr/>
      </w:pPr>
      <w:r>
        <w:rPr/>
      </w:r>
    </w:p>
    <w:p>
      <w:pPr>
        <w:pStyle w:val="TextBody"/>
        <w:spacing w:before="0" w:after="0"/>
        <w:jc w:val="center"/>
        <w:rPr/>
      </w:pPr>
      <w:r>
        <w:rPr/>
      </w:r>
    </w:p>
    <w:p>
      <w:pPr>
        <w:pStyle w:val="TextBody"/>
        <w:spacing w:lineRule="auto" w:line="264"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[Remainder of Page Left Blank Intentionally; Signature Page Follows]</w:t>
      </w:r>
    </w:p>
    <w:p>
      <w:pPr>
        <w:pStyle w:val="TextBody"/>
        <w:spacing w:before="0" w:after="0"/>
        <w:jc w:val="both"/>
        <w:rPr/>
      </w:pPr>
      <w:r>
        <w:rPr/>
      </w:r>
    </w:p>
    <w:p>
      <w:pPr>
        <w:pStyle w:val="TextBody"/>
        <w:spacing w:before="0" w:after="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lineRule="auto" w:line="264" w:before="0" w:after="0"/>
        <w:ind w:left="0" w:right="0" w:firstLine="72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parties to this Amendment have executed this Amendment as of February 16, 2023.</w:t>
      </w:r>
    </w:p>
    <w:p>
      <w:pPr>
        <w:pStyle w:val="TextBody"/>
        <w:spacing w:lineRule="auto" w:line="264" w:before="0" w:after="0"/>
        <w:ind w:left="0" w:right="0" w:firstLine="4320"/>
        <w:rPr>
          <w:rFonts w:ascii="Times New Roman;sans-serif" w:hAnsi="Times New Roman;sans-serif"/>
          <w:b/>
          <w:color w:val="000000"/>
          <w:sz w:val="24"/>
        </w:rPr>
      </w:pPr>
      <w:r>
        <w:rPr>
          <w:rFonts w:ascii="Times New Roman;sans-serif" w:hAnsi="Times New Roman;sans-serif"/>
          <w:b/>
          <w:color w:val="000000"/>
          <w:sz w:val="24"/>
        </w:rPr>
        <w:t>EXLSERVICE HOLDINGS, INC.</w:t>
      </w:r>
    </w:p>
    <w:p>
      <w:pPr>
        <w:pStyle w:val="TextBody"/>
        <w:spacing w:before="0" w:after="0"/>
        <w:rPr/>
      </w:pPr>
      <w:r>
        <w:rPr/>
      </w:r>
    </w:p>
    <w:p>
      <w:pPr>
        <w:pStyle w:val="TextBody"/>
        <w:spacing w:lineRule="auto" w:line="264" w:before="0" w:after="0"/>
        <w:ind w:left="0" w:right="0" w:firstLine="4320"/>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Ajay Ayyappan</w:t>
      </w:r>
      <w:r>
        <w:rPr>
          <w:rFonts w:ascii="Times New Roman;sans-serif" w:hAnsi="Times New Roman;sans-serif"/>
          <w:b w:val="false"/>
          <w:color w:val="000000"/>
          <w:sz w:val="24"/>
        </w:rPr>
        <w:t>____________</w:t>
      </w:r>
    </w:p>
    <w:p>
      <w:pPr>
        <w:pStyle w:val="TextBody"/>
        <w:spacing w:lineRule="auto" w:line="264" w:before="0" w:after="0"/>
        <w:ind w:left="0" w:right="0" w:firstLine="4320"/>
        <w:rPr>
          <w:rFonts w:ascii="Times New Roman;sans-serif" w:hAnsi="Times New Roman;sans-serif"/>
          <w:b w:val="false"/>
          <w:color w:val="000000"/>
          <w:sz w:val="24"/>
        </w:rPr>
      </w:pPr>
      <w:r>
        <w:rPr>
          <w:rFonts w:ascii="Times New Roman;sans-serif" w:hAnsi="Times New Roman;sans-serif"/>
          <w:b w:val="false"/>
          <w:color w:val="000000"/>
          <w:sz w:val="24"/>
        </w:rPr>
        <w:t>Name: Ajay Ayyappan</w:t>
      </w:r>
    </w:p>
    <w:p>
      <w:pPr>
        <w:pStyle w:val="TextBody"/>
        <w:spacing w:lineRule="auto" w:line="264" w:before="0" w:after="0"/>
        <w:ind w:left="0" w:right="0" w:firstLine="4320"/>
        <w:rPr>
          <w:rFonts w:ascii="Times New Roman;sans-serif" w:hAnsi="Times New Roman;sans-serif"/>
          <w:b w:val="false"/>
          <w:color w:val="000000"/>
          <w:sz w:val="24"/>
        </w:rPr>
      </w:pPr>
      <w:r>
        <w:rPr>
          <w:rFonts w:ascii="Times New Roman;sans-serif" w:hAnsi="Times New Roman;sans-serif"/>
          <w:b w:val="false"/>
          <w:color w:val="000000"/>
          <w:sz w:val="24"/>
        </w:rPr>
        <w:t>Title: Corporate Secretary</w:t>
      </w:r>
    </w:p>
    <w:p>
      <w:pPr>
        <w:pStyle w:val="TextBody"/>
        <w:spacing w:before="0" w:after="0"/>
        <w:rPr/>
      </w:pPr>
      <w:r>
        <w:rPr/>
      </w:r>
    </w:p>
    <w:p>
      <w:pPr>
        <w:pStyle w:val="TextBody"/>
        <w:spacing w:lineRule="auto" w:line="264" w:before="0" w:after="0"/>
        <w:ind w:left="0" w:right="0" w:firstLine="4320"/>
        <w:rPr>
          <w:rFonts w:ascii="Times New Roman;sans-serif" w:hAnsi="Times New Roman;sans-serif"/>
          <w:b/>
          <w:color w:val="000000"/>
          <w:sz w:val="24"/>
        </w:rPr>
      </w:pPr>
      <w:r>
        <w:rPr>
          <w:rFonts w:ascii="Times New Roman;sans-serif" w:hAnsi="Times New Roman;sans-serif"/>
          <w:b/>
          <w:color w:val="000000"/>
          <w:sz w:val="24"/>
        </w:rPr>
        <w:t>ROHIT KAPOOR</w:t>
      </w:r>
    </w:p>
    <w:p>
      <w:pPr>
        <w:pStyle w:val="TextBody"/>
        <w:spacing w:before="0" w:after="0"/>
        <w:rPr/>
      </w:pPr>
      <w:r>
        <w:rPr/>
      </w:r>
    </w:p>
    <w:p>
      <w:pPr>
        <w:pStyle w:val="TextBody"/>
        <w:spacing w:lineRule="auto" w:line="264" w:before="0" w:after="0"/>
        <w:ind w:left="0" w:right="0" w:firstLine="4320"/>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Rohit Kapoor</w:t>
      </w:r>
      <w:r>
        <w:rPr>
          <w:rFonts w:ascii="Times New Roman;sans-serif" w:hAnsi="Times New Roman;sans-serif"/>
          <w:b w:val="false"/>
          <w:color w:val="000000"/>
          <w:sz w:val="24"/>
        </w:rPr>
        <w:t>______________</w:t>
      </w:r>
    </w:p>
    <w:p>
      <w:pPr>
        <w:pStyle w:val="TextBody"/>
        <w:spacing w:lineRule="auto" w:line="264" w:before="0" w:after="0"/>
        <w:ind w:left="0" w:right="0" w:firstLine="4320"/>
        <w:rPr>
          <w:rFonts w:ascii="Times New Roman;sans-serif" w:hAnsi="Times New Roman;sans-serif"/>
          <w:b w:val="false"/>
          <w:color w:val="000000"/>
          <w:sz w:val="24"/>
        </w:rPr>
      </w:pPr>
      <w:r>
        <w:rPr>
          <w:rFonts w:ascii="Times New Roman;sans-serif" w:hAnsi="Times New Roman;sans-serif"/>
          <w:b w:val="false"/>
          <w:color w:val="000000"/>
          <w:sz w:val="24"/>
        </w:rPr>
        <w:t>Name: Rohit Kapoor</w:t>
      </w:r>
    </w:p>
    <w:p>
      <w:pPr>
        <w:pStyle w:val="TextBody"/>
        <w:spacing w:before="0" w:after="0"/>
        <w:rPr/>
      </w:pPr>
      <w:r>
        <w:rPr/>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240"/>
        <w:jc w:val="right"/>
        <w:rPr>
          <w:rFonts w:ascii="Times New Roman;sans-serif" w:hAnsi="Times New Roman;sans-serif"/>
          <w:b/>
          <w:color w:val="000000"/>
          <w:sz w:val="20"/>
        </w:rPr>
      </w:pPr>
      <w:r>
        <w:rPr>
          <w:rFonts w:ascii="Times New Roman;sans-serif" w:hAnsi="Times New Roman;sans-serif"/>
          <w:b/>
          <w:color w:val="000000"/>
          <w:sz w:val="20"/>
        </w:rPr>
        <w:t>Exhibit 10.2</w:t>
      </w:r>
    </w:p>
    <w:p>
      <w:pPr>
        <w:pStyle w:val="TextBody"/>
        <w:spacing w:lineRule="auto" w:line="264" w:before="0" w:after="2"/>
        <w:jc w:val="center"/>
        <w:rPr>
          <w:rFonts w:ascii="Times New Roman;sans-serif" w:hAnsi="Times New Roman;sans-serif"/>
          <w:b/>
          <w:color w:val="000000"/>
          <w:sz w:val="24"/>
        </w:rPr>
      </w:pPr>
      <w:r>
        <w:rPr>
          <w:rFonts w:ascii="Times New Roman;sans-serif" w:hAnsi="Times New Roman;sans-serif"/>
          <w:b/>
          <w:color w:val="000000"/>
          <w:sz w:val="24"/>
        </w:rPr>
        <w:t>EXLSERVICE HOLDINGS, INC.</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2018 OMNIBUS INCENTIVE PLAN</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[FORM OF] RESTRICTED STOCK UNIT AGREEMENT (U.S.)</w:t>
      </w:r>
    </w:p>
    <w:p>
      <w:pPr>
        <w:pStyle w:val="TextBody"/>
        <w:spacing w:before="0" w:after="0"/>
        <w:jc w:val="center"/>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THIS RESTRICTED STOCK UNIT AGREEMENT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is made, effective as of the [INSERT DATE OF GRANT](hereinafter the “Date of Grant”) by and between ExlService Holdings, Inc. a Delaware corporation (the “Company”), and _______[INSERT PARTICIPANT NAME] ____________ (the “Participant”).</w:t>
      </w:r>
    </w:p>
    <w:p>
      <w:pPr>
        <w:pStyle w:val="TextBody"/>
        <w:spacing w:before="0" w:after="0"/>
        <w:ind w:left="0" w:right="0" w:firstLine="720"/>
        <w:jc w:val="both"/>
        <w:rPr/>
      </w:pPr>
      <w:r>
        <w:rPr/>
      </w:r>
    </w:p>
    <w:p>
      <w:pPr>
        <w:pStyle w:val="TextBody"/>
        <w:spacing w:lineRule="auto" w:line="268" w:before="0" w:after="0"/>
        <w:ind w:left="0" w:right="0" w:firstLine="1440"/>
        <w:jc w:val="both"/>
        <w:rPr/>
      </w:pPr>
      <w:r>
        <w:rPr>
          <w:rFonts w:ascii="Times New Roman;sans-serif" w:hAnsi="Times New Roman;sans-serif"/>
          <w:b w:val="false"/>
          <w:color w:val="000000"/>
          <w:sz w:val="24"/>
        </w:rPr>
        <w:t>WHEREAS, the Company has adopted the ExlService Holdings, Inc. 2018 Omnibus Incentive Plan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pursuant to which awards of Restricted Stock Units may be granted; and</w:t>
      </w:r>
    </w:p>
    <w:p>
      <w:pPr>
        <w:pStyle w:val="TextBody"/>
        <w:spacing w:lineRule="auto" w:line="268" w:before="0" w:after="0"/>
        <w:ind w:left="0" w:right="0" w:firstLine="1440"/>
        <w:jc w:val="both"/>
        <w:rPr/>
      </w:pPr>
      <w:r>
        <w:rPr>
          <w:rFonts w:ascii="Times New Roman;sans-serif" w:hAnsi="Times New Roman;sans-serif"/>
          <w:b w:val="false"/>
          <w:color w:val="000000"/>
          <w:sz w:val="24"/>
        </w:rPr>
        <w:t>WHEREAS, the Compensation and Talent Management Committee of the Board of Directors of the Company (the “</w:t>
      </w:r>
      <w:r>
        <w:rPr>
          <w:rFonts w:ascii="Times New Roman;sans-serif" w:hAnsi="Times New Roman;sans-serif"/>
          <w:b w:val="false"/>
          <w:color w:val="000000"/>
          <w:sz w:val="24"/>
          <w:u w:val="single"/>
        </w:rPr>
        <w:t>Committee</w:t>
      </w:r>
      <w:r>
        <w:rPr>
          <w:color w:val="000000"/>
        </w:rPr>
        <w:t>”</w:t>
      </w:r>
      <w:r>
        <w:rPr>
          <w:rFonts w:ascii="Times New Roman;sans-serif" w:hAnsi="Times New Roman;sans-serif"/>
          <w:b w:val="false"/>
          <w:color w:val="000000"/>
          <w:sz w:val="24"/>
        </w:rPr>
        <w:t>) has determined that it is in the best interests of the Company and its stockholders to grant to the Participant an award of Restricted Stock Units as provided herein and subject to the terms set forth herein.</w:t>
      </w:r>
    </w:p>
    <w:p>
      <w:pPr>
        <w:pStyle w:val="TextBody"/>
        <w:spacing w:before="0" w:after="0"/>
        <w:ind w:left="0" w:right="0" w:firstLine="144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pStyle w:val="TextBody"/>
        <w:spacing w:before="0" w:after="0"/>
        <w:ind w:left="0" w:right="0" w:firstLine="144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Grant of Restricted Stock Units</w:t>
      </w:r>
      <w:r>
        <w:rPr>
          <w:rFonts w:ascii="Times New Roman;sans-serif" w:hAnsi="Times New Roman;sans-serif"/>
          <w:b w:val="false"/>
          <w:color w:val="000000"/>
          <w:sz w:val="24"/>
        </w:rPr>
        <w:t>. The Company hereby grants on the Date of Grant, to the Participant a total of [●] Restricted Stock Units (the “</w:t>
      </w:r>
      <w:r>
        <w:rPr>
          <w:rFonts w:ascii="Times New Roman;sans-serif" w:hAnsi="Times New Roman;sans-serif"/>
          <w:b w:val="false"/>
          <w:color w:val="000000"/>
          <w:sz w:val="24"/>
          <w:u w:val="single"/>
        </w:rPr>
        <w:t>Award</w:t>
      </w:r>
      <w:r>
        <w:rPr>
          <w:color w:val="000000"/>
        </w:rPr>
        <w:t>”</w:t>
      </w:r>
      <w:r>
        <w:rPr>
          <w:rFonts w:ascii="Times New Roman;sans-serif" w:hAnsi="Times New Roman;sans-serif"/>
          <w:b w:val="false"/>
          <w:color w:val="000000"/>
          <w:sz w:val="24"/>
        </w:rPr>
        <w:t>) on the terms and conditions set forth in this Agreement and as otherwise provided in the Plan. Such Restricted Stock Units shall be credited to a separate account maintained for the Participant on the books of the Company (the “</w:t>
      </w:r>
      <w:r>
        <w:rPr>
          <w:rFonts w:ascii="Times New Roman;sans-serif" w:hAnsi="Times New Roman;sans-serif"/>
          <w:b w:val="false"/>
          <w:color w:val="000000"/>
          <w:sz w:val="24"/>
          <w:u w:val="single"/>
        </w:rPr>
        <w:t>Account</w:t>
      </w:r>
      <w:r>
        <w:rPr>
          <w:color w:val="000000"/>
        </w:rPr>
        <w:t>”</w:t>
      </w:r>
      <w:r>
        <w:rPr>
          <w:rFonts w:ascii="Times New Roman;sans-serif" w:hAnsi="Times New Roman;sans-serif"/>
          <w:b w:val="false"/>
          <w:color w:val="000000"/>
          <w:sz w:val="24"/>
        </w:rPr>
        <w:t>). On any given date, the value of each Restricted Stock Unit comprising the Award shall equal the Fair Market Value of one share of Common Stock. The Award shall vest in accordance with Section 3 hereof and settle in accordance with Section 4 hereof.</w:t>
      </w:r>
    </w:p>
    <w:p>
      <w:pPr>
        <w:pStyle w:val="TextBody"/>
        <w:spacing w:before="0" w:after="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Incorporation by Reference, Etc</w:t>
      </w:r>
      <w:r>
        <w:rPr>
          <w:rFonts w:ascii="Times New Roman;sans-serif" w:hAnsi="Times New Roman;sans-serif"/>
          <w:b w:val="false"/>
          <w:color w:val="000000"/>
          <w:sz w:val="24"/>
        </w:rPr>
        <w:t>.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w:t>
      </w:r>
    </w:p>
    <w:p>
      <w:pPr>
        <w:pStyle w:val="TextBody"/>
        <w:spacing w:before="0" w:after="0"/>
        <w:jc w:val="both"/>
        <w:rPr/>
      </w:pPr>
      <w:r>
        <w:rPr/>
      </w:r>
    </w:p>
    <w:p>
      <w:pPr>
        <w:pStyle w:val="TextBody"/>
        <w:spacing w:lineRule="auto" w:line="268"/>
        <w:ind w:left="0" w:right="0" w:firstLine="36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Vesting</w:t>
      </w:r>
      <w:r>
        <w:rPr>
          <w:rFonts w:ascii="Times New Roman;sans-serif" w:hAnsi="Times New Roman;sans-serif"/>
          <w:b w:val="false"/>
          <w:color w:val="000000"/>
          <w:sz w:val="24"/>
        </w:rPr>
        <w:t>. Except as otherwise provided herein, [●] percent of the Award shall vest based on continued employment with the Company (or its Affiliates) (the “Time-Based RSUs”) and [●] percent of the Award shall vest based on continued employment with the Company and the achievement of specified performance criteria described herein (the “</w:t>
      </w:r>
      <w:r>
        <w:rPr>
          <w:rFonts w:ascii="Times New Roman;sans-serif" w:hAnsi="Times New Roman;sans-serif"/>
          <w:b w:val="false"/>
          <w:color w:val="000000"/>
          <w:sz w:val="24"/>
          <w:u w:val="single"/>
        </w:rPr>
        <w:t xml:space="preserve">Performance-Based </w:t>
      </w:r>
      <w:r>
        <w:br w:type="page"/>
      </w:r>
    </w:p>
    <w:p>
      <w:pPr>
        <w:pStyle w:val="TextBody"/>
        <w:spacing w:before="0" w:after="0"/>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68" w:before="0" w:after="0"/>
        <w:jc w:val="both"/>
        <w:rPr/>
      </w:pPr>
      <w:r>
        <w:rPr>
          <w:rFonts w:ascii="Times New Roman;sans-serif" w:hAnsi="Times New Roman;sans-serif"/>
          <w:b w:val="false"/>
          <w:color w:val="000000"/>
          <w:sz w:val="24"/>
          <w:u w:val="single"/>
        </w:rPr>
        <w:t>RSUs</w:t>
      </w:r>
      <w:r>
        <w:rPr>
          <w:color w:val="000000"/>
        </w:rPr>
        <w:t>”</w:t>
      </w:r>
      <w:r>
        <w:rPr>
          <w:rFonts w:ascii="Times New Roman;sans-serif" w:hAnsi="Times New Roman;sans-serif"/>
          <w:b w:val="false"/>
          <w:color w:val="000000"/>
          <w:sz w:val="24"/>
        </w:rPr>
        <w:t>). Each day on which a portion of the Award vests in accordance with this Agreement is referred to as a “</w:t>
      </w:r>
      <w:r>
        <w:rPr>
          <w:rFonts w:ascii="Times New Roman;sans-serif" w:hAnsi="Times New Roman;sans-serif"/>
          <w:b w:val="false"/>
          <w:color w:val="000000"/>
          <w:sz w:val="24"/>
          <w:u w:val="single"/>
        </w:rPr>
        <w:t>Vesting Date</w:t>
      </w:r>
      <w:r>
        <w:rPr>
          <w:color w:val="000000"/>
        </w:rPr>
        <w:t>”</w:t>
      </w:r>
      <w:r>
        <w:rPr>
          <w:rFonts w:ascii="Times New Roman;sans-serif" w:hAnsi="Times New Roman;sans-serif"/>
          <w:b w:val="false"/>
          <w:color w:val="000000"/>
          <w:sz w:val="24"/>
        </w:rPr>
        <w:t>.</w:t>
      </w:r>
    </w:p>
    <w:p>
      <w:pPr>
        <w:pStyle w:val="TextBody"/>
        <w:spacing w:before="0" w:after="0"/>
        <w:ind w:left="0" w:right="0" w:firstLine="720"/>
        <w:jc w:val="both"/>
        <w:rPr/>
      </w:pPr>
      <w:r>
        <w:rPr/>
      </w:r>
    </w:p>
    <w:p>
      <w:pPr>
        <w:pStyle w:val="TextBody"/>
        <w:spacing w:lineRule="auto" w:line="268" w:before="0" w:after="0"/>
        <w:ind w:left="0" w:right="0" w:hanging="45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Time-Based RSUs.</w:t>
      </w:r>
      <w:r>
        <w:rPr>
          <w:color w:val="000000"/>
        </w:rPr>
        <w:t xml:space="preserve"> </w:t>
      </w:r>
    </w:p>
    <w:p>
      <w:pPr>
        <w:pStyle w:val="TextBody"/>
        <w:spacing w:before="0" w:after="0"/>
        <w:ind w:left="0" w:right="0" w:hanging="90"/>
        <w:jc w:val="both"/>
        <w:rPr/>
      </w:pPr>
      <w:r>
        <w:rPr/>
      </w:r>
    </w:p>
    <w:p>
      <w:pPr>
        <w:pStyle w:val="TextBody"/>
        <w:spacing w:lineRule="auto" w:line="268" w:before="0" w:after="0"/>
        <w:ind w:left="0" w:right="0" w:firstLine="1304"/>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Generally</w:t>
      </w:r>
      <w:r>
        <w:rPr>
          <w:rFonts w:ascii="Times New Roman;sans-serif" w:hAnsi="Times New Roman;sans-serif"/>
          <w:b w:val="false"/>
          <w:color w:val="000000"/>
          <w:sz w:val="24"/>
        </w:rPr>
        <w:t>. Subject to the Participant’s continued employment with the Company through each applicable Vesting Date listed in the chart below (the “</w:t>
      </w:r>
      <w:r>
        <w:rPr>
          <w:rFonts w:ascii="Times New Roman;sans-serif" w:hAnsi="Times New Roman;sans-serif"/>
          <w:b w:val="false"/>
          <w:color w:val="000000"/>
          <w:sz w:val="24"/>
          <w:u w:val="single"/>
        </w:rPr>
        <w:t>Vesting Chart</w:t>
      </w:r>
      <w:r>
        <w:rPr>
          <w:color w:val="000000"/>
        </w:rPr>
        <w:t>”</w:t>
      </w:r>
      <w:r>
        <w:rPr>
          <w:rFonts w:ascii="Times New Roman;sans-serif" w:hAnsi="Times New Roman;sans-serif"/>
          <w:b w:val="false"/>
          <w:color w:val="000000"/>
          <w:sz w:val="24"/>
        </w:rPr>
        <w:t>), the Time-Based RSUs shall become vested as follows:</w:t>
      </w:r>
    </w:p>
    <w:tbl>
      <w:tblPr>
        <w:tblW w:w="6119" w:type="dxa"/>
        <w:jc w:val="left"/>
        <w:tblInd w:w="0" w:type="dxa"/>
        <w:tblCellMar>
          <w:top w:w="28" w:type="dxa"/>
          <w:left w:w="28" w:type="dxa"/>
          <w:bottom w:w="28" w:type="dxa"/>
          <w:right w:w="28" w:type="dxa"/>
        </w:tblCellMar>
      </w:tblPr>
      <w:tblGrid>
        <w:gridCol w:w="1347"/>
        <w:gridCol w:w="1183"/>
        <w:gridCol w:w="1189"/>
        <w:gridCol w:w="702"/>
        <w:gridCol w:w="702"/>
        <w:gridCol w:w="996"/>
      </w:tblGrid>
      <w:tr>
        <w:trPr/>
        <w:tc>
          <w:tcPr>
            <w:tcW w:w="1347"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r>
      <w:tr>
        <w:trPr/>
        <w:tc>
          <w:tcPr>
            <w:tcW w:w="37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Percent of Time-Based RSUs Vesting</w:t>
            </w:r>
          </w:p>
        </w:tc>
        <w:tc>
          <w:tcPr>
            <w:tcW w:w="240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Vesting Date</w:t>
            </w:r>
          </w:p>
        </w:tc>
      </w:tr>
      <w:tr>
        <w:trPr/>
        <w:tc>
          <w:tcPr>
            <w:tcW w:w="37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240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center"/>
              <w:rPr/>
            </w:pPr>
            <w:r>
              <w:rPr>
                <w:rFonts w:ascii="Times New Roman;sans-serif" w:hAnsi="Times New Roman;sans-serif"/>
                <w:b w:val="false"/>
                <w:color w:val="000000"/>
                <w:sz w:val="24"/>
              </w:rPr>
              <w:t>[1</w:t>
            </w:r>
            <w:r>
              <w:rPr>
                <w:rFonts w:ascii="Times New Roman;sans-serif" w:hAnsi="Times New Roman;sans-serif"/>
                <w:b w:val="false"/>
                <w:color w:val="000000"/>
                <w:sz w:val="13"/>
              </w:rPr>
              <w:t>st</w:t>
            </w:r>
            <w:r>
              <w:rPr>
                <w:rFonts w:ascii="Times New Roman;sans-serif" w:hAnsi="Times New Roman;sans-serif"/>
                <w:b w:val="false"/>
                <w:color w:val="000000"/>
                <w:sz w:val="24"/>
              </w:rPr>
              <w:t>] Grant Anniversary</w:t>
            </w:r>
          </w:p>
        </w:tc>
      </w:tr>
      <w:tr>
        <w:trPr/>
        <w:tc>
          <w:tcPr>
            <w:tcW w:w="37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240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center"/>
              <w:rPr/>
            </w:pPr>
            <w:r>
              <w:rPr>
                <w:rFonts w:ascii="Times New Roman;sans-serif" w:hAnsi="Times New Roman;sans-serif"/>
                <w:b w:val="false"/>
                <w:color w:val="000000"/>
                <w:sz w:val="24"/>
              </w:rPr>
              <w:t>[2</w:t>
            </w:r>
            <w:r>
              <w:rPr>
                <w:rFonts w:ascii="Times New Roman;sans-serif" w:hAnsi="Times New Roman;sans-serif"/>
                <w:b w:val="false"/>
                <w:color w:val="000000"/>
                <w:sz w:val="13"/>
              </w:rPr>
              <w:t>nd</w:t>
            </w:r>
            <w:r>
              <w:rPr>
                <w:rFonts w:ascii="Times New Roman;sans-serif" w:hAnsi="Times New Roman;sans-serif"/>
                <w:b w:val="false"/>
                <w:color w:val="000000"/>
                <w:sz w:val="24"/>
              </w:rPr>
              <w:t>] Grant Anniversary</w:t>
            </w:r>
          </w:p>
        </w:tc>
      </w:tr>
      <w:tr>
        <w:trPr/>
        <w:tc>
          <w:tcPr>
            <w:tcW w:w="37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240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center"/>
              <w:rPr/>
            </w:pPr>
            <w:r>
              <w:rPr>
                <w:rFonts w:ascii="Times New Roman;sans-serif" w:hAnsi="Times New Roman;sans-serif"/>
                <w:b w:val="false"/>
                <w:color w:val="000000"/>
                <w:sz w:val="24"/>
              </w:rPr>
              <w:t>[3</w:t>
            </w:r>
            <w:r>
              <w:rPr>
                <w:rFonts w:ascii="Times New Roman;sans-serif" w:hAnsi="Times New Roman;sans-serif"/>
                <w:b w:val="false"/>
                <w:color w:val="000000"/>
                <w:sz w:val="13"/>
              </w:rPr>
              <w:t>rd</w:t>
            </w:r>
            <w:r>
              <w:rPr>
                <w:rFonts w:ascii="Times New Roman;sans-serif" w:hAnsi="Times New Roman;sans-serif"/>
                <w:b w:val="false"/>
                <w:color w:val="000000"/>
                <w:sz w:val="24"/>
              </w:rPr>
              <w:t>] Grant Anniversary</w:t>
            </w:r>
          </w:p>
        </w:tc>
      </w:tr>
      <w:tr>
        <w:trPr/>
        <w:tc>
          <w:tcPr>
            <w:tcW w:w="371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2400"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
              <w:jc w:val="center"/>
              <w:rPr/>
            </w:pPr>
            <w:r>
              <w:rPr>
                <w:rFonts w:ascii="Times New Roman;sans-serif" w:hAnsi="Times New Roman;sans-serif"/>
                <w:b w:val="false"/>
                <w:color w:val="000000"/>
                <w:sz w:val="24"/>
              </w:rPr>
              <w:t>[4</w:t>
            </w:r>
            <w:r>
              <w:rPr>
                <w:rFonts w:ascii="Times New Roman;sans-serif" w:hAnsi="Times New Roman;sans-serif"/>
                <w:b w:val="false"/>
                <w:color w:val="000000"/>
                <w:sz w:val="13"/>
              </w:rPr>
              <w:t>th</w:t>
            </w:r>
            <w:r>
              <w:rPr>
                <w:rFonts w:ascii="Times New Roman;sans-serif" w:hAnsi="Times New Roman;sans-serif"/>
                <w:b w:val="false"/>
                <w:color w:val="000000"/>
                <w:sz w:val="24"/>
              </w:rPr>
              <w:t>] Grant Anniversary</w:t>
            </w:r>
          </w:p>
        </w:tc>
      </w:tr>
    </w:tbl>
    <w:p>
      <w:pPr>
        <w:pStyle w:val="TextBody"/>
        <w:spacing w:before="0" w:after="0"/>
        <w:ind w:left="0" w:right="0" w:firstLine="1890"/>
        <w:jc w:val="both"/>
        <w:rPr/>
      </w:pPr>
      <w:r>
        <w:rPr/>
      </w:r>
    </w:p>
    <w:p>
      <w:pPr>
        <w:pStyle w:val="TextBody"/>
        <w:spacing w:lineRule="auto" w:line="268" w:before="0" w:after="0"/>
        <w:ind w:left="0" w:right="0" w:firstLine="1237"/>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Change in Control</w:t>
      </w:r>
      <w:r>
        <w:rPr>
          <w:rFonts w:ascii="Times New Roman;sans-serif" w:hAnsi="Times New Roman;sans-serif"/>
          <w:b w:val="false"/>
          <w:color w:val="000000"/>
          <w:sz w:val="24"/>
        </w:rPr>
        <w:t xml:space="preserve">. (A) Notwithstanding the foregoing, in the event that a “Change in Control” (which for purposes of this Agreement shall have the meaning set forth in the Plan as modified by the language at the end of this Section 3) occurs at a time when any portion of the Time-Based RSUs remain unvested, then effective upon the consummation of the Change in Control, the vesting of the portion of the Time-Based RSUs which is not then fully vested shall accelerate such that any portion of the Time-Based RSUs which would have become vested during the one-year period following the Change in Control shall become vested effective as of the consummation of the Change in Control. </w:t>
      </w:r>
    </w:p>
    <w:p>
      <w:pPr>
        <w:pStyle w:val="TextBody"/>
        <w:spacing w:before="0" w:after="0"/>
        <w:ind w:left="0" w:right="0" w:firstLine="2880"/>
        <w:jc w:val="both"/>
        <w:rPr/>
      </w:pPr>
      <w:r>
        <w:rPr/>
      </w:r>
    </w:p>
    <w:p>
      <w:pPr>
        <w:pStyle w:val="TextBody"/>
        <w:spacing w:lineRule="auto" w:line="268" w:before="0" w:after="0"/>
        <w:ind w:left="0" w:right="0" w:firstLine="12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In addition: (1) in the event that Participant’s employment by the Company is terminated by the Company without Cause (as defined in the Plan) (x) at any time following a Change in Control or (y) in specific contemplation of a Change in Control or (2) in the event Participant resigns with “Good Reason” (as defined below) at any time following a Change in Control, Participant shall, upon and subject to the execution within sixty (60) days following termination of employment (and non- revocation during any applicable revocation period) of a standard release of all employment-related claims against the Company and its Affiliates and each of their employees, officers and directors, be entitled to immediate vesting as of the termination date of any portion of the Time-Based RSUs which is unvested as of the termination date. </w:t>
      </w:r>
    </w:p>
    <w:p>
      <w:pPr>
        <w:pStyle w:val="TextBody"/>
        <w:spacing w:lineRule="auto" w:line="268" w:before="0" w:after="0"/>
        <w:ind w:left="0" w:right="0" w:firstLine="1260"/>
        <w:jc w:val="both"/>
        <w:rPr>
          <w:rFonts w:ascii="Times New Roman;sans-serif" w:hAnsi="Times New Roman;sans-serif"/>
          <w:b w:val="false"/>
          <w:color w:val="000000"/>
          <w:sz w:val="24"/>
        </w:rPr>
      </w:pPr>
      <w:r>
        <w:rPr>
          <w:rFonts w:ascii="Times New Roman;sans-serif" w:hAnsi="Times New Roman;sans-serif"/>
          <w:b w:val="false"/>
          <w:color w:val="000000"/>
          <w:sz w:val="24"/>
        </w:rPr>
        <w:t>(C) The term “Good Reason” shall have the meaning set forth in any employment, consulting or other agreement between the Company or an Affiliate and the Participant in effect on the date hereof, or, in the absence of such definition therein, the occurrence, without Participant’s prior written consent, of any of the following events:</w:t>
      </w:r>
    </w:p>
    <w:p>
      <w:pPr>
        <w:pStyle w:val="TextBody"/>
        <w:spacing w:before="0" w:after="0"/>
        <w:ind w:left="0" w:right="0" w:firstLine="4140"/>
        <w:jc w:val="both"/>
        <w:rPr/>
      </w:pPr>
      <w:r>
        <w:rPr/>
      </w:r>
    </w:p>
    <w:p>
      <w:pPr>
        <w:pStyle w:val="TextBody"/>
        <w:spacing w:lineRule="auto" w:line="276" w:before="0" w:after="0"/>
        <w:ind w:left="0" w:right="0" w:firstLine="180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a substantial reduction of Participant’s duties or responsibilities, or Participant being required to report to any person other than the Board or the Company’s Chief Executive Officer or President; provided that, if there is a Change in Control and Participant retains a similar title and similar duties with the Company or any entity that acquires the Company (or any affiliate or subsidiary of such entity) following such Change in Control, any change in Participant’s title shall not a constitute a significant reduction of Participant’s duties and authorities hereunder;</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76" w:before="0" w:after="0"/>
        <w:ind w:left="0" w:right="0" w:firstLine="180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Participant’s job title is adversely changed, provided that if there is a Change in Control and Participant retains a similar title and similar duties with the Company or any entity that acquires the Company (or any affiliate or subsidiary of such entity) following such Change in Control, any change in Participant’s title shall not constitute a significant reduction of Participant’s duties and authorities hereunder;</w:t>
      </w:r>
    </w:p>
    <w:p>
      <w:pPr>
        <w:pStyle w:val="TextBody"/>
        <w:spacing w:before="0" w:after="0"/>
        <w:jc w:val="both"/>
        <w:rPr/>
      </w:pPr>
      <w:r>
        <w:rPr/>
      </w:r>
    </w:p>
    <w:p>
      <w:pPr>
        <w:pStyle w:val="TextBody"/>
        <w:spacing w:lineRule="auto" w:line="276" w:before="0" w:after="0"/>
        <w:ind w:left="0" w:right="0" w:firstLine="1800"/>
        <w:jc w:val="both"/>
        <w:rPr>
          <w:rFonts w:ascii="Times New Roman;sans-serif" w:hAnsi="Times New Roman;sans-serif"/>
          <w:b w:val="false"/>
          <w:color w:val="000000"/>
          <w:sz w:val="24"/>
        </w:rPr>
      </w:pPr>
      <w:r>
        <w:rPr>
          <w:rFonts w:ascii="Times New Roman;sans-serif" w:hAnsi="Times New Roman;sans-serif"/>
          <w:b w:val="false"/>
          <w:color w:val="000000"/>
          <w:sz w:val="24"/>
        </w:rPr>
        <w:t>(3) following a Change in Control, a change in the office or location where Participant is based of more than thirty (30) miles, which new location is more than thirty (30) miles from Participant’s primary residence; or</w:t>
      </w:r>
    </w:p>
    <w:p>
      <w:pPr>
        <w:pStyle w:val="TextBody"/>
        <w:spacing w:before="0" w:after="0"/>
        <w:jc w:val="both"/>
        <w:rPr/>
      </w:pPr>
      <w:r>
        <w:rPr/>
      </w:r>
    </w:p>
    <w:p>
      <w:pPr>
        <w:pStyle w:val="TextBody"/>
        <w:spacing w:lineRule="auto" w:line="276" w:before="0" w:after="0"/>
        <w:ind w:left="0" w:right="0" w:firstLine="1800"/>
        <w:jc w:val="both"/>
        <w:rPr>
          <w:rFonts w:ascii="Times New Roman;sans-serif" w:hAnsi="Times New Roman;sans-serif"/>
          <w:b w:val="false"/>
          <w:color w:val="000000"/>
          <w:sz w:val="24"/>
        </w:rPr>
      </w:pPr>
      <w:r>
        <w:rPr>
          <w:rFonts w:ascii="Times New Roman;sans-serif" w:hAnsi="Times New Roman;sans-serif"/>
          <w:b w:val="false"/>
          <w:color w:val="000000"/>
          <w:sz w:val="24"/>
        </w:rPr>
        <w:t>(4) following a Change in Control, a breach by the Company of any material term of any employment, consulting, or similar agreement between the Company and Participant;</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provided that, a termination by Participant with Good Reason shall be effective only if, within thirty (30) days following Participant’s first becoming aware of the circumstances giving rise to Good Reason, Participant delivers a “notice of termination” for Good Reason to the Company, and the Company within fifteen (15) days following its receipt of such notification has failed to cure the circumstances giving rise to Good Reason.</w:t>
      </w:r>
    </w:p>
    <w:p>
      <w:pPr>
        <w:pStyle w:val="TextBody"/>
        <w:spacing w:before="0" w:after="0"/>
        <w:jc w:val="both"/>
        <w:rPr/>
      </w:pPr>
      <w:r>
        <w:rPr/>
      </w:r>
    </w:p>
    <w:p>
      <w:pPr>
        <w:pStyle w:val="TextBody"/>
        <w:spacing w:lineRule="auto" w:line="268" w:before="0" w:after="0"/>
        <w:ind w:left="0" w:right="0" w:firstLine="153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Death</w:t>
      </w:r>
      <w:r>
        <w:rPr>
          <w:rFonts w:ascii="Times New Roman;sans-serif" w:hAnsi="Times New Roman;sans-serif"/>
          <w:b w:val="false"/>
          <w:color w:val="000000"/>
          <w:sz w:val="24"/>
        </w:rPr>
        <w:t>. Notwithstanding the foregoing, in the event that Participant’s employment with the Company is terminated due to Participant’s death at a time when any portion of the Time-Based RSUs remain unvested, the portion of the Time-Based RSUs which is unvested shall become immediately vested effective as of the date of Participant’s death.</w:t>
      </w:r>
    </w:p>
    <w:p>
      <w:pPr>
        <w:pStyle w:val="TextBody"/>
        <w:spacing w:before="0" w:after="0"/>
        <w:ind w:left="0" w:right="0" w:firstLine="1890"/>
        <w:jc w:val="both"/>
        <w:rPr/>
      </w:pPr>
      <w:r>
        <w:rPr/>
      </w:r>
    </w:p>
    <w:p>
      <w:pPr>
        <w:pStyle w:val="TextBody"/>
        <w:spacing w:lineRule="auto" w:line="268" w:before="0" w:after="0"/>
        <w:ind w:left="0" w:right="0" w:firstLine="153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u w:val="single"/>
        </w:rPr>
        <w:t>Retirement</w:t>
      </w:r>
      <w:r>
        <w:rPr>
          <w:rFonts w:ascii="Times New Roman;sans-serif" w:hAnsi="Times New Roman;sans-serif"/>
          <w:b w:val="false"/>
          <w:color w:val="000000"/>
          <w:sz w:val="24"/>
        </w:rPr>
        <w:t>. Notwithstanding the foregoing, and assuming that such Time-Based RSUs have been outstanding for at least six (6) months from the Grant Date, in the event that Participant’s employment with the Company is terminated, other than by Company for Cause (as defined in the Plan),</w:t>
      </w:r>
    </w:p>
    <w:p>
      <w:pPr>
        <w:pStyle w:val="TextBody"/>
        <w:spacing w:before="0" w:after="0"/>
        <w:ind w:left="0" w:right="0" w:firstLine="1890"/>
        <w:jc w:val="both"/>
        <w:rPr/>
      </w:pPr>
      <w:r>
        <w:rPr/>
      </w:r>
    </w:p>
    <w:p>
      <w:pPr>
        <w:pStyle w:val="TextBody"/>
        <w:spacing w:lineRule="auto" w:line="276" w:before="0" w:after="0"/>
        <w:ind w:left="0" w:right="0" w:firstLine="180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after having attained age sixty (60) with at least ten (10) years of service with the Company (or its Affiliates) at a time when any portion of the Time-Based RSUs remain unvested, then one-hundred percent (100%) of that portion of the Participant’s Time-Based RSUs (and only that portion) that is scheduled to vest within the next twelve (12) months shall become immediately vested as of the date the Participant terminates employment, and any remaining unvested Time-Based RSUs shall be immediately forfeited; and</w:t>
      </w:r>
    </w:p>
    <w:p>
      <w:pPr>
        <w:pStyle w:val="TextBody"/>
        <w:spacing w:before="0" w:after="0"/>
        <w:jc w:val="both"/>
        <w:rPr/>
      </w:pPr>
      <w:r>
        <w:rPr/>
      </w:r>
    </w:p>
    <w:p>
      <w:pPr>
        <w:pStyle w:val="TextBody"/>
        <w:spacing w:lineRule="auto" w:line="276" w:before="0" w:after="0"/>
        <w:ind w:left="0" w:right="0" w:firstLine="180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after having attained age sixty (60) with at least five (5) years and less than ten (10) years of service with the Company (or its Affiliates) at a time when any portion of the Time-Based RSUs remain unvested, then the applicable percentage of the Participant’s Time-Based RSUs (and only that portion) that is scheduled to vest within the next twelve (12) months, as described below (the “</w:t>
      </w:r>
      <w:r>
        <w:rPr>
          <w:rFonts w:ascii="Times New Roman;sans-serif" w:hAnsi="Times New Roman;sans-serif"/>
          <w:b w:val="false"/>
          <w:color w:val="000000"/>
          <w:sz w:val="24"/>
          <w:u w:val="single"/>
        </w:rPr>
        <w:t>Prorated Percentage</w:t>
      </w:r>
      <w:r>
        <w:rPr>
          <w:color w:val="000000"/>
        </w:rPr>
        <w:t>”</w:t>
      </w:r>
      <w:r>
        <w:rPr>
          <w:rFonts w:ascii="Times New Roman;sans-serif" w:hAnsi="Times New Roman;sans-serif"/>
          <w:b w:val="false"/>
          <w:color w:val="000000"/>
          <w:sz w:val="24"/>
        </w:rPr>
        <w:t>), shall become immediately vested as of the date the Participant terminates employment, and any remaining unvested Time-Based RSUs shall be immediately forfeited.</w:t>
      </w:r>
    </w:p>
    <w:p>
      <w:pPr>
        <w:pStyle w:val="TextBody"/>
        <w:spacing w:before="0" w:after="0"/>
        <w:ind w:left="0" w:right="0" w:firstLine="2160"/>
        <w:jc w:val="both"/>
        <w:rPr/>
      </w:pPr>
      <w:r>
        <w:rPr/>
      </w:r>
    </w:p>
    <w:tbl>
      <w:tblPr>
        <w:tblW w:w="4890" w:type="dxa"/>
        <w:jc w:val="left"/>
        <w:tblInd w:w="0" w:type="dxa"/>
        <w:tblCellMar>
          <w:top w:w="28" w:type="dxa"/>
          <w:left w:w="28" w:type="dxa"/>
          <w:bottom w:w="28" w:type="dxa"/>
          <w:right w:w="28" w:type="dxa"/>
        </w:tblCellMar>
      </w:tblPr>
      <w:tblGrid>
        <w:gridCol w:w="1033"/>
        <w:gridCol w:w="907"/>
        <w:gridCol w:w="910"/>
        <w:gridCol w:w="597"/>
        <w:gridCol w:w="597"/>
        <w:gridCol w:w="846"/>
      </w:tblGrid>
      <w:tr>
        <w:trPr/>
        <w:tc>
          <w:tcPr>
            <w:tcW w:w="1033"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r>
      <w:tr>
        <w:trPr/>
        <w:tc>
          <w:tcPr>
            <w:tcW w:w="285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Completed Years of Service:</w:t>
              <w:br/>
              <w:t>At least</w:t>
            </w:r>
          </w:p>
        </w:tc>
        <w:tc>
          <w:tcPr>
            <w:tcW w:w="2040"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Prorated Percentage</w:t>
            </w:r>
          </w:p>
        </w:tc>
      </w:tr>
    </w:tbl>
    <w:p>
      <w:pPr>
        <w:pStyle w:val="TextBody"/>
        <w:spacing w:before="0" w:after="0"/>
        <w:rPr/>
      </w:pPr>
      <w:r>
        <w:br w:type="page"/>
      </w: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tbl>
      <w:tblPr>
        <w:tblW w:w="2174" w:type="dxa"/>
        <w:jc w:val="left"/>
        <w:tblInd w:w="0" w:type="dxa"/>
        <w:tblCellMar>
          <w:top w:w="28" w:type="dxa"/>
          <w:left w:w="28" w:type="dxa"/>
          <w:bottom w:w="28" w:type="dxa"/>
          <w:right w:w="28" w:type="dxa"/>
        </w:tblCellMar>
      </w:tblPr>
      <w:tblGrid>
        <w:gridCol w:w="576"/>
        <w:gridCol w:w="505"/>
        <w:gridCol w:w="509"/>
        <w:gridCol w:w="170"/>
        <w:gridCol w:w="170"/>
        <w:gridCol w:w="244"/>
      </w:tblGrid>
      <w:tr>
        <w:trPr/>
        <w:tc>
          <w:tcPr>
            <w:tcW w:w="576"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159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Five (5) years</w:t>
            </w:r>
          </w:p>
        </w:tc>
        <w:tc>
          <w:tcPr>
            <w:tcW w:w="58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c>
      </w:tr>
      <w:tr>
        <w:trPr/>
        <w:tc>
          <w:tcPr>
            <w:tcW w:w="159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Six (6) years</w:t>
            </w:r>
          </w:p>
        </w:tc>
        <w:tc>
          <w:tcPr>
            <w:tcW w:w="58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tc>
      </w:tr>
      <w:tr>
        <w:trPr/>
        <w:tc>
          <w:tcPr>
            <w:tcW w:w="159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Seven (7) years</w:t>
            </w:r>
          </w:p>
        </w:tc>
        <w:tc>
          <w:tcPr>
            <w:tcW w:w="58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70%</w:t>
            </w:r>
          </w:p>
        </w:tc>
      </w:tr>
      <w:tr>
        <w:trPr/>
        <w:tc>
          <w:tcPr>
            <w:tcW w:w="159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Eight (8) years</w:t>
            </w:r>
          </w:p>
        </w:tc>
        <w:tc>
          <w:tcPr>
            <w:tcW w:w="58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80%</w:t>
            </w:r>
          </w:p>
        </w:tc>
      </w:tr>
      <w:tr>
        <w:trPr/>
        <w:tc>
          <w:tcPr>
            <w:tcW w:w="159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Nine (9) years</w:t>
            </w:r>
          </w:p>
        </w:tc>
        <w:tc>
          <w:tcPr>
            <w:tcW w:w="584"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90%</w:t>
            </w:r>
          </w:p>
        </w:tc>
      </w:tr>
    </w:tbl>
    <w:p>
      <w:pPr>
        <w:pStyle w:val="TextBody"/>
        <w:spacing w:before="0" w:after="0"/>
        <w:jc w:val="both"/>
        <w:rPr/>
      </w:pPr>
      <w:r>
        <w:rPr/>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purposes of this Section 3(a)(iv), years of service with the Company (or its Affiliates) does not include tenure at any organization acquired by the Company (or its Affiliates) prior to the closing date of such acquisition.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Any Time-Based RSUs shall be settled in accordance with Section 4 of this Agreement.</w:t>
      </w:r>
    </w:p>
    <w:p>
      <w:pPr>
        <w:pStyle w:val="TextBody"/>
        <w:spacing w:before="0" w:after="0"/>
        <w:jc w:val="both"/>
        <w:rPr/>
      </w:pPr>
      <w:r>
        <w:rPr/>
      </w:r>
    </w:p>
    <w:p>
      <w:pPr>
        <w:pStyle w:val="TextBody"/>
        <w:spacing w:lineRule="auto" w:line="268" w:before="0" w:after="0"/>
        <w:ind w:left="0" w:right="0" w:firstLine="90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Performance-Based RSUs.</w:t>
      </w:r>
      <w:r>
        <w:rPr>
          <w:color w:val="000000"/>
        </w:rPr>
        <w:t xml:space="preserve"> </w:t>
      </w:r>
    </w:p>
    <w:p>
      <w:pPr>
        <w:pStyle w:val="TextBody"/>
        <w:spacing w:before="0" w:after="0"/>
        <w:ind w:left="0" w:right="0" w:firstLine="1260"/>
        <w:jc w:val="both"/>
        <w:rPr/>
      </w:pPr>
      <w:r>
        <w:rPr/>
      </w:r>
    </w:p>
    <w:p>
      <w:pPr>
        <w:pStyle w:val="TextBody"/>
        <w:spacing w:lineRule="auto" w:line="268" w:before="0" w:after="0"/>
        <w:ind w:left="0" w:right="0" w:firstLine="1304"/>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Generally</w:t>
      </w:r>
      <w:r>
        <w:rPr>
          <w:rFonts w:ascii="Times New Roman;sans-serif" w:hAnsi="Times New Roman;sans-serif"/>
          <w:b w:val="false"/>
          <w:color w:val="000000"/>
          <w:sz w:val="24"/>
        </w:rPr>
        <w:t xml:space="preserve">. Except as otherwise provided herein, [●] percent of the Performance-Based RSUs shall cliff vest on [●], based on continuous service with the Company through such Vesting Date and the achievement of Company revenues against the aggregate revenue target as set forth on Exhibit A (the “Revenue-Based RSUs”); and [●] of the Performance-Based RSUs shall cliff vest on [●], based on continuous service with the Company through such Vesting Date and the achievement of relative total stockholder return (“TSR”) performance of the Company against the Peer Group (as defined on Exhibit B) over the period from [●] through [●] (the “TSR Performance Period”) as set forth on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TSR-Based RSUs</w:t>
      </w:r>
      <w:r>
        <w:rPr>
          <w:color w:val="000000"/>
        </w:rPr>
        <w:t>”</w:t>
      </w:r>
      <w:r>
        <w:rPr>
          <w:rFonts w:ascii="Times New Roman;sans-serif" w:hAnsi="Times New Roman;sans-serif"/>
          <w:b w:val="false"/>
          <w:color w:val="000000"/>
          <w:sz w:val="24"/>
        </w:rPr>
        <w:t>).</w:t>
      </w:r>
    </w:p>
    <w:p>
      <w:pPr>
        <w:pStyle w:val="TextBody"/>
        <w:spacing w:before="0" w:after="0"/>
        <w:ind w:left="0" w:right="0" w:firstLine="1890"/>
        <w:jc w:val="both"/>
        <w:rPr/>
      </w:pPr>
      <w:r>
        <w:rPr/>
      </w:r>
    </w:p>
    <w:p>
      <w:pPr>
        <w:pStyle w:val="TextBody"/>
        <w:spacing w:lineRule="auto" w:line="268" w:before="0" w:after="0"/>
        <w:ind w:left="0" w:right="0" w:firstLine="1237"/>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Change in Control</w:t>
      </w:r>
      <w:r>
        <w:rPr>
          <w:rFonts w:ascii="Times New Roman;sans-serif" w:hAnsi="Times New Roman;sans-serif"/>
          <w:b w:val="false"/>
          <w:color w:val="000000"/>
          <w:sz w:val="24"/>
        </w:rPr>
        <w:t>. Notwithstanding the foregoing:</w:t>
      </w:r>
    </w:p>
    <w:p>
      <w:pPr>
        <w:pStyle w:val="TextBody"/>
        <w:spacing w:before="0" w:after="0"/>
        <w:ind w:left="0" w:right="0" w:firstLine="1890"/>
        <w:jc w:val="both"/>
        <w:rPr/>
      </w:pPr>
      <w:r>
        <w:rPr/>
      </w:r>
    </w:p>
    <w:p>
      <w:pPr>
        <w:pStyle w:val="TextBody"/>
        <w:spacing w:lineRule="auto" w:line="268" w:before="0" w:after="0"/>
        <w:ind w:left="0" w:right="0" w:firstLine="153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Revenue-Based RSUs</w:t>
      </w:r>
      <w:r>
        <w:rPr>
          <w:rFonts w:ascii="Times New Roman;sans-serif" w:hAnsi="Times New Roman;sans-serif"/>
          <w:b w:val="false"/>
          <w:color w:val="000000"/>
          <w:sz w:val="24"/>
        </w:rPr>
        <w:t>. In the event that a Change in Control occurs before [●], one hundred percent (100%) of the Revenue-Based RSUs will be deemed earned as of the date of the Change in Control. For the avoidance of doubt, in such event, the Participant will be unable to earn any additional Revenue-Based RSUs.</w:t>
      </w:r>
    </w:p>
    <w:p>
      <w:pPr>
        <w:pStyle w:val="TextBody"/>
        <w:spacing w:before="0" w:after="0"/>
        <w:ind w:left="0" w:right="0" w:firstLine="1890"/>
        <w:jc w:val="both"/>
        <w:rPr/>
      </w:pPr>
      <w:r>
        <w:rPr/>
      </w:r>
    </w:p>
    <w:p>
      <w:pPr>
        <w:pStyle w:val="TextBody"/>
        <w:spacing w:lineRule="auto" w:line="268" w:before="0" w:after="0"/>
        <w:ind w:left="0" w:right="0" w:firstLine="153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TSR-Based RSUs</w:t>
      </w:r>
      <w:r>
        <w:rPr>
          <w:rFonts w:ascii="Times New Roman;sans-serif" w:hAnsi="Times New Roman;sans-serif"/>
          <w:b w:val="false"/>
          <w:color w:val="000000"/>
          <w:sz w:val="24"/>
        </w:rPr>
        <w:t xml:space="preserve">. In the event that a Change in Control occurs on or before the first anniversary of the Date of Grant, one hundred percent (100%) of the TSR-Based RSUs will be deemed earned as of the date of the Change in Control. For the avoidance of doubt, in such event, the Participant will be unable to earn any additional TSR-Based RSUs. In the event that a Change in Control occurs after the first anniversary of the Date of Grant, then (i) the TSR Performance Period shall be deemed to end on the date of the Change in Control, and the Committee shall determine the TSR of the Company and the Peer Group (as defined in </w:t>
      </w:r>
      <w:r>
        <w:rPr>
          <w:rFonts w:ascii="Times New Roman;sans-serif" w:hAnsi="Times New Roman;sans-serif"/>
          <w:b w:val="false"/>
          <w:color w:val="000000"/>
          <w:sz w:val="24"/>
          <w:u w:val="single"/>
        </w:rPr>
        <w:t>Exhibit B</w:t>
      </w:r>
      <w:r>
        <w:rPr>
          <w:rFonts w:ascii="Times New Roman;sans-serif" w:hAnsi="Times New Roman;sans-serif"/>
          <w:b w:val="false"/>
          <w:color w:val="000000"/>
          <w:sz w:val="24"/>
        </w:rPr>
        <w:t xml:space="preserve">) as of such date, and shall determine the number of TSR-Based RSUs earned by the Participant; and (ii) for purposes of determination of the Company’s TSR for the TSR Performance Period, the Company’s stock price shall be equal to the consideration paid per share of the Company’s common stock in the Change in Control transaction, as determined by the Committee (and shall not be equal to the 30-day average of the Company’s stock price on the last day of the TSR Performance Period, as set forth in </w:t>
      </w:r>
      <w:r>
        <w:rPr>
          <w:rFonts w:ascii="Times New Roman;sans-serif" w:hAnsi="Times New Roman;sans-serif"/>
          <w:b w:val="false"/>
          <w:color w:val="000000"/>
          <w:sz w:val="24"/>
          <w:u w:val="single"/>
        </w:rPr>
        <w:t>Exhibit B</w:t>
      </w:r>
      <w:r>
        <w:rPr>
          <w:rFonts w:ascii="Times New Roman;sans-serif" w:hAnsi="Times New Roman;sans-serif"/>
          <w:b w:val="false"/>
          <w:color w:val="000000"/>
          <w:sz w:val="24"/>
        </w:rPr>
        <w:t>).</w:t>
      </w:r>
    </w:p>
    <w:p>
      <w:pPr>
        <w:pStyle w:val="TextBody"/>
        <w:ind w:left="0" w:right="0" w:firstLine="189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68" w:before="0" w:after="0"/>
        <w:ind w:left="0" w:right="0" w:firstLine="153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Performance-Based RSUs deemed earned in accordance with the foregoing provisions of this Section 3(b)(ii) will be treated as immediately vested in accordance with the schedule set forth in the special Change in Control vesting chart below (the “</w:t>
      </w:r>
      <w:r>
        <w:rPr>
          <w:rFonts w:ascii="Times New Roman;sans-serif" w:hAnsi="Times New Roman;sans-serif"/>
          <w:b w:val="false"/>
          <w:color w:val="000000"/>
          <w:sz w:val="24"/>
          <w:u w:val="single"/>
        </w:rPr>
        <w:t>Special CIC Vesting Chart</w:t>
      </w:r>
      <w:r>
        <w:rPr>
          <w:color w:val="000000"/>
        </w:rPr>
        <w:t>”</w:t>
      </w:r>
      <w:r>
        <w:rPr>
          <w:rFonts w:ascii="Times New Roman;sans-serif" w:hAnsi="Times New Roman;sans-serif"/>
          <w:b w:val="false"/>
          <w:color w:val="000000"/>
          <w:sz w:val="24"/>
        </w:rPr>
        <w:t>) as well as additional vesting based on the methodology set forth in Section 3(a)(ii), subject to the Participant’s continuous employment with the Company or an Affiliate through the consummation of the Change in Control, assuming for such purpose that such deemed earned Performance-Based RSUs had originally been subject only to time-based vesting, as set forth in the Special CIC Vesting Chart.</w:t>
      </w:r>
    </w:p>
    <w:p>
      <w:pPr>
        <w:pStyle w:val="TextBody"/>
        <w:spacing w:before="0" w:after="0"/>
        <w:ind w:left="0" w:right="0" w:firstLine="1890"/>
        <w:jc w:val="both"/>
        <w:rPr/>
      </w:pPr>
      <w:r>
        <w:rPr/>
      </w:r>
    </w:p>
    <w:tbl>
      <w:tblPr>
        <w:tblW w:w="7335" w:type="dxa"/>
        <w:jc w:val="left"/>
        <w:tblInd w:w="0" w:type="dxa"/>
        <w:tblCellMar>
          <w:top w:w="28" w:type="dxa"/>
          <w:left w:w="28" w:type="dxa"/>
          <w:bottom w:w="28" w:type="dxa"/>
          <w:right w:w="28" w:type="dxa"/>
        </w:tblCellMar>
      </w:tblPr>
      <w:tblGrid>
        <w:gridCol w:w="2153"/>
        <w:gridCol w:w="1892"/>
        <w:gridCol w:w="1895"/>
        <w:gridCol w:w="408"/>
        <w:gridCol w:w="408"/>
        <w:gridCol w:w="579"/>
      </w:tblGrid>
      <w:tr>
        <w:trPr/>
        <w:tc>
          <w:tcPr>
            <w:tcW w:w="2153" w:type="dxa"/>
            <w:tcBorders/>
            <w:shd w:fill="auto" w:val="clear"/>
            <w:vAlign w:val="center"/>
          </w:tcPr>
          <w:p>
            <w:pPr>
              <w:pStyle w:val="TableContents"/>
              <w:spacing w:before="0" w:after="283"/>
              <w:rPr>
                <w:sz w:val="4"/>
                <w:szCs w:val="4"/>
              </w:rPr>
            </w:pPr>
            <w:r>
              <w:rPr>
                <w:sz w:val="4"/>
                <w:szCs w:val="4"/>
              </w:rPr>
            </w:r>
          </w:p>
        </w:tc>
        <w:tc>
          <w:tcPr>
            <w:tcW w:w="1892" w:type="dxa"/>
            <w:tcBorders/>
            <w:shd w:fill="auto" w:val="clear"/>
            <w:vAlign w:val="center"/>
          </w:tcPr>
          <w:p>
            <w:pPr>
              <w:pStyle w:val="TableContents"/>
              <w:spacing w:before="0" w:after="283"/>
              <w:rPr>
                <w:sz w:val="4"/>
                <w:szCs w:val="4"/>
              </w:rPr>
            </w:pPr>
            <w:r>
              <w:rPr>
                <w:sz w:val="4"/>
                <w:szCs w:val="4"/>
              </w:rPr>
            </w:r>
          </w:p>
        </w:tc>
        <w:tc>
          <w:tcPr>
            <w:tcW w:w="1895"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Vested Percent of Deemed Earned Performance-Based RSUs</w:t>
            </w:r>
          </w:p>
        </w:tc>
        <w:tc>
          <w:tcPr>
            <w:tcW w:w="139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Vesting Date</w:t>
            </w:r>
          </w:p>
        </w:tc>
      </w:tr>
      <w:tr>
        <w:trPr/>
        <w:tc>
          <w:tcPr>
            <w:tcW w:w="594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[33.33%]</w:t>
            </w:r>
          </w:p>
        </w:tc>
        <w:tc>
          <w:tcPr>
            <w:tcW w:w="139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594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[66.67%]</w:t>
            </w:r>
          </w:p>
        </w:tc>
        <w:tc>
          <w:tcPr>
            <w:tcW w:w="139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594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c>
          <w:tcPr>
            <w:tcW w:w="139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bl>
    <w:p>
      <w:pPr>
        <w:pStyle w:val="TextBody"/>
        <w:spacing w:before="0" w:after="0"/>
        <w:ind w:left="0" w:right="0" w:firstLine="2880"/>
        <w:jc w:val="both"/>
        <w:rPr/>
      </w:pPr>
      <w:r>
        <w:rPr/>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Accordingly, for example, the Special CIC Vesting Chart and the methodology of Section 3(a)(ii) shall be applied effective as of the consummation of the Change in Control so that: (x) to the extent that any of the Vesting Dates set forth in the Special CIC Vesting Chart occurred prior to the date of the occurrence of the Change in Control, then a portion (as set forth in such chart) of such deemed earned Performance-Based RSUs shall be immediately vested effective upon the consummation of the Change in Control; and (y) after taking into account any accelerated vesting pursuant to the immediately preceding clause (x), effective upon the consummation of the Change in Control, the vesting of the portion of such deemed earned Performance-Based RSUs that are not then fully vested shall accelerate such that any portion of those deemed earned Performance-Based RSUs which would have become vested during the one-year period following the Change in Control (based on the application of the Special CIC Vesting Chart to such Performance-Based RSUs), shall become vested effective as of the consummation of the Change in Control. The remaining portion of the deemed earned Performance-Based RSUs shall cliff vest on [●], subject to the Participant’s continuous employment with the Company or an Affiliate through such date; provided that (1) in the event that Participant’s employment by the Company is terminated by the Company without Cause (x) at any time following a Change in Control or (y) in specific contemplation of a Change in Control or (2) in the event Participant resigns with Good Reason at any time following a Change in Control, Participant shall, upon and subject to the execution within sixty (60) days following termination of employment (and non- revocation during any applicable revocation period) of a standard release of all employment-related claims against the Company and its Affiliates and each of their employees, officers and directors, be entitled to immediate vesting as of the termination date of the remaining portion of the deemed earned Performance-Based RSUs which is unvested as of the termination date.</w:t>
      </w:r>
    </w:p>
    <w:p>
      <w:pPr>
        <w:pStyle w:val="TextBody"/>
        <w:spacing w:before="0" w:after="0"/>
        <w:jc w:val="both"/>
        <w:rPr/>
      </w:pPr>
      <w:r>
        <w:rPr/>
      </w:r>
    </w:p>
    <w:p>
      <w:pPr>
        <w:pStyle w:val="TextBody"/>
        <w:spacing w:lineRule="auto" w:line="268" w:before="0" w:after="0"/>
        <w:ind w:left="0" w:right="0" w:firstLine="153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Death.</w:t>
      </w:r>
      <w:r>
        <w:rPr>
          <w:color w:val="000000"/>
        </w:rPr>
        <w:t xml:space="preserve"> </w:t>
      </w:r>
      <w:r>
        <w:rPr>
          <w:rFonts w:ascii="Times New Roman;sans-serif" w:hAnsi="Times New Roman;sans-serif"/>
          <w:b w:val="false"/>
          <w:color w:val="000000"/>
          <w:sz w:val="24"/>
        </w:rPr>
        <w:t>Notwithstanding the foregoing:</w:t>
      </w:r>
    </w:p>
    <w:p>
      <w:pPr>
        <w:pStyle w:val="TextBody"/>
        <w:spacing w:before="0" w:after="0"/>
        <w:ind w:left="0" w:right="0" w:firstLine="1890"/>
        <w:jc w:val="both"/>
        <w:rPr/>
      </w:pPr>
      <w:r>
        <w:rPr/>
      </w:r>
    </w:p>
    <w:p>
      <w:pPr>
        <w:pStyle w:val="TextBody"/>
        <w:spacing w:lineRule="auto" w:line="276"/>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Prior to a Change in Control</w:t>
      </w:r>
      <w:r>
        <w:rPr>
          <w:rFonts w:ascii="Times New Roman;sans-serif" w:hAnsi="Times New Roman;sans-serif"/>
          <w:b w:val="false"/>
          <w:color w:val="000000"/>
          <w:sz w:val="24"/>
        </w:rPr>
        <w:t>. In the event that no Change in Control has occurred and Participant’s employment with the Company is terminated due to Participant’s death prior to [●], Participant shall become immediately vested in a number of Performance-Based RSUs equal to (x) the number of completed full months from [●] to the date of Participant’s death divided by (y) [●] multiplied by (z) 100% of the Performance-Based RSUs, effective as of the date of Participant’s death.</w:t>
      </w:r>
      <w:r>
        <w:br w:type="page"/>
      </w:r>
    </w:p>
    <w:p>
      <w:pPr>
        <w:pStyle w:val="TextBody"/>
        <w:spacing w:before="0" w:after="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ind w:left="0" w:right="0" w:firstLine="1890"/>
        <w:jc w:val="both"/>
        <w:rPr/>
      </w:pPr>
      <w:r>
        <w:rPr/>
      </w:r>
    </w:p>
    <w:p>
      <w:pPr>
        <w:pStyle w:val="TextBody"/>
        <w:spacing w:lineRule="auto" w:line="276" w:before="0" w:after="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After a Change in Control</w:t>
      </w:r>
      <w:r>
        <w:rPr>
          <w:rFonts w:ascii="Times New Roman;sans-serif" w:hAnsi="Times New Roman;sans-serif"/>
          <w:b w:val="false"/>
          <w:color w:val="000000"/>
          <w:sz w:val="24"/>
        </w:rPr>
        <w:t>. In the event that Participant’s employment with the Company is terminated due to Participant’s death prior to [●] but after a Change in Control has occurred, Participant shall become immediately vested in 100% of the Performance-Based RSUs that were deemed earned as a result of the Change in Control pursuant to Section 3(b)(ii) above, effective as of the date of Participant’s death.</w:t>
      </w:r>
    </w:p>
    <w:p>
      <w:pPr>
        <w:pStyle w:val="TextBody"/>
        <w:spacing w:before="0" w:after="0"/>
        <w:ind w:left="0" w:right="0" w:firstLine="2520"/>
        <w:jc w:val="both"/>
        <w:rPr/>
      </w:pPr>
      <w:r>
        <w:rPr/>
      </w:r>
    </w:p>
    <w:p>
      <w:pPr>
        <w:pStyle w:val="TextBody"/>
        <w:spacing w:lineRule="auto" w:line="268" w:before="0" w:after="0"/>
        <w:ind w:left="0" w:right="0" w:firstLine="153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u w:val="single"/>
        </w:rPr>
        <w:t>Retirement</w:t>
      </w:r>
      <w:r>
        <w:rPr>
          <w:rFonts w:ascii="Times New Roman;sans-serif" w:hAnsi="Times New Roman;sans-serif"/>
          <w:b w:val="false"/>
          <w:color w:val="000000"/>
          <w:sz w:val="24"/>
        </w:rPr>
        <w:t>. Notwithstanding the foregoing, and assuming that such Performance-Based RSUs have been outstanding for at least six (6) months from the Grant Date, in the event that Participant’s employment with the Company is terminated, other than by Company for Cause,</w:t>
      </w:r>
    </w:p>
    <w:p>
      <w:pPr>
        <w:pStyle w:val="TextBody"/>
        <w:spacing w:lineRule="auto" w:line="276" w:before="0" w:after="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after having attained age sixty (60) with at least ten (10) years of service with the Company (or its Affiliates) prior to [●], the Vesting Date for the Performance-Based RSUs, Participant shall earn a pro rata portion of the Performance-Based RSUs based on actual Company performance (with respect to the Revenue and TSR performance goals) at the end of the performance period, as determined by the Committee.</w:t>
        <w:br/>
        <w:t>Such proration shall be determined as follows: the number of Performance-Based RSUs (rounded to the nearest whole number) that have been deemed earned by the Committee shall vest based on the product of the total number of Performance-Based RSUs granted on the Grant Date multiplied by the quotient of (x) divided by (y), where (x) equals the total number of years of service completed by Participant from the Grant Date (rounding up the number of years of service) and (y) equals three (3);</w:t>
      </w:r>
    </w:p>
    <w:p>
      <w:pPr>
        <w:pStyle w:val="TextBody"/>
        <w:spacing w:lineRule="auto" w:line="276" w:before="0" w:after="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after having attained age sixty (60) with at least five (5) years and less than ten (10) years of service with the Company (or its Affiliates) prior to [●], the Vesting Date for the Performance-Based RSUs, the Participant shall earn a pro rata portion of the Performance-Based RSUs calculated in accordance with the methodology outlined in subsection 3(b)(iv)(1) immediately above, provided that such amount shall be reduced by the applicable percentage set forth below (the “</w:t>
      </w:r>
      <w:r>
        <w:rPr>
          <w:rFonts w:ascii="Times New Roman;sans-serif" w:hAnsi="Times New Roman;sans-serif"/>
          <w:b w:val="false"/>
          <w:color w:val="000000"/>
          <w:sz w:val="24"/>
          <w:u w:val="single"/>
        </w:rPr>
        <w:t>Reduction Percentage</w:t>
      </w:r>
      <w:r>
        <w:rPr>
          <w:color w:val="000000"/>
        </w:rPr>
        <w:t>”</w:t>
      </w:r>
      <w:r>
        <w:rPr>
          <w:rFonts w:ascii="Times New Roman;sans-serif" w:hAnsi="Times New Roman;sans-serif"/>
          <w:b w:val="false"/>
          <w:color w:val="000000"/>
          <w:sz w:val="24"/>
        </w:rPr>
        <w:t>).</w:t>
      </w:r>
    </w:p>
    <w:p>
      <w:pPr>
        <w:pStyle w:val="TextBody"/>
        <w:spacing w:before="0" w:after="0"/>
        <w:jc w:val="both"/>
        <w:rPr/>
      </w:pPr>
      <w:r>
        <w:rPr/>
      </w:r>
    </w:p>
    <w:tbl>
      <w:tblPr>
        <w:tblW w:w="5069" w:type="dxa"/>
        <w:jc w:val="left"/>
        <w:tblInd w:w="0" w:type="dxa"/>
        <w:tblCellMar>
          <w:top w:w="28" w:type="dxa"/>
          <w:left w:w="28" w:type="dxa"/>
          <w:bottom w:w="28" w:type="dxa"/>
          <w:right w:w="28" w:type="dxa"/>
        </w:tblCellMar>
      </w:tblPr>
      <w:tblGrid>
        <w:gridCol w:w="1033"/>
        <w:gridCol w:w="907"/>
        <w:gridCol w:w="910"/>
        <w:gridCol w:w="649"/>
        <w:gridCol w:w="649"/>
        <w:gridCol w:w="921"/>
      </w:tblGrid>
      <w:tr>
        <w:trPr/>
        <w:tc>
          <w:tcPr>
            <w:tcW w:w="1033"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r>
      <w:tr>
        <w:trPr/>
        <w:tc>
          <w:tcPr>
            <w:tcW w:w="28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Completed Years of Service:</w:t>
              <w:br/>
              <w:t>At least</w:t>
            </w:r>
          </w:p>
        </w:tc>
        <w:tc>
          <w:tcPr>
            <w:tcW w:w="221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Reduction Percentage</w:t>
            </w:r>
          </w:p>
        </w:tc>
      </w:tr>
      <w:tr>
        <w:trPr/>
        <w:tc>
          <w:tcPr>
            <w:tcW w:w="28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Five (5) years</w:t>
            </w:r>
          </w:p>
        </w:tc>
        <w:tc>
          <w:tcPr>
            <w:tcW w:w="221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c>
      </w:tr>
      <w:tr>
        <w:trPr/>
        <w:tc>
          <w:tcPr>
            <w:tcW w:w="28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Six (6) years</w:t>
            </w:r>
          </w:p>
        </w:tc>
        <w:tc>
          <w:tcPr>
            <w:tcW w:w="221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tc>
      </w:tr>
      <w:tr>
        <w:trPr/>
        <w:tc>
          <w:tcPr>
            <w:tcW w:w="28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Seven (7) years</w:t>
            </w:r>
          </w:p>
        </w:tc>
        <w:tc>
          <w:tcPr>
            <w:tcW w:w="221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tc>
      </w:tr>
      <w:tr>
        <w:trPr/>
        <w:tc>
          <w:tcPr>
            <w:tcW w:w="28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Eight (8) years</w:t>
            </w:r>
          </w:p>
        </w:tc>
        <w:tc>
          <w:tcPr>
            <w:tcW w:w="221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c>
      </w:tr>
      <w:tr>
        <w:trPr/>
        <w:tc>
          <w:tcPr>
            <w:tcW w:w="285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Nine (9) years</w:t>
            </w:r>
          </w:p>
        </w:tc>
        <w:tc>
          <w:tcPr>
            <w:tcW w:w="221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c>
      </w:tr>
    </w:tbl>
    <w:p>
      <w:pPr>
        <w:pStyle w:val="TextBody"/>
        <w:spacing w:before="0" w:after="0"/>
        <w:jc w:val="both"/>
        <w:rPr/>
      </w:pPr>
      <w:r>
        <w:rPr/>
      </w:r>
    </w:p>
    <w:p>
      <w:pPr>
        <w:pStyle w:val="TextBody"/>
        <w:spacing w:before="0" w:after="0"/>
        <w:jc w:val="both"/>
        <w:rPr/>
      </w:pPr>
      <w:r>
        <w:rPr/>
      </w:r>
    </w:p>
    <w:p>
      <w:pPr>
        <w:pStyle w:val="TextBody"/>
        <w:spacing w:lineRule="auto" w:line="276" w:before="0" w:after="0"/>
        <w:ind w:left="0" w:right="0" w:firstLine="90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Section 3(b)(iv), years of service with the Company (or its Affiliates) does not include tenure at any organization acquired by the Company (or its Affiliates) prior to the closing date of such acquisition.</w:t>
      </w:r>
    </w:p>
    <w:p>
      <w:pPr>
        <w:pStyle w:val="TextBody"/>
        <w:spacing w:before="0" w:after="0"/>
        <w:jc w:val="both"/>
        <w:rPr/>
      </w:pPr>
      <w:r>
        <w:rPr/>
      </w:r>
    </w:p>
    <w:p>
      <w:pPr>
        <w:pStyle w:val="TextBody"/>
        <w:spacing w:lineRule="auto" w:line="276" w:before="0" w:after="0"/>
        <w:ind w:left="0" w:right="0" w:firstLine="900"/>
        <w:jc w:val="both"/>
        <w:rPr>
          <w:rFonts w:ascii="Times New Roman;sans-serif" w:hAnsi="Times New Roman;sans-serif"/>
          <w:b w:val="false"/>
          <w:color w:val="000000"/>
          <w:sz w:val="24"/>
        </w:rPr>
      </w:pPr>
      <w:r>
        <w:rPr>
          <w:rFonts w:ascii="Times New Roman;sans-serif" w:hAnsi="Times New Roman;sans-serif"/>
          <w:b w:val="false"/>
          <w:color w:val="000000"/>
          <w:sz w:val="24"/>
        </w:rPr>
        <w:t>Any Performance-Based RSUs shall be settled in accordance with Section 4 of this Agreement after the end of the performance period. The determination of any prorated Performance-Based RSU shall be made by the Committee in its sole discretion.</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68" w:before="0" w:after="0"/>
        <w:ind w:left="0" w:right="0" w:firstLine="90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Special 409A Rule.</w:t>
      </w:r>
      <w:r>
        <w:rPr>
          <w:color w:val="000000"/>
        </w:rPr>
        <w:t xml:space="preserve"> </w:t>
      </w:r>
      <w:r>
        <w:rPr>
          <w:rFonts w:ascii="Times New Roman;sans-serif" w:hAnsi="Times New Roman;sans-serif"/>
          <w:b w:val="false"/>
          <w:color w:val="000000"/>
          <w:sz w:val="24"/>
        </w:rPr>
        <w:t>Notwithstanding anything to the contrary in this Section 3, to the extent necessary to comply with Section 409A of the Code, a Change in Control hereunder shall not give rise to any acceleration of the vesting of any portion of an Award hereunder unless such event satisfies the definition of a change in the ownership or effective control of a corporation, or a change in the ownership of a substantial portion of the assets of a corporation pursuant to Section 409A of the Code and any Treasury Regulations promulgated thereunder.</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Terms</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Settlement</w:t>
      </w:r>
      <w:r>
        <w:rPr>
          <w:rFonts w:ascii="Times New Roman;sans-serif" w:hAnsi="Times New Roman;sans-serif"/>
          <w:b w:val="false"/>
          <w:color w:val="000000"/>
          <w:sz w:val="24"/>
        </w:rPr>
        <w:t>. As soon as practicable following each applicable Vesting Date (including as applicable the date of consummation of a Change in Control and certain terminations of employment upon or following a Change in Control, as applicable), the Company shall settle the portion of the Award that is vested on such date and shall therefore (i) issue and deliver to the Participant one share of Common Stock for each Restricted Stock Unit subject to the Award that has vested (the “</w:t>
      </w:r>
      <w:r>
        <w:rPr>
          <w:rFonts w:ascii="Times New Roman;sans-serif" w:hAnsi="Times New Roman;sans-serif"/>
          <w:b w:val="false"/>
          <w:color w:val="000000"/>
          <w:sz w:val="24"/>
          <w:u w:val="single"/>
        </w:rPr>
        <w:t>RSU Shares</w:t>
      </w:r>
      <w:r>
        <w:rPr>
          <w:color w:val="000000"/>
        </w:rPr>
        <w:t>”</w:t>
      </w:r>
      <w:r>
        <w:rPr>
          <w:rFonts w:ascii="Times New Roman;sans-serif" w:hAnsi="Times New Roman;sans-serif"/>
          <w:b w:val="false"/>
          <w:color w:val="000000"/>
          <w:sz w:val="24"/>
        </w:rPr>
        <w:t>), with any fractional shares paid out in cash (and, upon such settlement, the Restricted Stock Units shall cease to be credited to the Account) and (ii) enter the Participant’s name as a stockholder of record with respect to the RSU Shares on the books of the Company. The Committee shall make all determinations with respect to the Performance-Based RSUs as soon as administratively practicable after [●] (or as of the Change in Control, as applicable) such that settlement of the earned and vested Performance-Based RSUs shall be made within the applicable short-term deferral period for purposes of Section 409A of the Code.</w:t>
      </w:r>
    </w:p>
    <w:p>
      <w:pPr>
        <w:pStyle w:val="TextBody"/>
        <w:spacing w:before="0" w:after="0"/>
        <w:ind w:left="0" w:right="0" w:firstLine="108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Dividend Equivalents</w:t>
      </w:r>
      <w:r>
        <w:rPr>
          <w:rFonts w:ascii="Times New Roman;sans-serif" w:hAnsi="Times New Roman;sans-serif"/>
          <w:b w:val="false"/>
          <w:color w:val="000000"/>
          <w:sz w:val="24"/>
        </w:rPr>
        <w:t>. If on any date that Restricted Stock Units remain credited to the Account, dividends are paid by the Company on outstanding shares of its Common Stock (“</w:t>
      </w:r>
      <w:r>
        <w:rPr>
          <w:rFonts w:ascii="Times New Roman;sans-serif" w:hAnsi="Times New Roman;sans-serif"/>
          <w:b w:val="false"/>
          <w:color w:val="000000"/>
          <w:sz w:val="24"/>
          <w:u w:val="single"/>
        </w:rPr>
        <w:t>Shares</w:t>
      </w:r>
      <w:r>
        <w:rPr>
          <w:color w:val="000000"/>
        </w:rPr>
        <w:t>”</w:t>
      </w:r>
      <w:r>
        <w:rPr>
          <w:rFonts w:ascii="Times New Roman;sans-serif" w:hAnsi="Times New Roman;sans-serif"/>
          <w:b w:val="false"/>
          <w:color w:val="000000"/>
          <w:sz w:val="24"/>
        </w:rPr>
        <w:t>) (each, a “</w:t>
      </w:r>
      <w:r>
        <w:rPr>
          <w:rFonts w:ascii="Times New Roman;sans-serif" w:hAnsi="Times New Roman;sans-serif"/>
          <w:b w:val="false"/>
          <w:color w:val="000000"/>
          <w:sz w:val="24"/>
          <w:u w:val="single"/>
        </w:rPr>
        <w:t>Dividend Payment Date</w:t>
      </w:r>
      <w:r>
        <w:rPr>
          <w:color w:val="000000"/>
        </w:rPr>
        <w:t>”</w:t>
      </w:r>
      <w:r>
        <w:rPr>
          <w:rFonts w:ascii="Times New Roman;sans-serif" w:hAnsi="Times New Roman;sans-serif"/>
          <w:b w:val="false"/>
          <w:color w:val="000000"/>
          <w:sz w:val="24"/>
        </w:rPr>
        <w:t>), then the Participant's Account shall, as of each such Dividend Payment Date, be credited with an amount (each such amount, a “</w:t>
      </w:r>
      <w:r>
        <w:rPr>
          <w:rFonts w:ascii="Times New Roman;sans-serif" w:hAnsi="Times New Roman;sans-serif"/>
          <w:b w:val="false"/>
          <w:color w:val="000000"/>
          <w:sz w:val="24"/>
          <w:u w:val="single"/>
        </w:rPr>
        <w:t>Dividend Equivalent Amount</w:t>
      </w:r>
      <w:r>
        <w:rPr>
          <w:color w:val="000000"/>
        </w:rPr>
        <w:t>”</w:t>
      </w:r>
      <w:r>
        <w:rPr>
          <w:rFonts w:ascii="Times New Roman;sans-serif" w:hAnsi="Times New Roman;sans-serif"/>
          <w:b w:val="false"/>
          <w:color w:val="000000"/>
          <w:sz w:val="24"/>
        </w:rPr>
        <w:t>) equal to the product of (i) the number of Restricted Stock Units in the Account as of the Dividend Payment Date and (ii) the per Share cash amount of such dividend (or, in the case of a dividend payable in Shares or other property, the per Share equivalent cash value of such dividend as determined in good faith by the Committee). On each applicable Vesting Date, in connection with the settlement and delivery of RSU Shares as contemplated by Section 4(a), the Participant shall be entitled to receive a payment, without interest, of an amount in cash equal to the accumulated Dividend Equivalent Amounts in respect of the RSU Shares so delivered.</w:t>
      </w:r>
    </w:p>
    <w:p>
      <w:pPr>
        <w:pStyle w:val="TextBody"/>
        <w:spacing w:before="0" w:after="0"/>
        <w:ind w:left="0" w:right="0" w:firstLine="1080"/>
        <w:jc w:val="both"/>
        <w:rPr/>
      </w:pPr>
      <w:r>
        <w:rPr/>
      </w:r>
    </w:p>
    <w:p>
      <w:pPr>
        <w:pStyle w:val="TextBody"/>
        <w:spacing w:lineRule="auto" w:line="268"/>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Taxes and Withholding</w:t>
      </w:r>
      <w:r>
        <w:rPr>
          <w:rFonts w:ascii="Times New Roman;sans-serif" w:hAnsi="Times New Roman;sans-serif"/>
          <w:b w:val="false"/>
          <w:color w:val="000000"/>
          <w:sz w:val="24"/>
        </w:rPr>
        <w:t xml:space="preserve">. Upon the settlement of the Award in accordance with Section 4(a) hereof, the Participant shall recognize taxable income in respect of the Award, and the Company shall report such taxable income to the appropriate taxing authorities in respect of the Award as it determines to be necessary and appropriate. Upon the settlement of the Award in RSU Shares, the Participant shall be required as a condition of such settlement to pay to the Company by check or wire transfer the amount of any income, payroll, or social tax withholding that the Company determines is required;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Participant may elect to satisfy such tax withholding obligation by having the Company withhold from the settlement that number of RSU Shares having a Fair Market Value equal to the amount of such withholding;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the number of RSU Shares that may be so withheld by the Company shall be limited to that number of RSU Shares having an aggregate Fair Market Value on the date of such </w:t>
      </w:r>
      <w:r>
        <w:br w:type="page"/>
      </w:r>
    </w:p>
    <w:p>
      <w:pPr>
        <w:pStyle w:val="TextBody"/>
        <w:spacing w:before="0" w:after="0"/>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withholding equal to the aggregate amount of the Participant’s income, payroll and social tax liabilities based upon the applicable minimum withholding rates.</w:t>
      </w:r>
    </w:p>
    <w:p>
      <w:pPr>
        <w:pStyle w:val="TextBody"/>
        <w:spacing w:before="0" w:after="0"/>
        <w:ind w:left="0" w:right="0" w:firstLine="108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Forfeiture</w:t>
      </w:r>
      <w:r>
        <w:rPr>
          <w:rFonts w:ascii="Times New Roman;sans-serif" w:hAnsi="Times New Roman;sans-serif"/>
          <w:b w:val="false"/>
          <w:color w:val="000000"/>
          <w:sz w:val="24"/>
        </w:rPr>
        <w:t>. Except as otherwise provided in the Plan, or as set forth in any employment, consulting or other agreement between the Company or an Affiliate and the Participant in effect on the date hereof, if the Participant’s employment with the Company terminates prior to any Vesting Date for any reason, all remaining Restricted Stock Units credited to the Account shall be forfeited without further consideration to the Participant. In addition, the Award or any RSU Shares shall be subject to cancellation, forfeiture or recoupment as determined by the Committee upon the occurrence of a violation of material Company policies, misstatement of financial or other material information about the Company, fraud, misconduct, breach of noncompetition, confidentiality, nonsolicitation, noninterference, corporate property protection, or other agreements that may apply to the Participant, or other conduct by the Participant that the Committee determines is detrimental to the business or reputation of the Company and its Affiliates, including facts and circumstances discovered after termination of service.</w:t>
      </w:r>
    </w:p>
    <w:p>
      <w:pPr>
        <w:pStyle w:val="TextBody"/>
        <w:spacing w:before="0" w:after="0"/>
        <w:ind w:left="0" w:right="0" w:firstLine="108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u w:val="single"/>
        </w:rPr>
        <w:t>(e)</w:t>
      </w:r>
      <w:r>
        <w:rPr>
          <w:rFonts w:ascii="Times New Roman;sans-serif" w:hAnsi="Times New Roman;sans-serif"/>
          <w:b w:val="false"/>
          <w:color w:val="000000"/>
          <w:sz w:val="24"/>
          <w:u w:val="single"/>
        </w:rPr>
        <w:t>Restrictions</w:t>
      </w:r>
      <w:r>
        <w:rPr>
          <w:rFonts w:ascii="Times New Roman;sans-serif" w:hAnsi="Times New Roman;sans-serif"/>
          <w:b w:val="false"/>
          <w:color w:val="000000"/>
          <w:sz w:val="24"/>
        </w:rPr>
        <w:t>. The Award granted hereunder may not be sold, pledged or otherwise transferred (other than by will or the laws of descent and distribution) and may not be subject to lien, garnishment, attachment or other legal process. The Participant acknowledges and agrees that, with respect to each Restricted Stock Unit credited to his Account, he has no voting rights with respect to the Company unless and until each such Restricted Stock Unit is settled in RSU Shares pursuant to Section 4(a) hereof.</w:t>
      </w:r>
    </w:p>
    <w:p>
      <w:pPr>
        <w:pStyle w:val="TextBody"/>
        <w:spacing w:before="0" w:after="0"/>
        <w:ind w:left="0" w:right="0" w:firstLine="108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Rights as a Stockholder</w:t>
      </w:r>
      <w:r>
        <w:rPr>
          <w:rFonts w:ascii="Times New Roman;sans-serif" w:hAnsi="Times New Roman;sans-serif"/>
          <w:b w:val="false"/>
          <w:color w:val="000000"/>
          <w:sz w:val="24"/>
        </w:rPr>
        <w:t>. Upon and following each Vesting Date, the Participant shall be the record owner of the RSU Shares settled upon such applicable date unless and until such RSU Shares are sold or otherwise disposed of, and as record owner shall be entitled to all rights of a common stockholder of the Company, including, without limitation, voting rights, if any, with respect to the RSU Shares. Prior to the first Vesting Date, the Participant shall not be deemed for any purpose to be the owner of shares of Common Stock underlying the Restricted Stock Units.</w:t>
      </w:r>
    </w:p>
    <w:p>
      <w:pPr>
        <w:pStyle w:val="TextBody"/>
        <w:spacing w:before="0" w:after="0"/>
        <w:ind w:left="0" w:right="0" w:firstLine="108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General Assets</w:t>
      </w:r>
      <w:r>
        <w:rPr>
          <w:rFonts w:ascii="Times New Roman;sans-serif" w:hAnsi="Times New Roman;sans-serif"/>
          <w:b w:val="false"/>
          <w:color w:val="000000"/>
          <w:sz w:val="24"/>
        </w:rPr>
        <w:t>. All amounts credited to the Account under this Agreement shall continue for all purposes to be part of the general assets of the Company. The Participant’s interest in the Account shall make the Participant only a general, unsecured creditor of the Company.</w:t>
      </w:r>
    </w:p>
    <w:p>
      <w:pPr>
        <w:pStyle w:val="TextBody"/>
        <w:spacing w:before="0" w:after="0"/>
        <w:ind w:left="0" w:right="0" w:firstLine="108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All notices, demands and other communications provided for or permitted hereunder shall be made in writing and shall be by registered or certified first-class mail, return receipt requested, telecopier, courier service or personal delivery:</w:t>
      </w:r>
    </w:p>
    <w:p>
      <w:pPr>
        <w:pStyle w:val="TextBody"/>
        <w:spacing w:before="0" w:after="0"/>
        <w:jc w:val="both"/>
        <w:rPr/>
      </w:pPr>
      <w:r>
        <w:rPr/>
      </w:r>
    </w:p>
    <w:p>
      <w:pPr>
        <w:pStyle w:val="TextBody"/>
        <w:spacing w:lineRule="auto" w:line="268" w:before="0" w:after="0"/>
        <w:ind w:left="0" w:right="0" w:firstLine="2880"/>
        <w:jc w:val="both"/>
        <w:rPr>
          <w:rFonts w:ascii="Times New Roman;sans-serif" w:hAnsi="Times New Roman;sans-serif"/>
          <w:b w:val="false"/>
          <w:color w:val="000000"/>
          <w:sz w:val="24"/>
        </w:rPr>
      </w:pPr>
      <w:r>
        <w:rPr>
          <w:rFonts w:ascii="Times New Roman;sans-serif" w:hAnsi="Times New Roman;sans-serif"/>
          <w:b w:val="false"/>
          <w:color w:val="000000"/>
          <w:sz w:val="24"/>
        </w:rPr>
        <w:t>if to the Company:</w:t>
      </w:r>
    </w:p>
    <w:p>
      <w:pPr>
        <w:pStyle w:val="TextBody"/>
        <w:spacing w:before="0" w:after="0"/>
        <w:ind w:left="0" w:right="0" w:firstLine="2880"/>
        <w:jc w:val="both"/>
        <w:rPr/>
      </w:pPr>
      <w:r>
        <w:rPr/>
      </w:r>
    </w:p>
    <w:p>
      <w:pPr>
        <w:pStyle w:val="TextBody"/>
        <w:spacing w:lineRule="auto" w:line="268" w:before="0" w:after="0"/>
        <w:ind w:left="0" w:right="0" w:firstLine="2880"/>
        <w:jc w:val="both"/>
        <w:rPr>
          <w:rFonts w:ascii="Times New Roman;sans-serif" w:hAnsi="Times New Roman;sans-serif"/>
          <w:b w:val="false"/>
          <w:color w:val="000000"/>
          <w:sz w:val="24"/>
        </w:rPr>
      </w:pPr>
      <w:r>
        <w:rPr>
          <w:rFonts w:ascii="Times New Roman;sans-serif" w:hAnsi="Times New Roman;sans-serif"/>
          <w:b w:val="false"/>
          <w:color w:val="000000"/>
          <w:sz w:val="24"/>
        </w:rPr>
        <w:t>ExlService Holdings, Inc.</w:t>
      </w:r>
    </w:p>
    <w:p>
      <w:pPr>
        <w:pStyle w:val="TextBody"/>
        <w:spacing w:lineRule="auto" w:line="268" w:before="0" w:after="0"/>
        <w:ind w:left="0" w:right="0" w:firstLine="28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320 Park Avenue, 29th Floor </w:t>
      </w:r>
    </w:p>
    <w:p>
      <w:pPr>
        <w:pStyle w:val="TextBody"/>
        <w:spacing w:lineRule="auto" w:line="268"/>
        <w:ind w:left="0" w:right="0" w:firstLine="28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New York, NY 10022 </w:t>
      </w:r>
      <w:r>
        <w:br w:type="page"/>
      </w:r>
    </w:p>
    <w:p>
      <w:pPr>
        <w:pStyle w:val="TextBody"/>
        <w:spacing w:before="0" w:after="0"/>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68" w:before="0" w:after="0"/>
        <w:ind w:left="0" w:right="0" w:firstLine="2880"/>
        <w:jc w:val="both"/>
        <w:rPr>
          <w:rFonts w:ascii="Times New Roman;sans-serif" w:hAnsi="Times New Roman;sans-serif"/>
          <w:b w:val="false"/>
          <w:color w:val="000000"/>
          <w:sz w:val="24"/>
        </w:rPr>
      </w:pPr>
      <w:r>
        <w:rPr>
          <w:rFonts w:ascii="Times New Roman;sans-serif" w:hAnsi="Times New Roman;sans-serif"/>
          <w:b w:val="false"/>
          <w:color w:val="000000"/>
          <w:sz w:val="24"/>
        </w:rPr>
        <w:t>Attention: General Counsel</w:t>
      </w:r>
    </w:p>
    <w:p>
      <w:pPr>
        <w:pStyle w:val="TextBody"/>
        <w:spacing w:before="0" w:after="0"/>
        <w:ind w:left="0" w:right="0" w:firstLine="2880"/>
        <w:jc w:val="both"/>
        <w:rPr/>
      </w:pPr>
      <w:r>
        <w:rPr/>
      </w:r>
    </w:p>
    <w:p>
      <w:pPr>
        <w:pStyle w:val="TextBody"/>
        <w:spacing w:lineRule="auto" w:line="268" w:before="0" w:after="0"/>
        <w:ind w:left="0" w:right="0" w:firstLine="2880"/>
        <w:jc w:val="both"/>
        <w:rPr>
          <w:rFonts w:ascii="Times New Roman;sans-serif" w:hAnsi="Times New Roman;sans-serif"/>
          <w:b w:val="false"/>
          <w:color w:val="000000"/>
          <w:sz w:val="24"/>
        </w:rPr>
      </w:pPr>
      <w:r>
        <w:rPr>
          <w:rFonts w:ascii="Times New Roman;sans-serif" w:hAnsi="Times New Roman;sans-serif"/>
          <w:b w:val="false"/>
          <w:color w:val="000000"/>
          <w:sz w:val="24"/>
        </w:rPr>
        <w:t>if to the Participant, at the Participant’s last known address on file with the Company.</w:t>
        <w:br/>
        <w:br/>
        <w:t>        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telecopied.</w:t>
      </w:r>
    </w:p>
    <w:p>
      <w:pPr>
        <w:pStyle w:val="TextBody"/>
        <w:spacing w:before="0" w:after="0"/>
        <w:ind w:left="0" w:right="0" w:firstLine="2880"/>
        <w:jc w:val="both"/>
        <w:rPr/>
      </w:pPr>
      <w:r>
        <w:rPr/>
      </w:r>
    </w:p>
    <w:p>
      <w:pPr>
        <w:pStyle w:val="TextBody"/>
        <w:spacing w:lineRule="auto" w:line="268" w:before="0" w:after="180"/>
        <w:ind w:left="0" w:right="0" w:firstLine="36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Severability.</w:t>
      </w:r>
      <w:r>
        <w:rPr>
          <w:color w:val="000000"/>
        </w:rPr>
        <w:t xml:space="preserve"> </w:t>
      </w:r>
      <w:r>
        <w:rPr>
          <w:rFonts w:ascii="Times New Roman;sans-serif" w:hAnsi="Times New Roman;sans-serif"/>
          <w:b w:val="false"/>
          <w:color w:val="000000"/>
          <w:sz w:val="24"/>
        </w:rPr>
        <w:t>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pStyle w:val="TextBody"/>
        <w:spacing w:lineRule="auto" w:line="268" w:before="0" w:after="180"/>
        <w:ind w:left="0" w:right="0" w:firstLine="36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No Rights to Employment</w:t>
      </w:r>
      <w:r>
        <w:rPr>
          <w:rFonts w:ascii="Times New Roman;sans-serif" w:hAnsi="Times New Roman;sans-serif"/>
          <w:b w:val="false"/>
          <w:color w:val="000000"/>
          <w:sz w:val="24"/>
        </w:rPr>
        <w:t>. Nothing contained in this Agreement shall be construed as giving the Participant any right to be retained, in any position, as an employee, consultant or director of the Company (or its Affiliates) or shall interfere with or restrict in any way the right of the Company (or its Affiliates), which are hereby expressly reserved, to remove, terminate or discharge the Participant at any time for any reason whatsoever.</w:t>
      </w:r>
    </w:p>
    <w:p>
      <w:pPr>
        <w:pStyle w:val="TextBody"/>
        <w:spacing w:lineRule="auto" w:line="268" w:before="0" w:after="180"/>
        <w:ind w:left="0" w:right="0" w:firstLine="36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Beneficiary</w:t>
      </w:r>
      <w:r>
        <w:rPr>
          <w:rFonts w:ascii="Times New Roman;sans-serif" w:hAnsi="Times New Roman;sans-serif"/>
          <w:b w:val="false"/>
          <w:color w:val="000000"/>
          <w:sz w:val="24"/>
        </w:rPr>
        <w:t>. The Participant may file with the Committee a written designation of a beneficiary on such form as may be prescribed by the Committee and may, from time to time, amend or revoke such designation. If no designated beneficiary survives the Participant, the Participant’s estate shall be deemed to be the Participant’s beneficiary.</w:t>
      </w:r>
    </w:p>
    <w:p>
      <w:pPr>
        <w:pStyle w:val="TextBody"/>
        <w:spacing w:lineRule="auto" w:line="268" w:before="0" w:after="180"/>
        <w:ind w:left="0" w:right="0" w:firstLine="36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Successors</w:t>
      </w:r>
      <w:r>
        <w:rPr>
          <w:rFonts w:ascii="Times New Roman;sans-serif" w:hAnsi="Times New Roman;sans-serif"/>
          <w:b w:val="false"/>
          <w:color w:val="000000"/>
          <w:sz w:val="24"/>
        </w:rPr>
        <w:t>. The terms of this Agreement shall be binding upon and inure to the benefit of the Company and its successors and assigns, and to the Participant and the beneficiaries, executors, administrators, heirs and successors of the Participant.</w:t>
      </w:r>
    </w:p>
    <w:p>
      <w:pPr>
        <w:pStyle w:val="TextBody"/>
        <w:spacing w:lineRule="auto" w:line="268" w:before="0" w:after="180"/>
        <w:ind w:left="0" w:right="0" w:firstLine="36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16(b) of the Plan, no change, modification or waiver of any provision of this Agreement shall be valid unless the same is in writing and signed by the parties hereto.</w:t>
      </w:r>
    </w:p>
    <w:p>
      <w:pPr>
        <w:pStyle w:val="TextBody"/>
        <w:spacing w:lineRule="auto" w:line="268" w:before="0" w:after="180"/>
        <w:ind w:left="0" w:right="0" w:firstLine="36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Bound by Plan</w:t>
      </w:r>
      <w:r>
        <w:rPr>
          <w:rFonts w:ascii="Times New Roman;sans-serif" w:hAnsi="Times New Roman;sans-serif"/>
          <w:b w:val="false"/>
          <w:color w:val="000000"/>
          <w:sz w:val="24"/>
        </w:rPr>
        <w:t>. By signing this Agreement, the Participant acknowledges that he has received a copy of the Plan and has had an opportunity to review the Plan and agrees to be bound by all the terms and provisions of the Plan.</w:t>
      </w:r>
    </w:p>
    <w:p>
      <w:pPr>
        <w:pStyle w:val="TextBody"/>
        <w:spacing w:lineRule="auto" w:line="268" w:before="0" w:after="180"/>
        <w:ind w:left="0" w:right="0" w:firstLine="36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xml:space="preserve">. Except for the Arbitration Agreement attached hereto as </w:t>
      </w:r>
      <w:r>
        <w:rPr>
          <w:rFonts w:ascii="Times New Roman;sans-serif" w:hAnsi="Times New Roman;sans-serif"/>
          <w:b w:val="false"/>
          <w:color w:val="000000"/>
          <w:sz w:val="24"/>
          <w:u w:val="single"/>
        </w:rPr>
        <w:t>Exhibit C</w:t>
      </w:r>
      <w:r>
        <w:rPr>
          <w:rFonts w:ascii="Times New Roman;sans-serif" w:hAnsi="Times New Roman;sans-serif"/>
          <w:b w:val="false"/>
          <w:color w:val="000000"/>
          <w:sz w:val="24"/>
        </w:rPr>
        <w:t>, which is expressly governed by the Federal Arbitration Act (FAA), this Agreement shall be construed and interpreted in accordance with the laws of the State of Delaware without regard to principles of conflicts of law thereof, or principles of conflicts of laws of any other jurisdiction which could cause the application of the laws of any jurisdiction other than the State of Delaware. Should the FAA not govern the Arbitration Agreement for any reason, then that portion of this agreement shall be construed and interpreted in accordance with the laws of the State of Delaware without regard to principles of conflicts of law of that or any other jurisdiction.</w:t>
      </w:r>
    </w:p>
    <w:p>
      <w:pPr>
        <w:pStyle w:val="TextBody"/>
        <w:spacing w:lineRule="auto" w:line="268" w:before="0" w:after="180"/>
        <w:ind w:left="0" w:right="0" w:firstLine="36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 xml:space="preserve">Binding Agreement to Arbitrate. </w:t>
      </w:r>
      <w:r>
        <w:rPr>
          <w:rFonts w:ascii="Times New Roman;sans-serif" w:hAnsi="Times New Roman;sans-serif"/>
          <w:b w:val="false"/>
          <w:color w:val="000000"/>
          <w:sz w:val="24"/>
        </w:rPr>
        <w:t xml:space="preserve">This Agreement is subject to the Arbitration Agreement attached hereto as </w:t>
      </w:r>
      <w:r>
        <w:rPr>
          <w:rFonts w:ascii="Times New Roman;sans-serif" w:hAnsi="Times New Roman;sans-serif"/>
          <w:b w:val="false"/>
          <w:color w:val="000000"/>
          <w:sz w:val="24"/>
          <w:u w:val="single"/>
        </w:rPr>
        <w:t>Exhibit C</w:t>
      </w:r>
      <w:r>
        <w:rPr>
          <w:rFonts w:ascii="Times New Roman;sans-serif" w:hAnsi="Times New Roman;sans-serif"/>
          <w:b w:val="false"/>
          <w:color w:val="000000"/>
          <w:sz w:val="24"/>
        </w:rPr>
        <w:t xml:space="preserve">, which is incorporated by reference herein. Except as otherwise </w:t>
      </w:r>
      <w:r>
        <w:br w:type="page"/>
      </w:r>
    </w:p>
    <w:p>
      <w:pPr>
        <w:pStyle w:val="TextBody"/>
        <w:spacing w:before="0" w:after="0"/>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68" w:before="0" w:after="180"/>
        <w:jc w:val="both"/>
        <w:rPr/>
      </w:pPr>
      <w:r>
        <w:rPr>
          <w:rFonts w:ascii="Times New Roman;sans-serif" w:hAnsi="Times New Roman;sans-serif"/>
          <w:b w:val="false"/>
          <w:color w:val="000000"/>
          <w:sz w:val="24"/>
        </w:rPr>
        <w:t xml:space="preserve">provided in </w:t>
      </w:r>
      <w:r>
        <w:rPr>
          <w:rFonts w:ascii="Times New Roman;sans-serif" w:hAnsi="Times New Roman;sans-serif"/>
          <w:b w:val="false"/>
          <w:color w:val="000000"/>
          <w:sz w:val="24"/>
          <w:u w:val="single"/>
        </w:rPr>
        <w:t>Exhibit C</w:t>
      </w:r>
      <w:r>
        <w:rPr>
          <w:rFonts w:ascii="Times New Roman;sans-serif" w:hAnsi="Times New Roman;sans-serif"/>
          <w:b w:val="false"/>
          <w:color w:val="000000"/>
          <w:sz w:val="24"/>
        </w:rPr>
        <w:t xml:space="preserve">, the Arbitration Agreement establishes an exclusive forum for the resolution of all disputes covered by the Arbitration Agreement that otherwise could be resolved in court. </w:t>
      </w:r>
      <w:r>
        <w:rPr>
          <w:rFonts w:ascii="Times New Roman;sans-serif" w:hAnsi="Times New Roman;sans-serif"/>
          <w:b w:val="false"/>
          <w:color w:val="000000"/>
          <w:sz w:val="24"/>
          <w:u w:val="single"/>
        </w:rPr>
        <w:t>BY ENTERING INTO THIS AGREEMENT, THE PARTICIPANT AND THE COMPANY ACKNOWLEDGE AND AGREE THAT, TO THE FULLEST EXTENT PERMITTED BY LAW, THE PARTICIPANT AND THE COMPANY ARE GIVING UP ANY RIGHTS THEY MAY HAVE TO A COURT OR JURY TRIAL OF ALL SUCH DISPUTES, which are not limited to only those arising under this agreement.</w:t>
      </w:r>
    </w:p>
    <w:p>
      <w:pPr>
        <w:pStyle w:val="TextBody"/>
        <w:spacing w:lineRule="auto" w:line="268" w:before="0" w:after="180"/>
        <w:ind w:left="0" w:right="0" w:firstLine="36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Electronic Delivery and Acceptance</w:t>
      </w:r>
      <w:r>
        <w:rPr>
          <w:rFonts w:ascii="Times New Roman;sans-serif" w:hAnsi="Times New Roman;sans-serif"/>
          <w:b w:val="false"/>
          <w:color w:val="000000"/>
          <w:sz w:val="24"/>
        </w:rPr>
        <w:t>. The Company has decided to deliver documents related to current or future participation in the Plan by electronic means and to request Participant’s consent to participate in the Plan by electronic means. Participant hereby consents to receive such documents by electronic delivery and agrees to participate in the Plan through the current plan administrator’s on-line system, or any other on-line system or electronic means that the Company may decide, in its sole discretion, to use in the future.</w:t>
      </w:r>
    </w:p>
    <w:p>
      <w:pPr>
        <w:pStyle w:val="TextBody"/>
        <w:spacing w:lineRule="auto" w:line="268" w:before="0" w:after="180"/>
        <w:ind w:left="0" w:right="0" w:firstLine="36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The headings of the Sections hereof are provided for convenience only and are not to serve as a basis for interpretation or construction, and shall not constitute a part, of this Agreement.</w:t>
      </w:r>
    </w:p>
    <w:p>
      <w:pPr>
        <w:pStyle w:val="TextBody"/>
        <w:spacing w:lineRule="auto" w:line="268" w:before="0" w:after="180"/>
        <w:ind w:left="0" w:right="0" w:firstLine="36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Signature in Counterparts</w:t>
      </w:r>
      <w:r>
        <w:rPr>
          <w:rFonts w:ascii="Times New Roman;sans-serif" w:hAnsi="Times New Roman;sans-serif"/>
          <w:b w:val="false"/>
          <w:color w:val="000000"/>
          <w:sz w:val="24"/>
        </w:rPr>
        <w:t xml:space="preserve">. This Agreement may be signed in counterparts, each of which shall be an original, with the same effect as if the signatures thereto and hereto were upon the same instrument. </w:t>
      </w:r>
      <w:r>
        <w:rPr>
          <w:rFonts w:ascii="Times New Roman;sans-serif" w:hAnsi="Times New Roman;sans-serif"/>
          <w:b/>
          <w:color w:val="000000"/>
          <w:sz w:val="24"/>
        </w:rPr>
        <w:t>PLEASE NOTE</w:t>
      </w:r>
      <w:r>
        <w:rPr>
          <w:rFonts w:ascii="Times New Roman;sans-serif" w:hAnsi="Times New Roman;sans-serif"/>
          <w:b w:val="false"/>
          <w:color w:val="000000"/>
          <w:sz w:val="24"/>
        </w:rPr>
        <w:t>: Participant’s designation/election via the current plan administrator’s website that Participant has read and accepted the terms of this Agreement and the terms and conditions of the Plan is considered Participant’s electronic signature and Participant’s express consent to this Agreement and the terms and conditions set forth in the Plan.</w:t>
      </w:r>
    </w:p>
    <w:p>
      <w:pPr>
        <w:pStyle w:val="TextBody"/>
        <w:spacing w:before="0" w:after="0"/>
        <w:rPr/>
      </w:pPr>
      <w:r>
        <w:rPr/>
      </w:r>
    </w:p>
    <w:p>
      <w:pPr>
        <w:pStyle w:val="TextBody"/>
        <w:spacing w:lineRule="auto" w:line="26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[Remainder of page intentionally left blank; signature page to follow]</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executed this Agreement.</w:t>
      </w:r>
    </w:p>
    <w:p>
      <w:pPr>
        <w:pStyle w:val="TextBody"/>
        <w:spacing w:before="0" w:after="0"/>
        <w:rPr/>
      </w:pPr>
      <w:r>
        <w:rPr/>
      </w:r>
    </w:p>
    <w:p>
      <w:pPr>
        <w:pStyle w:val="TextBody"/>
        <w:spacing w:lineRule="auto" w:line="268" w:before="0" w:after="0"/>
        <w:ind w:left="0" w:right="0" w:firstLine="4320"/>
        <w:rPr>
          <w:rFonts w:ascii="Times New Roman;sans-serif" w:hAnsi="Times New Roman;sans-serif"/>
          <w:b w:val="false"/>
          <w:color w:val="000000"/>
          <w:sz w:val="24"/>
        </w:rPr>
      </w:pPr>
      <w:r>
        <w:rPr>
          <w:rFonts w:ascii="Times New Roman;sans-serif" w:hAnsi="Times New Roman;sans-serif"/>
          <w:b w:val="false"/>
          <w:color w:val="000000"/>
          <w:sz w:val="24"/>
        </w:rPr>
        <w:t>ExlService Holdings, Inc.</w:t>
      </w:r>
    </w:p>
    <w:p>
      <w:pPr>
        <w:pStyle w:val="TextBody"/>
        <w:spacing w:before="0" w:after="0"/>
        <w:ind w:left="0" w:right="0" w:firstLine="4320"/>
        <w:rPr/>
      </w:pPr>
      <w:r>
        <w:rPr/>
      </w:r>
    </w:p>
    <w:p>
      <w:pPr>
        <w:pStyle w:val="TextBody"/>
        <w:spacing w:lineRule="auto" w:line="268" w:before="0" w:after="0"/>
        <w:ind w:left="0" w:right="0" w:firstLine="4320"/>
        <w:rPr>
          <w:rFonts w:ascii="Times New Roman;sans-serif" w:hAnsi="Times New Roman;sans-serif"/>
          <w:b w:val="false"/>
          <w:color w:val="000000"/>
          <w:sz w:val="24"/>
        </w:rPr>
      </w:pPr>
      <w:r>
        <w:rPr>
          <w:rFonts w:ascii="Times New Roman;sans-serif" w:hAnsi="Times New Roman;sans-serif"/>
          <w:b w:val="false"/>
          <w:color w:val="000000"/>
          <w:sz w:val="24"/>
        </w:rPr>
        <w:t>By:</w:t>
      </w:r>
    </w:p>
    <w:p>
      <w:pPr>
        <w:pStyle w:val="TextBody"/>
        <w:spacing w:lineRule="auto" w:line="268" w:before="0" w:after="0"/>
        <w:ind w:left="0" w:right="0" w:firstLine="4320"/>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spacing w:before="0" w:after="0"/>
        <w:ind w:left="0" w:right="0" w:firstLine="4320"/>
        <w:rPr/>
      </w:pPr>
      <w:r>
        <w:rPr/>
      </w:r>
    </w:p>
    <w:p>
      <w:pPr>
        <w:pStyle w:val="TextBody"/>
        <w:spacing w:lineRule="auto" w:line="268" w:before="0" w:after="0"/>
        <w:ind w:left="0" w:right="0" w:firstLine="4320"/>
        <w:rPr>
          <w:rFonts w:ascii="Times New Roman;sans-serif" w:hAnsi="Times New Roman;sans-serif"/>
          <w:b w:val="false"/>
          <w:color w:val="000000"/>
          <w:sz w:val="24"/>
        </w:rPr>
      </w:pPr>
      <w:r>
        <w:rPr>
          <w:rFonts w:ascii="Times New Roman;sans-serif" w:hAnsi="Times New Roman;sans-serif"/>
          <w:b w:val="false"/>
          <w:color w:val="000000"/>
          <w:sz w:val="24"/>
        </w:rPr>
        <w:t xml:space="preserve">Participant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 Revenue-Based RSUs</w:t>
      </w:r>
    </w:p>
    <w:p>
      <w:pPr>
        <w:pStyle w:val="TextBody"/>
        <w:spacing w:before="0" w:after="0"/>
        <w:jc w:val="center"/>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Except as may otherwise be provided herein, the Revenue-Based RSUs shall vest based on the achievement of Company revenues against the aggregate revenue target for the period beginning on [●] and ending on [●], as set forth herein. For purposes of this Exhibit A, “revenue” shall have the meaning given such term in the Board-approved budget for the fiscal year in which the Award is granted.</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aggregate revenue target for the [YEAR] Revenue-Based PRSUs for the period beginning on [●] and ending on [●] is $[●], and the sliding scale used to determine payout achievement is as set forth in the table below:</w:t>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[YEAR] PRSU Plan – 3 Year Aggregate Revenue Target Sliding Scale:</w:t>
      </w:r>
    </w:p>
    <w:p>
      <w:pPr>
        <w:pStyle w:val="TextBody"/>
        <w:spacing w:before="0" w:after="0"/>
        <w:ind w:left="0" w:right="0" w:firstLine="720"/>
        <w:jc w:val="both"/>
        <w:rPr/>
      </w:pPr>
      <w:r>
        <w:rPr/>
      </w:r>
    </w:p>
    <w:tbl>
      <w:tblPr>
        <w:tblW w:w="4471" w:type="dxa"/>
        <w:jc w:val="left"/>
        <w:tblInd w:w="0" w:type="dxa"/>
        <w:tblCellMar>
          <w:top w:w="28" w:type="dxa"/>
          <w:left w:w="28" w:type="dxa"/>
          <w:bottom w:w="28" w:type="dxa"/>
          <w:right w:w="28" w:type="dxa"/>
        </w:tblCellMar>
      </w:tblPr>
      <w:tblGrid>
        <w:gridCol w:w="1250"/>
        <w:gridCol w:w="1099"/>
        <w:gridCol w:w="1101"/>
        <w:gridCol w:w="299"/>
        <w:gridCol w:w="299"/>
        <w:gridCol w:w="423"/>
      </w:tblGrid>
      <w:tr>
        <w:trPr/>
        <w:tc>
          <w:tcPr>
            <w:tcW w:w="1250"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Achievement on Revenue Target</w:t>
            </w:r>
          </w:p>
        </w:tc>
        <w:tc>
          <w:tcPr>
            <w:tcW w:w="1021" w:type="dxa"/>
            <w:gridSpan w:val="3"/>
            <w:tcBorders>
              <w:top w:val="single" w:sz="8" w:space="0" w:color="000000"/>
              <w:left w:val="single" w:sz="8" w:space="0" w:color="000000"/>
              <w:right w:val="single" w:sz="8" w:space="0" w:color="000000"/>
            </w:tcBorders>
            <w:shd w:fill="D9D9D9" w:val="clear"/>
            <w:tcMar>
              <w:top w:w="30" w:type="dxa"/>
              <w:bottom w:w="0" w:type="dxa"/>
            </w:tcMar>
            <w:vAlign w:val="center"/>
          </w:tcPr>
          <w:p>
            <w:pPr>
              <w:pStyle w:val="TableContents"/>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Funding</w:t>
            </w:r>
          </w:p>
        </w:tc>
      </w:tr>
      <w:tr>
        <w:trPr/>
        <w:tc>
          <w:tcPr>
            <w:tcW w:w="3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[110%]</w:t>
            </w:r>
          </w:p>
        </w:tc>
        <w:tc>
          <w:tcPr>
            <w:tcW w:w="10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[200%]</w:t>
            </w:r>
          </w:p>
        </w:tc>
      </w:tr>
      <w:tr>
        <w:trPr/>
        <w:tc>
          <w:tcPr>
            <w:tcW w:w="3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c>
          <w:tcPr>
            <w:tcW w:w="10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r>
      <w:tr>
        <w:trPr/>
        <w:tc>
          <w:tcPr>
            <w:tcW w:w="345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[90%]</w:t>
            </w:r>
          </w:p>
        </w:tc>
        <w:tc>
          <w:tcPr>
            <w:tcW w:w="1021"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c>
      </w:tr>
    </w:tbl>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 the extent the Company’s revenue falls in between [90% and 100%], the percentage of Revenue-Based RSUs earned will be determined based on [straight line interpolation] calculated using a revenue target range between [90% and 100%] and a funding range between [25% and 100%]. For example, if [95%] of the revenue target is achieved, [62.5%] of the Revenue-Based RSUs will be earned. To the extent the Company’s revenue falls in between [100% and 110%], the percentage of Revenue-Based RSUs earned will be determined based on [straight line interpolation] calculated using a revenue target range between [100%] and [110%] and a funding range between [100% and 200%]. For example, if [105%] of the revenue target is achieved, [150%] of the Revenue-Based RSUs will be earned.</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B: TSR-Based RSUs</w:t>
      </w:r>
    </w:p>
    <w:p>
      <w:pPr>
        <w:pStyle w:val="TextBody"/>
        <w:spacing w:before="0" w:after="0"/>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The Committee has designated the following peer group of public companies in the Company’s 8-digit Global Industry Classification Standard sub-industry group (the “</w:t>
      </w:r>
      <w:r>
        <w:rPr>
          <w:rFonts w:ascii="Times New Roman;sans-serif" w:hAnsi="Times New Roman;sans-serif"/>
          <w:b w:val="false"/>
          <w:color w:val="000000"/>
          <w:sz w:val="24"/>
          <w:u w:val="single"/>
        </w:rPr>
        <w:t>Peer Group</w:t>
      </w:r>
      <w:r>
        <w:rPr>
          <w:color w:val="000000"/>
        </w:rPr>
        <w:t>”</w:t>
      </w:r>
      <w:r>
        <w:rPr>
          <w:rFonts w:ascii="Times New Roman;sans-serif" w:hAnsi="Times New Roman;sans-serif"/>
          <w:b w:val="false"/>
          <w:color w:val="000000"/>
          <w:sz w:val="24"/>
        </w:rPr>
        <w:t>):</w:t>
      </w:r>
    </w:p>
    <w:p>
      <w:pPr>
        <w:pStyle w:val="TextBody"/>
        <w:spacing w:before="0" w:after="0"/>
        <w:rPr/>
      </w:pPr>
      <w:r>
        <w:rPr/>
      </w:r>
    </w:p>
    <w:p>
      <w:pPr>
        <w:pStyle w:val="TextBody"/>
        <w:spacing w:lineRule="auto" w:line="276" w:before="0" w:after="0"/>
        <w:rPr>
          <w:rFonts w:ascii="Arial;sans-serif" w:hAnsi="Arial;sans-serif"/>
          <w:b w:val="false"/>
          <w:color w:val="000000"/>
          <w:sz w:val="24"/>
        </w:rPr>
      </w:pPr>
      <w:r>
        <w:rPr>
          <w:rFonts w:ascii="Arial;sans-serif" w:hAnsi="Arial;sans-serif"/>
          <w:b w:val="false"/>
          <w:color w:val="000000"/>
          <w:sz w:val="24"/>
        </w:rPr>
        <w:t>[</w:t>
      </w:r>
    </w:p>
    <w:tbl>
      <w:tblPr>
        <w:tblW w:w="10205" w:type="dxa"/>
        <w:jc w:val="left"/>
        <w:tblInd w:w="0" w:type="dxa"/>
        <w:tblCellMar>
          <w:top w:w="28" w:type="dxa"/>
          <w:left w:w="28" w:type="dxa"/>
          <w:bottom w:w="28" w:type="dxa"/>
          <w:right w:w="28" w:type="dxa"/>
        </w:tblCellMar>
      </w:tblPr>
      <w:tblGrid>
        <w:gridCol w:w="1543"/>
        <w:gridCol w:w="1174"/>
        <w:gridCol w:w="1183"/>
        <w:gridCol w:w="804"/>
        <w:gridCol w:w="593"/>
        <w:gridCol w:w="595"/>
        <w:gridCol w:w="754"/>
        <w:gridCol w:w="618"/>
        <w:gridCol w:w="620"/>
        <w:gridCol w:w="730"/>
        <w:gridCol w:w="654"/>
        <w:gridCol w:w="937"/>
      </w:tblGrid>
      <w:tr>
        <w:trPr/>
        <w:tc>
          <w:tcPr>
            <w:tcW w:w="1543"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r>
      <w:tr>
        <w:trPr/>
        <w:tc>
          <w:tcPr>
            <w:tcW w:w="10205" w:type="dxa"/>
            <w:gridSpan w:val="12"/>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center"/>
              <w:rPr>
                <w:rFonts w:ascii="Times New Roman;sans-serif" w:hAnsi="Times New Roman;sans-serif"/>
                <w:b/>
                <w:color w:val="000000"/>
                <w:sz w:val="20"/>
              </w:rPr>
            </w:pPr>
            <w:r>
              <w:rPr>
                <w:rFonts w:ascii="Times New Roman;sans-serif" w:hAnsi="Times New Roman;sans-serif"/>
                <w:b/>
                <w:color w:val="000000"/>
                <w:sz w:val="20"/>
              </w:rPr>
              <w:t>TSR Peer Group</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Affirm Holdings,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AppTech Payments Corp.</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Automatic Data Processing, Inc.</w:t>
            </w:r>
          </w:p>
        </w:tc>
        <w:tc>
          <w:tcPr>
            <w:tcW w:w="23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Block, Inc.</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Broadridge Financial Solutions,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Cantaloupe,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Cass Information Systems, Inc.</w:t>
            </w:r>
          </w:p>
        </w:tc>
        <w:tc>
          <w:tcPr>
            <w:tcW w:w="23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Concentrix Corporation</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Conduent Incorporated</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CSG Systems International,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DLocal Limited</w:t>
            </w:r>
          </w:p>
        </w:tc>
        <w:tc>
          <w:tcPr>
            <w:tcW w:w="23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Euronet Worldwide, Inc.</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EVERTEC,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EVO Payments,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Exela Technologies, Inc.</w:t>
            </w:r>
          </w:p>
        </w:tc>
        <w:tc>
          <w:tcPr>
            <w:tcW w:w="23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Fidelity National Information Services, Inc.</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Fiserv,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FLEETCOR Technologies,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Flywire Corporation</w:t>
            </w:r>
          </w:p>
        </w:tc>
        <w:tc>
          <w:tcPr>
            <w:tcW w:w="23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Genpact Limited</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Getnet Adquirencia e Servicos para Meios de Pagamento S.A. - Instituicão de Pagamento</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Global Blue Group Holding AG</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Global Payments Inc.</w:t>
            </w:r>
          </w:p>
        </w:tc>
        <w:tc>
          <w:tcPr>
            <w:tcW w:w="23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i3 Verticals, Inc.</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IBEX Limited</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Innodata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Money Express, Inc.</w:t>
            </w:r>
          </w:p>
        </w:tc>
        <w:tc>
          <w:tcPr>
            <w:tcW w:w="23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Jack Henry &amp; Associates, Inc.</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Marqeta,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Mastercard Incorporated</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Maximus, Inc.</w:t>
            </w:r>
          </w:p>
        </w:tc>
        <w:tc>
          <w:tcPr>
            <w:tcW w:w="23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MoneyGram International, Inc.</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Nuvei Corporation</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PagSeguro Digital Ltd.</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Paya Holdings Inc.</w:t>
            </w:r>
          </w:p>
        </w:tc>
        <w:tc>
          <w:tcPr>
            <w:tcW w:w="23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Paychex, Inc.</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Paymentus Holdings,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Payoneer Global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PayPal Holdings, Inc.</w:t>
            </w:r>
          </w:p>
        </w:tc>
        <w:tc>
          <w:tcPr>
            <w:tcW w:w="23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Paysafe Limited</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PaySign,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Priority Technology Holdings,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QIWI plc</w:t>
            </w:r>
          </w:p>
        </w:tc>
        <w:tc>
          <w:tcPr>
            <w:tcW w:w="23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Remitly Global, Inc.</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Repay Holdings Corporation</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Sabre Corporation</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Shift4 Payments, Inc.</w:t>
            </w:r>
          </w:p>
        </w:tc>
        <w:tc>
          <w:tcPr>
            <w:tcW w:w="23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Startek, Inc.</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Steel Connect,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StoneCo Ltd.</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TaskUs, Inc.</w:t>
            </w:r>
          </w:p>
        </w:tc>
        <w:tc>
          <w:tcPr>
            <w:tcW w:w="23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TDCX Inc.</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TELUS International (Cda)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OLB Group,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Western Union Company</w:t>
            </w:r>
          </w:p>
        </w:tc>
        <w:tc>
          <w:tcPr>
            <w:tcW w:w="23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Toast, Inc.</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TTEC Holdings,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Usio,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Verra Mobility Corporation</w:t>
            </w:r>
          </w:p>
        </w:tc>
        <w:tc>
          <w:tcPr>
            <w:tcW w:w="23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VIQ Solutions Inc.</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Visa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WEX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WNS (Holdings) Limited</w:t>
            </w:r>
          </w:p>
        </w:tc>
        <w:tc>
          <w:tcPr>
            <w:tcW w:w="23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AvidXchange Holdings, Inc.</w:t>
            </w:r>
          </w:p>
        </w:tc>
      </w:tr>
      <w:tr>
        <w:trPr/>
        <w:tc>
          <w:tcPr>
            <w:tcW w:w="390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Lesaka Technologies, Inc.</w:t>
            </w:r>
          </w:p>
        </w:tc>
        <w:tc>
          <w:tcPr>
            <w:tcW w:w="1992"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Ryvyl Inc.</w:t>
            </w:r>
          </w:p>
        </w:tc>
        <w:tc>
          <w:tcPr>
            <w:tcW w:w="1992"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SS&amp;C Technologies Holdings, Inc.</w:t>
            </w:r>
          </w:p>
        </w:tc>
        <w:tc>
          <w:tcPr>
            <w:tcW w:w="2321"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WeTrade Group, Inc.</w:t>
            </w:r>
          </w:p>
        </w:tc>
      </w:tr>
    </w:tbl>
    <w:p>
      <w:pPr>
        <w:pStyle w:val="TextBody"/>
        <w:spacing w:lineRule="auto" w:line="276" w:before="0" w:after="0"/>
        <w:rPr>
          <w:rFonts w:ascii="Arial;sans-serif" w:hAnsi="Arial;sans-serif"/>
          <w:b w:val="false"/>
          <w:color w:val="000000"/>
          <w:sz w:val="24"/>
        </w:rPr>
      </w:pPr>
      <w:r>
        <w:rPr>
          <w:rFonts w:ascii="Arial;sans-serif" w:hAnsi="Arial;sans-serif"/>
          <w:b w:val="false"/>
          <w:color w:val="000000"/>
          <w:sz w:val="24"/>
        </w:rPr>
        <w:t>]</w:t>
      </w:r>
    </w:p>
    <w:p>
      <w:pPr>
        <w:pStyle w:val="TextBody"/>
        <w:spacing w:before="0" w:after="0"/>
        <w:ind w:left="0" w:right="0" w:firstLine="720"/>
        <w:jc w:val="both"/>
        <w:rPr/>
      </w:pPr>
      <w:r>
        <w:rPr/>
      </w:r>
    </w:p>
    <w:p>
      <w:pPr>
        <w:pStyle w:val="TextBody"/>
        <w:spacing w:lineRule="auto" w:line="268"/>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Company’s TSR for the TSR Performance Period will be computed and then compared to the TSR of the companies in the Peer Group. A participant shall earn [200%, 150%, 100%, 50% or 0%] of the TSR-Based RSUs, as applicable, if the Company’s TSR for the Performance Period equals or exceeds the [80th, 65th, 50th, 35th or 20th] percentile, respectively, of the Peer Group, when ranked by TSR for the TSR Performance Period. The </w:t>
      </w:r>
      <w:r>
        <w:br w:type="page"/>
      </w:r>
    </w:p>
    <w:p>
      <w:pPr>
        <w:pStyle w:val="TextBody"/>
        <w:spacing w:before="0" w:after="0"/>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percentage of TSR-Based RSUs earned will be determined based on [straight-line interpolation] to the extent the Company’s TSR falls in between the [20th and 80th] percentiles, as per the chart below:</w:t>
      </w:r>
    </w:p>
    <w:p>
      <w:pPr>
        <w:pStyle w:val="TextBody"/>
        <w:spacing w:before="0" w:after="0"/>
        <w:ind w:left="0" w:right="0" w:firstLine="720"/>
        <w:jc w:val="both"/>
        <w:rPr/>
      </w:pPr>
      <w:r>
        <w:rPr/>
      </w:r>
    </w:p>
    <w:tbl>
      <w:tblPr>
        <w:tblW w:w="3436" w:type="dxa"/>
        <w:jc w:val="left"/>
        <w:tblInd w:w="0" w:type="dxa"/>
        <w:tblCellMar>
          <w:top w:w="28" w:type="dxa"/>
          <w:left w:w="28" w:type="dxa"/>
          <w:bottom w:w="28" w:type="dxa"/>
          <w:right w:w="28" w:type="dxa"/>
        </w:tblCellMar>
      </w:tblPr>
      <w:tblGrid>
        <w:gridCol w:w="875"/>
        <w:gridCol w:w="768"/>
        <w:gridCol w:w="772"/>
        <w:gridCol w:w="299"/>
        <w:gridCol w:w="299"/>
        <w:gridCol w:w="423"/>
      </w:tblGrid>
      <w:tr>
        <w:trPr/>
        <w:tc>
          <w:tcPr>
            <w:tcW w:w="875"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Target TSR Percentile</w:t>
            </w:r>
          </w:p>
        </w:tc>
        <w:tc>
          <w:tcPr>
            <w:tcW w:w="1021" w:type="dxa"/>
            <w:gridSpan w:val="3"/>
            <w:tcBorders>
              <w:top w:val="single" w:sz="8" w:space="0" w:color="000000"/>
              <w:left w:val="single" w:sz="8" w:space="0" w:color="000000"/>
              <w:right w:val="single" w:sz="8" w:space="0" w:color="000000"/>
            </w:tcBorders>
            <w:shd w:fill="D9D9D9" w:val="clear"/>
            <w:tcMar>
              <w:top w:w="30" w:type="dxa"/>
              <w:bottom w:w="0" w:type="dxa"/>
            </w:tcMar>
            <w:vAlign w:val="center"/>
          </w:tcPr>
          <w:p>
            <w:pPr>
              <w:pStyle w:val="TableContents"/>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Funding</w:t>
            </w:r>
          </w:p>
        </w:tc>
      </w:tr>
      <w:tr>
        <w:trPr/>
        <w:tc>
          <w:tcPr>
            <w:tcW w:w="241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[80.0]</w:t>
            </w:r>
          </w:p>
        </w:tc>
        <w:tc>
          <w:tcPr>
            <w:tcW w:w="10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[200%]</w:t>
            </w:r>
          </w:p>
        </w:tc>
      </w:tr>
      <w:tr>
        <w:trPr/>
        <w:tc>
          <w:tcPr>
            <w:tcW w:w="241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[65.0]</w:t>
            </w:r>
          </w:p>
        </w:tc>
        <w:tc>
          <w:tcPr>
            <w:tcW w:w="10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[150%]</w:t>
            </w:r>
          </w:p>
        </w:tc>
      </w:tr>
      <w:tr>
        <w:trPr/>
        <w:tc>
          <w:tcPr>
            <w:tcW w:w="241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[50.0]</w:t>
            </w:r>
          </w:p>
        </w:tc>
        <w:tc>
          <w:tcPr>
            <w:tcW w:w="10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r>
      <w:tr>
        <w:trPr/>
        <w:tc>
          <w:tcPr>
            <w:tcW w:w="241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[35.0]</w:t>
            </w:r>
          </w:p>
        </w:tc>
        <w:tc>
          <w:tcPr>
            <w:tcW w:w="10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c>
      </w:tr>
      <w:tr>
        <w:trPr/>
        <w:tc>
          <w:tcPr>
            <w:tcW w:w="241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[20.0]</w:t>
            </w:r>
          </w:p>
        </w:tc>
        <w:tc>
          <w:tcPr>
            <w:tcW w:w="1021"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w:t>
            </w:r>
          </w:p>
        </w:tc>
      </w:tr>
    </w:tbl>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if the Company’s TSR for the TSR Performance Period is negative, the maximum percentage of TSR-Based RSUs that may be earned is 100% regardless of the Company’s actual percentile ranking relative to the peer Group. TSR shall be determined in the customary manner based on the percentage increase in a company’s stock price (taking into account assumed immediate reinvestment of dividends) from the first day of the TSR Performance Period to the last day of the TSR Performance Period. For this purpose, a company’s stock price on the applicable date will be determined as the 30 calendar day average closing stock price ending on the applicable date (or the immediately preceding trading day if the applicable date is not a trading day), except as provided in Section 3(b) in the event of a Change in Control.</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Companies in the Peer Group that are not publicly traded on the last day of the TSR Performance Period shall not be taken into account for TSR purposes (except that any such company that goes bankrupt will be deemed to have a negative 100% TSR).</w:t>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ind w:left="0" w:right="0" w:firstLine="720"/>
        <w:jc w:val="both"/>
        <w:rPr/>
      </w:pPr>
      <w:r>
        <w:rPr/>
      </w:r>
    </w:p>
    <w:p>
      <w:pPr>
        <w:pStyle w:val="TextBody"/>
        <w:spacing w:lineRule="auto" w:line="268" w:before="0" w:after="0"/>
        <w:ind w:left="0" w:right="0" w:firstLine="7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C: Arbitration Agreement</w:t>
      </w:r>
    </w:p>
    <w:p>
      <w:pPr>
        <w:pStyle w:val="TextBody"/>
        <w:spacing w:before="0" w:after="0"/>
        <w:rPr/>
      </w:pPr>
      <w:r>
        <w:rPr/>
      </w:r>
    </w:p>
    <w:p>
      <w:pPr>
        <w:pStyle w:val="TextBody"/>
        <w:spacing w:lineRule="auto" w:line="268"/>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(See attached.)</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240"/>
        <w:jc w:val="right"/>
        <w:rPr>
          <w:rFonts w:ascii="Times New Roman;sans-serif" w:hAnsi="Times New Roman;sans-serif"/>
          <w:b/>
          <w:color w:val="000000"/>
          <w:sz w:val="20"/>
        </w:rPr>
      </w:pPr>
      <w:r>
        <w:rPr>
          <w:rFonts w:ascii="Times New Roman;sans-serif" w:hAnsi="Times New Roman;sans-serif"/>
          <w:b/>
          <w:color w:val="000000"/>
          <w:sz w:val="20"/>
        </w:rPr>
        <w:t>Exhibit 10.3</w:t>
      </w:r>
    </w:p>
    <w:p>
      <w:pPr>
        <w:pStyle w:val="TextBody"/>
        <w:spacing w:lineRule="auto" w:line="264" w:before="0" w:after="2"/>
        <w:jc w:val="center"/>
        <w:rPr>
          <w:rFonts w:ascii="Times New Roman;sans-serif" w:hAnsi="Times New Roman;sans-serif"/>
          <w:b/>
          <w:color w:val="000000"/>
          <w:sz w:val="24"/>
        </w:rPr>
      </w:pPr>
      <w:r>
        <w:rPr>
          <w:rFonts w:ascii="Times New Roman;sans-serif" w:hAnsi="Times New Roman;sans-serif"/>
          <w:b/>
          <w:color w:val="000000"/>
          <w:sz w:val="24"/>
        </w:rPr>
        <w:t xml:space="preserve">EXLSERVICE HOLDINGS, INC. </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2018 OMNIBUS INCENTIVE PLAN</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[FORM OF] RESTRICTED STOCK UNIT AGREEMENT (International)</w:t>
      </w:r>
    </w:p>
    <w:p>
      <w:pPr>
        <w:pStyle w:val="TextBody"/>
        <w:spacing w:before="0" w:after="0"/>
        <w:jc w:val="center"/>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THIS RESTRICTED STOCK UNIT AGREEMENT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is made, effective as of the [INSERT DATE OF GRANT] (hereinafter the “Date of Grant”) by and between ExlService Holdings, Inc. a Delaware corporation (the “Company”), and __[INSERT PARTICIPANT NAME]__ (the “Participant”).</w:t>
      </w:r>
    </w:p>
    <w:p>
      <w:pPr>
        <w:pStyle w:val="TextBody"/>
        <w:spacing w:before="0" w:after="0"/>
        <w:ind w:left="0" w:right="0" w:firstLine="720"/>
        <w:jc w:val="both"/>
        <w:rPr/>
      </w:pPr>
      <w:r>
        <w:rPr/>
      </w:r>
    </w:p>
    <w:p>
      <w:pPr>
        <w:pStyle w:val="TextBody"/>
        <w:spacing w:lineRule="auto" w:line="268" w:before="0" w:after="0"/>
        <w:ind w:left="0" w:right="0" w:firstLine="1440"/>
        <w:jc w:val="both"/>
        <w:rPr/>
      </w:pPr>
      <w:r>
        <w:rPr>
          <w:rFonts w:ascii="Times New Roman;sans-serif" w:hAnsi="Times New Roman;sans-serif"/>
          <w:b w:val="false"/>
          <w:color w:val="000000"/>
          <w:sz w:val="24"/>
        </w:rPr>
        <w:t>WHEREAS, the Company has adopted the ExlService Holdings, Inc. 2018 Omnibus Incentive Plan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pursuant to which awards of Restricted Stock Units may be granted; and</w:t>
      </w:r>
    </w:p>
    <w:p>
      <w:pPr>
        <w:pStyle w:val="TextBody"/>
        <w:spacing w:lineRule="auto" w:line="268" w:before="0" w:after="0"/>
        <w:ind w:left="0" w:right="0" w:firstLine="1440"/>
        <w:jc w:val="both"/>
        <w:rPr/>
      </w:pPr>
      <w:r>
        <w:rPr>
          <w:rFonts w:ascii="Times New Roman;sans-serif" w:hAnsi="Times New Roman;sans-serif"/>
          <w:b w:val="false"/>
          <w:color w:val="000000"/>
          <w:sz w:val="24"/>
        </w:rPr>
        <w:t>WHEREAS, the Compensation and Talent Management Committee of the Board of Directors of the Company (the “</w:t>
      </w:r>
      <w:r>
        <w:rPr>
          <w:rFonts w:ascii="Times New Roman;sans-serif" w:hAnsi="Times New Roman;sans-serif"/>
          <w:b w:val="false"/>
          <w:color w:val="000000"/>
          <w:sz w:val="24"/>
          <w:u w:val="single"/>
        </w:rPr>
        <w:t>Committee</w:t>
      </w:r>
      <w:r>
        <w:rPr>
          <w:color w:val="000000"/>
        </w:rPr>
        <w:t>”</w:t>
      </w:r>
      <w:r>
        <w:rPr>
          <w:rFonts w:ascii="Times New Roman;sans-serif" w:hAnsi="Times New Roman;sans-serif"/>
          <w:b w:val="false"/>
          <w:color w:val="000000"/>
          <w:sz w:val="24"/>
        </w:rPr>
        <w:t>) has determined that it is in the best interests of the Company and its stockholders to grant to the Participant an award of Restricted Stock Units as provided herein and subject to the terms set forth herein.</w:t>
      </w:r>
    </w:p>
    <w:p>
      <w:pPr>
        <w:pStyle w:val="TextBody"/>
        <w:spacing w:before="0" w:after="0"/>
        <w:ind w:left="0" w:right="0" w:firstLine="144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pStyle w:val="TextBody"/>
        <w:spacing w:before="0" w:after="0"/>
        <w:ind w:left="0" w:right="0" w:firstLine="144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Grant of Restricted Stock Units</w:t>
      </w:r>
      <w:r>
        <w:rPr>
          <w:rFonts w:ascii="Times New Roman;sans-serif" w:hAnsi="Times New Roman;sans-serif"/>
          <w:b w:val="false"/>
          <w:color w:val="000000"/>
          <w:sz w:val="24"/>
        </w:rPr>
        <w:t>. The Company hereby grants on the Date of Grant, to the Participant a total of [●] Restricted Stock Units (the “</w:t>
      </w:r>
      <w:r>
        <w:rPr>
          <w:rFonts w:ascii="Times New Roman;sans-serif" w:hAnsi="Times New Roman;sans-serif"/>
          <w:b w:val="false"/>
          <w:color w:val="000000"/>
          <w:sz w:val="24"/>
          <w:u w:val="single"/>
        </w:rPr>
        <w:t>Award</w:t>
      </w:r>
      <w:r>
        <w:rPr>
          <w:color w:val="000000"/>
        </w:rPr>
        <w:t>”</w:t>
      </w:r>
      <w:r>
        <w:rPr>
          <w:rFonts w:ascii="Times New Roman;sans-serif" w:hAnsi="Times New Roman;sans-serif"/>
          <w:b w:val="false"/>
          <w:color w:val="000000"/>
          <w:sz w:val="24"/>
        </w:rPr>
        <w:t>) on the terms and conditions set forth in this Agreement and as otherwise provided in the Plan. Such Restricted Stock Units shall be credited to a separate account maintained for the Participant on the books of the Company (the “</w:t>
      </w:r>
      <w:r>
        <w:rPr>
          <w:rFonts w:ascii="Times New Roman;sans-serif" w:hAnsi="Times New Roman;sans-serif"/>
          <w:b w:val="false"/>
          <w:color w:val="000000"/>
          <w:sz w:val="24"/>
          <w:u w:val="single"/>
        </w:rPr>
        <w:t>Account</w:t>
      </w:r>
      <w:r>
        <w:rPr>
          <w:color w:val="000000"/>
        </w:rPr>
        <w:t>”</w:t>
      </w:r>
      <w:r>
        <w:rPr>
          <w:rFonts w:ascii="Times New Roman;sans-serif" w:hAnsi="Times New Roman;sans-serif"/>
          <w:b w:val="false"/>
          <w:color w:val="000000"/>
          <w:sz w:val="24"/>
        </w:rPr>
        <w:t>). On any given date, the value of each Restricted Stock Unit comprising the Award shall equal the Fair Market Value of one share of Common Stock. The Award shall vest in accordance with Section 3 hereof and settle in accordance with Section 4 hereof.</w:t>
      </w:r>
    </w:p>
    <w:p>
      <w:pPr>
        <w:pStyle w:val="TextBody"/>
        <w:spacing w:before="0" w:after="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Incorporation by Reference, Etc</w:t>
      </w:r>
      <w:r>
        <w:rPr>
          <w:rFonts w:ascii="Times New Roman;sans-serif" w:hAnsi="Times New Roman;sans-serif"/>
          <w:b w:val="false"/>
          <w:color w:val="000000"/>
          <w:sz w:val="24"/>
        </w:rPr>
        <w:t>.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w:t>
      </w:r>
    </w:p>
    <w:p>
      <w:pPr>
        <w:pStyle w:val="TextBody"/>
        <w:spacing w:before="0" w:after="0"/>
        <w:jc w:val="both"/>
        <w:rPr/>
      </w:pPr>
      <w:r>
        <w:rPr/>
      </w:r>
    </w:p>
    <w:p>
      <w:pPr>
        <w:pStyle w:val="TextBody"/>
        <w:spacing w:lineRule="auto" w:line="268"/>
        <w:ind w:left="0" w:right="0" w:firstLine="36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Vesting</w:t>
      </w:r>
      <w:r>
        <w:rPr>
          <w:rFonts w:ascii="Times New Roman;sans-serif" w:hAnsi="Times New Roman;sans-serif"/>
          <w:b w:val="false"/>
          <w:color w:val="000000"/>
          <w:sz w:val="24"/>
        </w:rPr>
        <w:t xml:space="preserve">. Except as otherwise provided herein, [●] percent of the Award shall vest based on continued employment with the Company (or its Affiliates) (the “Time-Based RSUs”) and [●] percent of the Award shall vest based on continued employment with the Company and the achievement of specified performance criteria described herein (the “Performance-Based </w:t>
      </w:r>
      <w:r>
        <w:br w:type="page"/>
      </w:r>
    </w:p>
    <w:p>
      <w:pPr>
        <w:pStyle w:val="TextBody"/>
        <w:spacing w:before="0" w:after="0"/>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68" w:before="0" w:after="0"/>
        <w:jc w:val="both"/>
        <w:rPr/>
      </w:pPr>
      <w:r>
        <w:rPr>
          <w:rFonts w:ascii="Times New Roman;sans-serif" w:hAnsi="Times New Roman;sans-serif"/>
          <w:b w:val="false"/>
          <w:color w:val="000000"/>
          <w:sz w:val="24"/>
        </w:rPr>
        <w:t>RSUs”). Each day on which a portion of the Award vests in accordance with this Agreement is referred to as a “</w:t>
      </w:r>
      <w:r>
        <w:rPr>
          <w:rFonts w:ascii="Times New Roman;sans-serif" w:hAnsi="Times New Roman;sans-serif"/>
          <w:b w:val="false"/>
          <w:color w:val="000000"/>
          <w:sz w:val="24"/>
          <w:u w:val="single"/>
        </w:rPr>
        <w:t>Vesting Date</w:t>
      </w:r>
      <w:r>
        <w:rPr>
          <w:color w:val="000000"/>
        </w:rPr>
        <w:t>”</w:t>
      </w:r>
      <w:r>
        <w:rPr>
          <w:rFonts w:ascii="Times New Roman;sans-serif" w:hAnsi="Times New Roman;sans-serif"/>
          <w:b w:val="false"/>
          <w:color w:val="000000"/>
          <w:sz w:val="24"/>
        </w:rPr>
        <w:t>.</w:t>
      </w:r>
    </w:p>
    <w:p>
      <w:pPr>
        <w:pStyle w:val="TextBody"/>
        <w:spacing w:before="0" w:after="0"/>
        <w:ind w:left="0" w:right="0" w:firstLine="720"/>
        <w:jc w:val="both"/>
        <w:rPr/>
      </w:pPr>
      <w:r>
        <w:rPr/>
      </w:r>
    </w:p>
    <w:p>
      <w:pPr>
        <w:pStyle w:val="TextBody"/>
        <w:spacing w:lineRule="auto" w:line="268" w:before="0" w:after="0"/>
        <w:ind w:left="0" w:right="0" w:hanging="45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Time-Based RSUs.</w:t>
      </w:r>
      <w:r>
        <w:rPr>
          <w:color w:val="000000"/>
        </w:rPr>
        <w:t xml:space="preserve"> </w:t>
      </w:r>
    </w:p>
    <w:p>
      <w:pPr>
        <w:pStyle w:val="TextBody"/>
        <w:spacing w:before="0" w:after="0"/>
        <w:ind w:left="0" w:right="0" w:hanging="90"/>
        <w:jc w:val="both"/>
        <w:rPr/>
      </w:pPr>
      <w:r>
        <w:rPr/>
      </w:r>
    </w:p>
    <w:p>
      <w:pPr>
        <w:pStyle w:val="TextBody"/>
        <w:spacing w:lineRule="auto" w:line="268" w:before="0" w:after="0"/>
        <w:ind w:left="0" w:right="0" w:firstLine="1304"/>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Generally</w:t>
      </w:r>
      <w:r>
        <w:rPr>
          <w:rFonts w:ascii="Times New Roman;sans-serif" w:hAnsi="Times New Roman;sans-serif"/>
          <w:b w:val="false"/>
          <w:color w:val="000000"/>
          <w:sz w:val="24"/>
        </w:rPr>
        <w:t>. Subject to the Participant’s continued employment with the Company through each applicable Vesting Date listed in the chart below (the “</w:t>
      </w:r>
      <w:r>
        <w:rPr>
          <w:rFonts w:ascii="Times New Roman;sans-serif" w:hAnsi="Times New Roman;sans-serif"/>
          <w:b w:val="false"/>
          <w:color w:val="000000"/>
          <w:sz w:val="24"/>
          <w:u w:val="single"/>
        </w:rPr>
        <w:t>Vesting Chart</w:t>
      </w:r>
      <w:r>
        <w:rPr>
          <w:color w:val="000000"/>
        </w:rPr>
        <w:t>”</w:t>
      </w:r>
      <w:r>
        <w:rPr>
          <w:rFonts w:ascii="Times New Roman;sans-serif" w:hAnsi="Times New Roman;sans-serif"/>
          <w:b w:val="false"/>
          <w:color w:val="000000"/>
          <w:sz w:val="24"/>
        </w:rPr>
        <w:t>), the Time-Based RSUs shall become vested as follows:</w:t>
      </w:r>
    </w:p>
    <w:tbl>
      <w:tblPr>
        <w:tblW w:w="6119" w:type="dxa"/>
        <w:jc w:val="left"/>
        <w:tblInd w:w="0" w:type="dxa"/>
        <w:tblCellMar>
          <w:top w:w="28" w:type="dxa"/>
          <w:left w:w="28" w:type="dxa"/>
          <w:bottom w:w="28" w:type="dxa"/>
          <w:right w:w="28" w:type="dxa"/>
        </w:tblCellMar>
      </w:tblPr>
      <w:tblGrid>
        <w:gridCol w:w="1347"/>
        <w:gridCol w:w="1183"/>
        <w:gridCol w:w="1189"/>
        <w:gridCol w:w="702"/>
        <w:gridCol w:w="702"/>
        <w:gridCol w:w="996"/>
      </w:tblGrid>
      <w:tr>
        <w:trPr/>
        <w:tc>
          <w:tcPr>
            <w:tcW w:w="1347"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r>
      <w:tr>
        <w:trPr/>
        <w:tc>
          <w:tcPr>
            <w:tcW w:w="37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Percent of Time-Based RSUs Vesting</w:t>
            </w:r>
          </w:p>
        </w:tc>
        <w:tc>
          <w:tcPr>
            <w:tcW w:w="240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Vesting Date</w:t>
            </w:r>
          </w:p>
        </w:tc>
      </w:tr>
      <w:tr>
        <w:trPr/>
        <w:tc>
          <w:tcPr>
            <w:tcW w:w="37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240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center"/>
              <w:rPr/>
            </w:pPr>
            <w:r>
              <w:rPr>
                <w:rFonts w:ascii="Times New Roman;sans-serif" w:hAnsi="Times New Roman;sans-serif"/>
                <w:b w:val="false"/>
                <w:color w:val="000000"/>
                <w:sz w:val="24"/>
              </w:rPr>
              <w:t>[1</w:t>
            </w:r>
            <w:r>
              <w:rPr>
                <w:rFonts w:ascii="Times New Roman;sans-serif" w:hAnsi="Times New Roman;sans-serif"/>
                <w:b w:val="false"/>
                <w:color w:val="000000"/>
                <w:sz w:val="13"/>
              </w:rPr>
              <w:t>st</w:t>
            </w:r>
            <w:r>
              <w:rPr>
                <w:rFonts w:ascii="Times New Roman;sans-serif" w:hAnsi="Times New Roman;sans-serif"/>
                <w:b w:val="false"/>
                <w:color w:val="000000"/>
                <w:sz w:val="24"/>
              </w:rPr>
              <w:t>] Grant Anniversary</w:t>
            </w:r>
          </w:p>
        </w:tc>
      </w:tr>
      <w:tr>
        <w:trPr/>
        <w:tc>
          <w:tcPr>
            <w:tcW w:w="37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240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center"/>
              <w:rPr/>
            </w:pPr>
            <w:r>
              <w:rPr>
                <w:rFonts w:ascii="Times New Roman;sans-serif" w:hAnsi="Times New Roman;sans-serif"/>
                <w:b w:val="false"/>
                <w:color w:val="000000"/>
                <w:sz w:val="24"/>
              </w:rPr>
              <w:t>[2</w:t>
            </w:r>
            <w:r>
              <w:rPr>
                <w:rFonts w:ascii="Times New Roman;sans-serif" w:hAnsi="Times New Roman;sans-serif"/>
                <w:b w:val="false"/>
                <w:color w:val="000000"/>
                <w:sz w:val="13"/>
              </w:rPr>
              <w:t>nd</w:t>
            </w:r>
            <w:r>
              <w:rPr>
                <w:rFonts w:ascii="Times New Roman;sans-serif" w:hAnsi="Times New Roman;sans-serif"/>
                <w:b w:val="false"/>
                <w:color w:val="000000"/>
                <w:sz w:val="24"/>
              </w:rPr>
              <w:t>] Grant Anniversary</w:t>
            </w:r>
          </w:p>
        </w:tc>
      </w:tr>
      <w:tr>
        <w:trPr/>
        <w:tc>
          <w:tcPr>
            <w:tcW w:w="37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240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center"/>
              <w:rPr/>
            </w:pPr>
            <w:r>
              <w:rPr>
                <w:rFonts w:ascii="Times New Roman;sans-serif" w:hAnsi="Times New Roman;sans-serif"/>
                <w:b w:val="false"/>
                <w:color w:val="000000"/>
                <w:sz w:val="24"/>
              </w:rPr>
              <w:t>[3</w:t>
            </w:r>
            <w:r>
              <w:rPr>
                <w:rFonts w:ascii="Times New Roman;sans-serif" w:hAnsi="Times New Roman;sans-serif"/>
                <w:b w:val="false"/>
                <w:color w:val="000000"/>
                <w:sz w:val="13"/>
              </w:rPr>
              <w:t>rd</w:t>
            </w:r>
            <w:r>
              <w:rPr>
                <w:rFonts w:ascii="Times New Roman;sans-serif" w:hAnsi="Times New Roman;sans-serif"/>
                <w:b w:val="false"/>
                <w:color w:val="000000"/>
                <w:sz w:val="24"/>
              </w:rPr>
              <w:t>] Grant Anniversary</w:t>
            </w:r>
          </w:p>
        </w:tc>
      </w:tr>
      <w:tr>
        <w:trPr/>
        <w:tc>
          <w:tcPr>
            <w:tcW w:w="371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2400"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
              <w:jc w:val="center"/>
              <w:rPr/>
            </w:pPr>
            <w:r>
              <w:rPr>
                <w:rFonts w:ascii="Times New Roman;sans-serif" w:hAnsi="Times New Roman;sans-serif"/>
                <w:b w:val="false"/>
                <w:color w:val="000000"/>
                <w:sz w:val="24"/>
              </w:rPr>
              <w:t>[4</w:t>
            </w:r>
            <w:r>
              <w:rPr>
                <w:rFonts w:ascii="Times New Roman;sans-serif" w:hAnsi="Times New Roman;sans-serif"/>
                <w:b w:val="false"/>
                <w:color w:val="000000"/>
                <w:sz w:val="13"/>
              </w:rPr>
              <w:t>th</w:t>
            </w:r>
            <w:r>
              <w:rPr>
                <w:rFonts w:ascii="Times New Roman;sans-serif" w:hAnsi="Times New Roman;sans-serif"/>
                <w:b w:val="false"/>
                <w:color w:val="000000"/>
                <w:sz w:val="24"/>
              </w:rPr>
              <w:t>] Grant Anniversary</w:t>
            </w:r>
          </w:p>
        </w:tc>
      </w:tr>
    </w:tbl>
    <w:p>
      <w:pPr>
        <w:pStyle w:val="TextBody"/>
        <w:spacing w:before="0" w:after="0"/>
        <w:ind w:left="0" w:right="0" w:firstLine="1890"/>
        <w:jc w:val="both"/>
        <w:rPr/>
      </w:pPr>
      <w:r>
        <w:rPr/>
      </w:r>
    </w:p>
    <w:p>
      <w:pPr>
        <w:pStyle w:val="TextBody"/>
        <w:spacing w:lineRule="auto" w:line="268" w:before="0" w:after="0"/>
        <w:ind w:left="0" w:right="0" w:firstLine="1237"/>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Change in Control</w:t>
      </w:r>
      <w:r>
        <w:rPr>
          <w:rFonts w:ascii="Times New Roman;sans-serif" w:hAnsi="Times New Roman;sans-serif"/>
          <w:b w:val="false"/>
          <w:color w:val="000000"/>
          <w:sz w:val="24"/>
        </w:rPr>
        <w:t xml:space="preserve">. (A) Notwithstanding the foregoing, in the event that a “Change in Control” (which for purposes of this Agreement shall have the meaning set forth in the Plan as modified by the language at the end of this Section 3) occurs at a time when any portion of the Time-Based RSUs remain unvested, then effective upon the consummation of the Change in Control, the vesting of the portion of the Time-Based RSUs which is not then fully vested shall accelerate such that any portion of the Time-Based RSUs which would have become vested during the one-year period following the Change in Control shall become vested effective as of the consummation of the Change in Control. </w:t>
      </w:r>
    </w:p>
    <w:p>
      <w:pPr>
        <w:pStyle w:val="TextBody"/>
        <w:spacing w:before="0" w:after="0"/>
        <w:ind w:left="0" w:right="0" w:firstLine="2880"/>
        <w:jc w:val="both"/>
        <w:rPr/>
      </w:pPr>
      <w:r>
        <w:rPr/>
      </w:r>
    </w:p>
    <w:p>
      <w:pPr>
        <w:pStyle w:val="TextBody"/>
        <w:spacing w:lineRule="auto" w:line="268" w:before="0" w:after="0"/>
        <w:ind w:left="0" w:right="0" w:firstLine="12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In addition: (1) in the event that Participant’s employment by the Company is terminated by the Company without Cause (as defined in the Plan) (x) at any time following a Change in Control or (y) in specific contemplation of a Change in Control or (2) in the event Participant resigns with “Good Reason” (as defined below) at any time following a Change in Control, Participant shall, upon and subject to the execution within sixty (60) days following termination of employment (and non- revocation during any applicable revocation period) of a standard release of all employment-related claims against the Company and its Affiliates and each of their employees, officers and directors, be entitled to immediate vesting as of the termination date of any portion of the Time-Based RSUs which is unvested as of the termination date. </w:t>
      </w:r>
    </w:p>
    <w:p>
      <w:pPr>
        <w:pStyle w:val="TextBody"/>
        <w:spacing w:lineRule="auto" w:line="268" w:before="0" w:after="0"/>
        <w:ind w:left="0" w:right="0" w:firstLine="1260"/>
        <w:jc w:val="both"/>
        <w:rPr>
          <w:rFonts w:ascii="Times New Roman;sans-serif" w:hAnsi="Times New Roman;sans-serif"/>
          <w:b w:val="false"/>
          <w:color w:val="000000"/>
          <w:sz w:val="24"/>
        </w:rPr>
      </w:pPr>
      <w:r>
        <w:rPr>
          <w:rFonts w:ascii="Times New Roman;sans-serif" w:hAnsi="Times New Roman;sans-serif"/>
          <w:b w:val="false"/>
          <w:color w:val="000000"/>
          <w:sz w:val="24"/>
        </w:rPr>
        <w:t>(C) The term “Good Reason” shall have the meaning set forth in any employment, consulting or other agreement between the Company or an Affiliate and the Participant in effect on the date hereof, or, in the absence of such definition therein, the occurrence, without Participant’s prior written consent, of any of the following events:</w:t>
      </w:r>
    </w:p>
    <w:p>
      <w:pPr>
        <w:pStyle w:val="TextBody"/>
        <w:spacing w:before="0" w:after="0"/>
        <w:ind w:left="0" w:right="0" w:firstLine="4140"/>
        <w:jc w:val="both"/>
        <w:rPr/>
      </w:pPr>
      <w:r>
        <w:rPr/>
      </w:r>
    </w:p>
    <w:p>
      <w:pPr>
        <w:pStyle w:val="TextBody"/>
        <w:spacing w:lineRule="auto" w:line="276" w:before="0" w:after="0"/>
        <w:ind w:left="0" w:right="0" w:firstLine="180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a substantial reduction of Participant’s duties or responsibilities, or Participant being required to report to any person other than the Board or the Company’s Chief Executive Officer or President; provided that, if there is a Change in Control and Participant retains a similar title and similar duties with the Company or any entity that acquires the Company (or any affiliate or subsidiary of such entity) following such Change in Control, any change in Participant’s title shall not a constitute a significant reduction of Participant’s duties and authorities hereunder;</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76" w:before="0" w:after="0"/>
        <w:ind w:left="0" w:right="0" w:firstLine="180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Participant’s job title is adversely changed, provided that if there is a Change in Control and Participant retains a similar title and similar duties with the Company or any entity that acquires the Company (or any affiliate or subsidiary of such entity) following such Change in Control, any change in Participant’s title shall not constitute a significant reduction of Participant’s duties and authorities hereunder;</w:t>
      </w:r>
    </w:p>
    <w:p>
      <w:pPr>
        <w:pStyle w:val="TextBody"/>
        <w:spacing w:before="0" w:after="0"/>
        <w:jc w:val="both"/>
        <w:rPr/>
      </w:pPr>
      <w:r>
        <w:rPr/>
      </w:r>
    </w:p>
    <w:p>
      <w:pPr>
        <w:pStyle w:val="TextBody"/>
        <w:spacing w:lineRule="auto" w:line="276" w:before="0" w:after="0"/>
        <w:ind w:left="0" w:right="0" w:firstLine="1800"/>
        <w:jc w:val="both"/>
        <w:rPr>
          <w:rFonts w:ascii="Times New Roman;sans-serif" w:hAnsi="Times New Roman;sans-serif"/>
          <w:b w:val="false"/>
          <w:color w:val="000000"/>
          <w:sz w:val="24"/>
        </w:rPr>
      </w:pPr>
      <w:r>
        <w:rPr>
          <w:rFonts w:ascii="Times New Roman;sans-serif" w:hAnsi="Times New Roman;sans-serif"/>
          <w:b w:val="false"/>
          <w:color w:val="000000"/>
          <w:sz w:val="24"/>
        </w:rPr>
        <w:t>(3) following a Change in Control, a change in the office or location where Participant is based of more than thirty (30) miles, which new location is more than thirty (30) miles from Participant’s primary residence; or</w:t>
      </w:r>
    </w:p>
    <w:p>
      <w:pPr>
        <w:pStyle w:val="TextBody"/>
        <w:spacing w:before="0" w:after="0"/>
        <w:jc w:val="both"/>
        <w:rPr/>
      </w:pPr>
      <w:r>
        <w:rPr/>
      </w:r>
    </w:p>
    <w:p>
      <w:pPr>
        <w:pStyle w:val="TextBody"/>
        <w:spacing w:lineRule="auto" w:line="276" w:before="0" w:after="0"/>
        <w:ind w:left="0" w:right="0" w:firstLine="1800"/>
        <w:jc w:val="both"/>
        <w:rPr>
          <w:rFonts w:ascii="Times New Roman;sans-serif" w:hAnsi="Times New Roman;sans-serif"/>
          <w:b w:val="false"/>
          <w:color w:val="000000"/>
          <w:sz w:val="24"/>
        </w:rPr>
      </w:pPr>
      <w:r>
        <w:rPr>
          <w:rFonts w:ascii="Times New Roman;sans-serif" w:hAnsi="Times New Roman;sans-serif"/>
          <w:b w:val="false"/>
          <w:color w:val="000000"/>
          <w:sz w:val="24"/>
        </w:rPr>
        <w:t>(4) following a Change in Control, a breach by the Company of any material term of any employment, consulting, or similar agreement between the Company and Participant;</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provided that, a termination by Participant with Good Reason shall be effective only if, within thirty (30) days following Participant’s first becoming aware of the circumstances giving rise to Good Reason, Participant delivers a “notice of termination” for Good Reason to the Company, and the Company within fifteen (15) days following its receipt of such notification has failed to cure the circumstances giving rise to Good Reason.</w:t>
      </w:r>
    </w:p>
    <w:p>
      <w:pPr>
        <w:pStyle w:val="TextBody"/>
        <w:spacing w:before="0" w:after="0"/>
        <w:jc w:val="both"/>
        <w:rPr/>
      </w:pPr>
      <w:r>
        <w:rPr/>
      </w:r>
    </w:p>
    <w:p>
      <w:pPr>
        <w:pStyle w:val="TextBody"/>
        <w:spacing w:lineRule="auto" w:line="268" w:before="0" w:after="0"/>
        <w:ind w:left="0" w:right="0" w:firstLine="153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Death</w:t>
      </w:r>
      <w:r>
        <w:rPr>
          <w:rFonts w:ascii="Times New Roman;sans-serif" w:hAnsi="Times New Roman;sans-serif"/>
          <w:b w:val="false"/>
          <w:color w:val="000000"/>
          <w:sz w:val="24"/>
        </w:rPr>
        <w:t>. Notwithstanding the foregoing, in the event that Participant’s employment with the Company is terminated due to Participant’s death at a time when any portion of the Time-Based RSUs remain unvested, the portion of the Time-Based RSUs which is unvested shall become immediately vested effective as of the date of Participant’s death.</w:t>
      </w:r>
    </w:p>
    <w:p>
      <w:pPr>
        <w:pStyle w:val="TextBody"/>
        <w:spacing w:before="0" w:after="0"/>
        <w:ind w:left="0" w:right="0" w:firstLine="1890"/>
        <w:jc w:val="both"/>
        <w:rPr/>
      </w:pPr>
      <w:r>
        <w:rPr/>
      </w:r>
    </w:p>
    <w:p>
      <w:pPr>
        <w:pStyle w:val="TextBody"/>
        <w:spacing w:lineRule="auto" w:line="268" w:before="0" w:after="0"/>
        <w:ind w:left="0" w:right="0" w:firstLine="153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u w:val="single"/>
        </w:rPr>
        <w:t>Retirement</w:t>
      </w:r>
      <w:r>
        <w:rPr>
          <w:rFonts w:ascii="Times New Roman;sans-serif" w:hAnsi="Times New Roman;sans-serif"/>
          <w:b w:val="false"/>
          <w:color w:val="000000"/>
          <w:sz w:val="24"/>
        </w:rPr>
        <w:t>. Notwithstanding the foregoing, and assuming that such Time-Based RSUs have been outstanding for at least six (6) months from the Grant Date, in the event that Participant’s employment with the Company is terminated, other than by Company for Cause,</w:t>
      </w:r>
    </w:p>
    <w:p>
      <w:pPr>
        <w:pStyle w:val="TextBody"/>
        <w:spacing w:before="0" w:after="0"/>
        <w:ind w:left="0" w:right="0" w:firstLine="1890"/>
        <w:jc w:val="both"/>
        <w:rPr/>
      </w:pPr>
      <w:r>
        <w:rPr/>
      </w:r>
    </w:p>
    <w:p>
      <w:pPr>
        <w:pStyle w:val="TextBody"/>
        <w:spacing w:lineRule="auto" w:line="276" w:before="0" w:after="0"/>
        <w:ind w:left="0" w:right="0" w:firstLine="180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after having attained age sixty (60) with at least ten (10) years of service with the Company (or its Affiliates) at a time when any portion of the Time-Based RSUs remain unvested, then one-hundred percent (100%) of that portion of the Participant’s Time-Based RSUs (and only that portion) that is scheduled to vest within the next twelve (12) months shall become immediately vested as of the date the Participant terminates employment, and any remaining unvested Time-Based RSUs shall be immediately forfeited; and</w:t>
      </w:r>
    </w:p>
    <w:p>
      <w:pPr>
        <w:pStyle w:val="TextBody"/>
        <w:spacing w:before="0" w:after="0"/>
        <w:jc w:val="both"/>
        <w:rPr/>
      </w:pPr>
      <w:r>
        <w:rPr/>
      </w:r>
    </w:p>
    <w:p>
      <w:pPr>
        <w:pStyle w:val="TextBody"/>
        <w:spacing w:lineRule="auto" w:line="276" w:before="0" w:after="0"/>
        <w:ind w:left="0" w:right="0" w:firstLine="180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after having attained age sixty (60) with at least five (5) years and less than ten (10) years of service with the Company (or its Affiliates), at a time when any portion of the Time-Based RSUs remain unvested, then the applicable percentage of the Participant’s Time-Based RSUs (and only that portion) that is scheduled to vest within the next twelve (12) months as described below (the “</w:t>
      </w:r>
      <w:r>
        <w:rPr>
          <w:rFonts w:ascii="Times New Roman;sans-serif" w:hAnsi="Times New Roman;sans-serif"/>
          <w:b w:val="false"/>
          <w:color w:val="000000"/>
          <w:sz w:val="24"/>
          <w:u w:val="single"/>
        </w:rPr>
        <w:t>Prorated Percentage</w:t>
      </w:r>
      <w:r>
        <w:rPr>
          <w:color w:val="000000"/>
        </w:rPr>
        <w:t>”</w:t>
      </w:r>
      <w:r>
        <w:rPr>
          <w:rFonts w:ascii="Times New Roman;sans-serif" w:hAnsi="Times New Roman;sans-serif"/>
          <w:b w:val="false"/>
          <w:color w:val="000000"/>
          <w:sz w:val="24"/>
        </w:rPr>
        <w:t>) shall become immediately vested as of the date the Participant terminates employment, and any remaining unvested Time-Based RSUs shall be immediately forfeited.</w:t>
      </w:r>
    </w:p>
    <w:p>
      <w:pPr>
        <w:pStyle w:val="TextBody"/>
        <w:spacing w:before="0" w:after="0"/>
        <w:ind w:left="0" w:right="0" w:firstLine="2160"/>
        <w:jc w:val="both"/>
        <w:rPr/>
      </w:pPr>
      <w:r>
        <w:rPr/>
      </w:r>
    </w:p>
    <w:tbl>
      <w:tblPr>
        <w:tblW w:w="4890" w:type="dxa"/>
        <w:jc w:val="left"/>
        <w:tblInd w:w="0" w:type="dxa"/>
        <w:tblCellMar>
          <w:top w:w="28" w:type="dxa"/>
          <w:left w:w="28" w:type="dxa"/>
          <w:bottom w:w="28" w:type="dxa"/>
          <w:right w:w="28" w:type="dxa"/>
        </w:tblCellMar>
      </w:tblPr>
      <w:tblGrid>
        <w:gridCol w:w="1033"/>
        <w:gridCol w:w="907"/>
        <w:gridCol w:w="910"/>
        <w:gridCol w:w="597"/>
        <w:gridCol w:w="597"/>
        <w:gridCol w:w="846"/>
      </w:tblGrid>
      <w:tr>
        <w:trPr/>
        <w:tc>
          <w:tcPr>
            <w:tcW w:w="1033"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r>
      <w:tr>
        <w:trPr/>
        <w:tc>
          <w:tcPr>
            <w:tcW w:w="285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Completed Years of Service:</w:t>
              <w:br/>
              <w:t>At least</w:t>
            </w:r>
          </w:p>
        </w:tc>
        <w:tc>
          <w:tcPr>
            <w:tcW w:w="2040"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Prorated Percentage</w:t>
            </w:r>
          </w:p>
        </w:tc>
      </w:tr>
    </w:tbl>
    <w:p>
      <w:pPr>
        <w:pStyle w:val="TextBody"/>
        <w:spacing w:before="0" w:after="0"/>
        <w:rPr/>
      </w:pPr>
      <w:r>
        <w:br w:type="page"/>
      </w: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tbl>
      <w:tblPr>
        <w:tblW w:w="2174" w:type="dxa"/>
        <w:jc w:val="left"/>
        <w:tblInd w:w="0" w:type="dxa"/>
        <w:tblCellMar>
          <w:top w:w="28" w:type="dxa"/>
          <w:left w:w="28" w:type="dxa"/>
          <w:bottom w:w="28" w:type="dxa"/>
          <w:right w:w="28" w:type="dxa"/>
        </w:tblCellMar>
      </w:tblPr>
      <w:tblGrid>
        <w:gridCol w:w="576"/>
        <w:gridCol w:w="505"/>
        <w:gridCol w:w="509"/>
        <w:gridCol w:w="170"/>
        <w:gridCol w:w="170"/>
        <w:gridCol w:w="244"/>
      </w:tblGrid>
      <w:tr>
        <w:trPr/>
        <w:tc>
          <w:tcPr>
            <w:tcW w:w="576"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159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Five (5) years</w:t>
            </w:r>
          </w:p>
        </w:tc>
        <w:tc>
          <w:tcPr>
            <w:tcW w:w="58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c>
      </w:tr>
      <w:tr>
        <w:trPr/>
        <w:tc>
          <w:tcPr>
            <w:tcW w:w="159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Six (6) years</w:t>
            </w:r>
          </w:p>
        </w:tc>
        <w:tc>
          <w:tcPr>
            <w:tcW w:w="58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tc>
      </w:tr>
      <w:tr>
        <w:trPr/>
        <w:tc>
          <w:tcPr>
            <w:tcW w:w="159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Seven (7) years</w:t>
            </w:r>
          </w:p>
        </w:tc>
        <w:tc>
          <w:tcPr>
            <w:tcW w:w="58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70%</w:t>
            </w:r>
          </w:p>
        </w:tc>
      </w:tr>
      <w:tr>
        <w:trPr/>
        <w:tc>
          <w:tcPr>
            <w:tcW w:w="159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Eight (8) years</w:t>
            </w:r>
          </w:p>
        </w:tc>
        <w:tc>
          <w:tcPr>
            <w:tcW w:w="58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80%</w:t>
            </w:r>
          </w:p>
        </w:tc>
      </w:tr>
      <w:tr>
        <w:trPr/>
        <w:tc>
          <w:tcPr>
            <w:tcW w:w="159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Nine (9) years</w:t>
            </w:r>
          </w:p>
        </w:tc>
        <w:tc>
          <w:tcPr>
            <w:tcW w:w="584"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90%</w:t>
            </w:r>
          </w:p>
        </w:tc>
      </w:tr>
    </w:tbl>
    <w:p>
      <w:pPr>
        <w:pStyle w:val="TextBody"/>
        <w:spacing w:before="0" w:after="0"/>
        <w:jc w:val="both"/>
        <w:rPr/>
      </w:pPr>
      <w:r>
        <w:rPr/>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purposes of this Section 3(a)(iv), years of service with the Company (or its Affiliates) does not include tenure at any organization acquired by the Company (or its Affiliates) prior to the closing date of such acquisition. </w:t>
      </w:r>
    </w:p>
    <w:p>
      <w:pPr>
        <w:pStyle w:val="TextBody"/>
        <w:spacing w:before="0" w:after="0"/>
        <w:jc w:val="both"/>
        <w:rPr/>
      </w:pPr>
      <w:r>
        <w:rPr/>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Any Time-Based RSUs shall be settled in accordance with Section 4 of this Agreement.</w:t>
      </w:r>
    </w:p>
    <w:p>
      <w:pPr>
        <w:pStyle w:val="TextBody"/>
        <w:spacing w:before="0" w:after="0"/>
        <w:jc w:val="both"/>
        <w:rPr/>
      </w:pPr>
      <w:r>
        <w:rPr/>
      </w:r>
    </w:p>
    <w:p>
      <w:pPr>
        <w:pStyle w:val="TextBody"/>
        <w:spacing w:lineRule="auto" w:line="268" w:before="0" w:after="0"/>
        <w:ind w:left="0" w:right="0" w:firstLine="90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Performance-Based RSUs.</w:t>
      </w:r>
      <w:r>
        <w:rPr>
          <w:color w:val="000000"/>
        </w:rPr>
        <w:t xml:space="preserve"> </w:t>
      </w:r>
    </w:p>
    <w:p>
      <w:pPr>
        <w:pStyle w:val="TextBody"/>
        <w:spacing w:before="0" w:after="0"/>
        <w:ind w:left="0" w:right="0" w:firstLine="1260"/>
        <w:jc w:val="both"/>
        <w:rPr/>
      </w:pPr>
      <w:r>
        <w:rPr/>
      </w:r>
    </w:p>
    <w:p>
      <w:pPr>
        <w:pStyle w:val="TextBody"/>
        <w:spacing w:lineRule="auto" w:line="268" w:before="0" w:after="0"/>
        <w:ind w:left="0" w:right="0" w:firstLine="1304"/>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Generally</w:t>
      </w:r>
      <w:r>
        <w:rPr>
          <w:rFonts w:ascii="Times New Roman;sans-serif" w:hAnsi="Times New Roman;sans-serif"/>
          <w:b w:val="false"/>
          <w:color w:val="000000"/>
          <w:sz w:val="24"/>
        </w:rPr>
        <w:t xml:space="preserve">. Except as otherwise provided herein, [●] percent of the Performance-Based RSUs shall cliff vest on [●], based on continuous service with the Company through such Vesting Date and the achievement of Company revenues against the aggregate revenue target as set forth on Exhibit A (the “Revenue-Based RSUs”); and [●] of the Performance-Based RSUs shall cliff vest on [●], based on continuous service with the Company through such Vesting Date and the achievement of relative total stockholder return (“TSR”) performance of the Company against the Peer Group (as defined on Exhibit B) over the period from [●] through [●] (the “TSR Performance Period”) as set forth on </w:t>
      </w:r>
      <w:r>
        <w:rPr>
          <w:rFonts w:ascii="Times New Roman;sans-serif" w:hAnsi="Times New Roman;sans-serif"/>
          <w:b w:val="false"/>
          <w:color w:val="000000"/>
          <w:sz w:val="24"/>
          <w:u w:val="single"/>
        </w:rPr>
        <w:t>Exhibit B (the “TSR-Based RSUs”).</w:t>
      </w:r>
    </w:p>
    <w:p>
      <w:pPr>
        <w:pStyle w:val="TextBody"/>
        <w:spacing w:before="0" w:after="0"/>
        <w:ind w:left="0" w:right="0" w:firstLine="1890"/>
        <w:jc w:val="both"/>
        <w:rPr/>
      </w:pPr>
      <w:r>
        <w:rPr/>
      </w:r>
    </w:p>
    <w:p>
      <w:pPr>
        <w:pStyle w:val="TextBody"/>
        <w:spacing w:lineRule="auto" w:line="268" w:before="0" w:after="0"/>
        <w:ind w:left="0" w:right="0" w:firstLine="1237"/>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Change in Control</w:t>
      </w:r>
      <w:r>
        <w:rPr>
          <w:rFonts w:ascii="Times New Roman;sans-serif" w:hAnsi="Times New Roman;sans-serif"/>
          <w:b w:val="false"/>
          <w:color w:val="000000"/>
          <w:sz w:val="24"/>
        </w:rPr>
        <w:t>. Notwithstanding the foregoing:</w:t>
      </w:r>
    </w:p>
    <w:p>
      <w:pPr>
        <w:pStyle w:val="TextBody"/>
        <w:spacing w:before="0" w:after="0"/>
        <w:ind w:left="0" w:right="0" w:firstLine="1890"/>
        <w:jc w:val="both"/>
        <w:rPr/>
      </w:pPr>
      <w:r>
        <w:rPr/>
      </w:r>
    </w:p>
    <w:p>
      <w:pPr>
        <w:pStyle w:val="TextBody"/>
        <w:spacing w:lineRule="auto" w:line="268" w:before="0" w:after="0"/>
        <w:ind w:left="0" w:right="0" w:firstLine="153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Revenue-Based RSUs</w:t>
      </w:r>
      <w:r>
        <w:rPr>
          <w:rFonts w:ascii="Times New Roman;sans-serif" w:hAnsi="Times New Roman;sans-serif"/>
          <w:b w:val="false"/>
          <w:color w:val="000000"/>
          <w:sz w:val="24"/>
        </w:rPr>
        <w:t>. In the event that a Change in Control occurs before [●], one hundred percent (100%) of the Revenue-Based RSUs will be deemed earned as of the date of the Change in Control. For the avoidance of doubt, in such event, the Participant will be unable to earn any additional Revenue-Based RSUs.</w:t>
      </w:r>
    </w:p>
    <w:p>
      <w:pPr>
        <w:pStyle w:val="TextBody"/>
        <w:spacing w:before="0" w:after="0"/>
        <w:ind w:left="0" w:right="0" w:firstLine="1890"/>
        <w:jc w:val="both"/>
        <w:rPr/>
      </w:pPr>
      <w:r>
        <w:rPr/>
      </w:r>
    </w:p>
    <w:p>
      <w:pPr>
        <w:pStyle w:val="TextBody"/>
        <w:spacing w:lineRule="auto" w:line="268"/>
        <w:ind w:left="0" w:right="0" w:firstLine="153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TSR-Based RSUs</w:t>
      </w:r>
      <w:r>
        <w:rPr>
          <w:rFonts w:ascii="Times New Roman;sans-serif" w:hAnsi="Times New Roman;sans-serif"/>
          <w:b w:val="false"/>
          <w:color w:val="000000"/>
          <w:sz w:val="24"/>
        </w:rPr>
        <w:t xml:space="preserve">. In the event that a Change in Control occurs on or before the first anniversary of the Date of Grant, one hundred percent (100%) of the TSR-Based RSUs will be deemed earned as of the date of the Change in Control. For the avoidance of doubt, in such event, the Participant will be unable to earn any additional TSR-Based RSUs. In the event that a Change in Control occurs after the first anniversary of the Date of Grant, then (i) the TSR Performance Period shall be deemed to end on the date of the Change in Control, and the Committee shall determine the TSR of the Company and the Peer Group (as defined in </w:t>
      </w:r>
      <w:r>
        <w:rPr>
          <w:rFonts w:ascii="Times New Roman;sans-serif" w:hAnsi="Times New Roman;sans-serif"/>
          <w:b w:val="false"/>
          <w:color w:val="000000"/>
          <w:sz w:val="24"/>
          <w:u w:val="single"/>
        </w:rPr>
        <w:t>Exhibit B</w:t>
      </w:r>
      <w:r>
        <w:rPr>
          <w:rFonts w:ascii="Times New Roman;sans-serif" w:hAnsi="Times New Roman;sans-serif"/>
          <w:b w:val="false"/>
          <w:color w:val="000000"/>
          <w:sz w:val="24"/>
        </w:rPr>
        <w:t xml:space="preserve">) as of such date, and shall determine the number of TSR-Based RSUs earned by the Participant; and (ii) for purposes of determination of the Company’s TSR for the TSR Performance Period, the Company’s stock price shall be equal to the consideration paid per share of the Company’s common stock in the Change in Control transaction, as determined by the Committee (and shall not be equal to the 30-day average of the Company’s stock price on the last day of the TSR Performance Period, as set forth in </w:t>
      </w:r>
      <w:r>
        <w:rPr>
          <w:rFonts w:ascii="Times New Roman;sans-serif" w:hAnsi="Times New Roman;sans-serif"/>
          <w:b w:val="false"/>
          <w:color w:val="000000"/>
          <w:sz w:val="24"/>
          <w:u w:val="single"/>
        </w:rPr>
        <w:t>Exhibit B</w:t>
      </w:r>
      <w:r>
        <w:rPr>
          <w:rFonts w:ascii="Times New Roman;sans-serif" w:hAnsi="Times New Roman;sans-serif"/>
          <w:b w:val="false"/>
          <w:color w:val="000000"/>
          <w:sz w:val="24"/>
        </w:rPr>
        <w:t>).</w:t>
      </w:r>
      <w:r>
        <w:br w:type="page"/>
      </w:r>
    </w:p>
    <w:p>
      <w:pPr>
        <w:pStyle w:val="TextBody"/>
        <w:spacing w:before="0" w:after="0"/>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ind w:left="0" w:right="0" w:firstLine="1890"/>
        <w:jc w:val="both"/>
        <w:rPr/>
      </w:pPr>
      <w:r>
        <w:rPr/>
      </w:r>
    </w:p>
    <w:p>
      <w:pPr>
        <w:pStyle w:val="TextBody"/>
        <w:spacing w:lineRule="auto" w:line="268" w:before="0" w:after="0"/>
        <w:ind w:left="0" w:right="0" w:firstLine="153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Performance-Based RSUs deemed earned in accordance with the foregoing provisions of this Section 3(b)(ii) will be treated as immediately vested in accordance with the schedule set forth in the special Change in Control vesting chart below (the “</w:t>
      </w:r>
      <w:r>
        <w:rPr>
          <w:rFonts w:ascii="Times New Roman;sans-serif" w:hAnsi="Times New Roman;sans-serif"/>
          <w:b w:val="false"/>
          <w:color w:val="000000"/>
          <w:sz w:val="24"/>
          <w:u w:val="single"/>
        </w:rPr>
        <w:t>Special CIC Vesting Chart</w:t>
      </w:r>
      <w:r>
        <w:rPr>
          <w:color w:val="000000"/>
        </w:rPr>
        <w:t>”</w:t>
      </w:r>
      <w:r>
        <w:rPr>
          <w:rFonts w:ascii="Times New Roman;sans-serif" w:hAnsi="Times New Roman;sans-serif"/>
          <w:b w:val="false"/>
          <w:color w:val="000000"/>
          <w:sz w:val="24"/>
        </w:rPr>
        <w:t>) as well as additional vesting based on the methodology set forth in Section 3(a)(ii)(A), subject to the Participant’s continuous employment with the Company or an Affiliate through the consummation of the Change in Control, assuming for such purpose that such deemed earned Performance-Based RSUs had originally been subject only to time-based vesting, as set forth in the Special CIC Vesting Chart.</w:t>
      </w:r>
    </w:p>
    <w:p>
      <w:pPr>
        <w:pStyle w:val="TextBody"/>
        <w:spacing w:before="0" w:after="0"/>
        <w:ind w:left="0" w:right="0" w:firstLine="1890"/>
        <w:jc w:val="both"/>
        <w:rPr/>
      </w:pPr>
      <w:r>
        <w:rPr/>
      </w:r>
    </w:p>
    <w:tbl>
      <w:tblPr>
        <w:tblW w:w="7335" w:type="dxa"/>
        <w:jc w:val="left"/>
        <w:tblInd w:w="0" w:type="dxa"/>
        <w:tblCellMar>
          <w:top w:w="28" w:type="dxa"/>
          <w:left w:w="28" w:type="dxa"/>
          <w:bottom w:w="28" w:type="dxa"/>
          <w:right w:w="28" w:type="dxa"/>
        </w:tblCellMar>
      </w:tblPr>
      <w:tblGrid>
        <w:gridCol w:w="2153"/>
        <w:gridCol w:w="1892"/>
        <w:gridCol w:w="1895"/>
        <w:gridCol w:w="408"/>
        <w:gridCol w:w="408"/>
        <w:gridCol w:w="579"/>
      </w:tblGrid>
      <w:tr>
        <w:trPr/>
        <w:tc>
          <w:tcPr>
            <w:tcW w:w="2153" w:type="dxa"/>
            <w:tcBorders/>
            <w:shd w:fill="auto" w:val="clear"/>
            <w:vAlign w:val="center"/>
          </w:tcPr>
          <w:p>
            <w:pPr>
              <w:pStyle w:val="TableContents"/>
              <w:spacing w:before="0" w:after="283"/>
              <w:rPr>
                <w:sz w:val="4"/>
                <w:szCs w:val="4"/>
              </w:rPr>
            </w:pPr>
            <w:r>
              <w:rPr>
                <w:sz w:val="4"/>
                <w:szCs w:val="4"/>
              </w:rPr>
            </w:r>
          </w:p>
        </w:tc>
        <w:tc>
          <w:tcPr>
            <w:tcW w:w="1892" w:type="dxa"/>
            <w:tcBorders/>
            <w:shd w:fill="auto" w:val="clear"/>
            <w:vAlign w:val="center"/>
          </w:tcPr>
          <w:p>
            <w:pPr>
              <w:pStyle w:val="TableContents"/>
              <w:spacing w:before="0" w:after="283"/>
              <w:rPr>
                <w:sz w:val="4"/>
                <w:szCs w:val="4"/>
              </w:rPr>
            </w:pPr>
            <w:r>
              <w:rPr>
                <w:sz w:val="4"/>
                <w:szCs w:val="4"/>
              </w:rPr>
            </w:r>
          </w:p>
        </w:tc>
        <w:tc>
          <w:tcPr>
            <w:tcW w:w="1895"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Vested Percent of Deemed Earned Performance-Based RSUs</w:t>
            </w:r>
          </w:p>
        </w:tc>
        <w:tc>
          <w:tcPr>
            <w:tcW w:w="139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Vesting Date</w:t>
            </w:r>
          </w:p>
        </w:tc>
      </w:tr>
      <w:tr>
        <w:trPr/>
        <w:tc>
          <w:tcPr>
            <w:tcW w:w="594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[33.33%]</w:t>
            </w:r>
          </w:p>
        </w:tc>
        <w:tc>
          <w:tcPr>
            <w:tcW w:w="139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594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[66.67%]</w:t>
            </w:r>
          </w:p>
        </w:tc>
        <w:tc>
          <w:tcPr>
            <w:tcW w:w="139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594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c>
          <w:tcPr>
            <w:tcW w:w="139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bl>
    <w:p>
      <w:pPr>
        <w:pStyle w:val="TextBody"/>
        <w:spacing w:before="0" w:after="0"/>
        <w:ind w:left="0" w:right="0" w:firstLine="2880"/>
        <w:jc w:val="both"/>
        <w:rPr/>
      </w:pPr>
      <w:r>
        <w:rPr/>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Accordingly, for example, the Special CIC Vesting Chart and the methodology of Section 3(a)(ii)(A) shall be applied effective as of the consummation of the Change in Control so that: (x) to the extent that any of the Vesting Dates set forth in the Special CIC Vesting Chart occurred prior to the date of the occurrence of the Change in Control, then a portion (as set forth in such chart) of such deemed earned Performance-Based RSUs shall be immediately vested effective upon the consummation of the Change in Control; and (y) after taking into account any accelerated vesting pursuant to the immediately preceding clause (x), effective upon the consummation of the Change in Control, the vesting of the portion of such deemed earned Performance-Based RSUs that are not then fully vested shall accelerate such that any portion of those deemed earned Performance-Based RSUs which would have become vested during the one-year period following the Change in Control (based on the application of the Special CIC Vesting Chart to such Performance-Based RSUs), shall become vested effective as of the consummation of the Change in Control. The remaining portion of the deemed earned Performance-Based RSUs shall cliff vest on [●], subject to the Participant’s continuous employment with the Company or an Affiliate through such date; provided that (1) in the event that Participant’s employment by the Company is terminated by the Company without Cause (x) at any time following a Change in Control or (y) in specific contemplation of a Change in Control or (2) in the event Participant resigns with Good Reason at any time following a Change in Control, Participant shall, upon and subject to the execution within sixty (60) days following termination of employment (and non- revocation during any applicable revocation period) of a standard release of all employment-related claims against the Company and its Affiliates and each of their employees, officers and directors, be entitled to immediate vesting as of the termination date of the remaining portion of the deemed earned Performance-Based RSUs which is unvested as of the termination date.</w:t>
      </w:r>
    </w:p>
    <w:p>
      <w:pPr>
        <w:pStyle w:val="TextBody"/>
        <w:spacing w:before="0" w:after="0"/>
        <w:jc w:val="both"/>
        <w:rPr/>
      </w:pPr>
      <w:r>
        <w:rPr/>
      </w:r>
    </w:p>
    <w:p>
      <w:pPr>
        <w:pStyle w:val="TextBody"/>
        <w:spacing w:lineRule="auto" w:line="268" w:before="0" w:after="0"/>
        <w:ind w:left="0" w:right="0" w:firstLine="153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Death.</w:t>
      </w:r>
      <w:r>
        <w:rPr>
          <w:color w:val="000000"/>
        </w:rPr>
        <w:t xml:space="preserve"> </w:t>
      </w:r>
      <w:r>
        <w:rPr>
          <w:rFonts w:ascii="Times New Roman;sans-serif" w:hAnsi="Times New Roman;sans-serif"/>
          <w:b w:val="false"/>
          <w:color w:val="000000"/>
          <w:sz w:val="24"/>
        </w:rPr>
        <w:t>Notwithstanding the foregoing:</w:t>
      </w:r>
    </w:p>
    <w:p>
      <w:pPr>
        <w:pStyle w:val="TextBody"/>
        <w:spacing w:before="0" w:after="0"/>
        <w:ind w:left="0" w:right="0" w:firstLine="1890"/>
        <w:jc w:val="both"/>
        <w:rPr/>
      </w:pPr>
      <w:r>
        <w:rPr/>
      </w:r>
    </w:p>
    <w:p>
      <w:pPr>
        <w:pStyle w:val="TextBody"/>
        <w:spacing w:lineRule="auto" w:line="276"/>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Prior to a Change in Control</w:t>
      </w:r>
      <w:r>
        <w:rPr>
          <w:rFonts w:ascii="Times New Roman;sans-serif" w:hAnsi="Times New Roman;sans-serif"/>
          <w:b w:val="false"/>
          <w:color w:val="000000"/>
          <w:sz w:val="24"/>
        </w:rPr>
        <w:t xml:space="preserve">. In the event that no Change in Control has occurred and Participant’s employment with the Company is terminated due to Participant’s death prior to [●], Participant shall become immediately vested in a number of Performance-Based RSUs equal to (x) the number of completed full months from [●] to the date </w:t>
      </w:r>
      <w:r>
        <w:br w:type="page"/>
      </w:r>
    </w:p>
    <w:p>
      <w:pPr>
        <w:pStyle w:val="TextBody"/>
        <w:spacing w:before="0" w:after="0"/>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of Participant’s death divided by (y) [●] multiplied by (z) 100% of the Performance-Based RSUs, effective as of the date of Participant’s death.</w:t>
      </w:r>
    </w:p>
    <w:p>
      <w:pPr>
        <w:pStyle w:val="TextBody"/>
        <w:spacing w:before="0" w:after="0"/>
        <w:ind w:left="0" w:right="0" w:firstLine="1890"/>
        <w:jc w:val="both"/>
        <w:rPr/>
      </w:pPr>
      <w:r>
        <w:rPr/>
      </w:r>
    </w:p>
    <w:p>
      <w:pPr>
        <w:pStyle w:val="TextBody"/>
        <w:spacing w:lineRule="auto" w:line="276" w:before="0" w:after="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After a Change in Control</w:t>
      </w:r>
      <w:r>
        <w:rPr>
          <w:rFonts w:ascii="Times New Roman;sans-serif" w:hAnsi="Times New Roman;sans-serif"/>
          <w:b w:val="false"/>
          <w:color w:val="000000"/>
          <w:sz w:val="24"/>
        </w:rPr>
        <w:t>. In the event that Participant’s employment with the Company is terminated due to Participant’s death prior to [●] but after a Change in Control has occurred, Participant shall become immediately vested in 100% of the Performance-Based RSUs that were deemed earned as a result of the Change in Control pursuant to Section 3(b)(ii) above, effective as of the date of Participant’s death.</w:t>
      </w:r>
    </w:p>
    <w:p>
      <w:pPr>
        <w:pStyle w:val="TextBody"/>
        <w:spacing w:before="0" w:after="0"/>
        <w:ind w:left="0" w:right="0" w:firstLine="2520"/>
        <w:jc w:val="both"/>
        <w:rPr/>
      </w:pPr>
      <w:r>
        <w:rPr/>
      </w:r>
    </w:p>
    <w:p>
      <w:pPr>
        <w:pStyle w:val="TextBody"/>
        <w:spacing w:lineRule="auto" w:line="268" w:before="0" w:after="0"/>
        <w:ind w:left="0" w:right="0" w:firstLine="153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u w:val="single"/>
        </w:rPr>
        <w:t>Retirement</w:t>
      </w:r>
      <w:r>
        <w:rPr>
          <w:rFonts w:ascii="Times New Roman;sans-serif" w:hAnsi="Times New Roman;sans-serif"/>
          <w:b w:val="false"/>
          <w:color w:val="000000"/>
          <w:sz w:val="24"/>
        </w:rPr>
        <w:t>. Notwithstanding the foregoing, and assuming that such Performance-Based RSUs have been outstanding for at least six (6) months from the Grant Date, in the event that Participant’s employment with the Company is terminated, other than by Company for Cause,</w:t>
      </w:r>
    </w:p>
    <w:p>
      <w:pPr>
        <w:pStyle w:val="TextBody"/>
        <w:spacing w:lineRule="auto" w:line="276" w:before="0" w:after="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after having attained age sixty (60) with at least ten (10) years of service with the Company (or its Affiliates) prior to [●], the Vesting Date for the Performance-Based RSUs, Participant shall earn a pro rata portion of the Performance-Based RSUs based on actual Company performance (with respect to the Revenue and TSR performance goals) at the end of the performance period, as determined by the Committee.</w:t>
        <w:br/>
        <w:t>Such proration shall be determined as follows: the number of Performance-Based RSUs (rounded to the nearest whole number) that have been deemed earned by the Committee shall vest based on the product of the total number of Performance-Based RSUs granted on the Grant Date multiplied by the quotient of (x) divided by (y), where (x) equals the total number of years of service completed by Participant from the Grant Date (rounding up the number of years of service) and (y) equals three (3);</w:t>
      </w:r>
    </w:p>
    <w:p>
      <w:pPr>
        <w:pStyle w:val="TextBody"/>
        <w:spacing w:lineRule="auto" w:line="276" w:before="0" w:after="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after having attained age sixty (60) with at least five (5) years and less than ten (10) years of service with the Company (or its Affiliates) prior to [●], the Vesting Date for the Performance-Based RSUs, the Participant shall earn a pro rata portion of the Performance-Based RSUs calculated in accordance with the methodology outlined in subsection 3(b)(iv)(1) immediately above, provided that such amount shall be reduced by the applicable percentage set forth below (the “</w:t>
      </w:r>
      <w:r>
        <w:rPr>
          <w:rFonts w:ascii="Times New Roman;sans-serif" w:hAnsi="Times New Roman;sans-serif"/>
          <w:b w:val="false"/>
          <w:color w:val="000000"/>
          <w:sz w:val="24"/>
          <w:u w:val="single"/>
        </w:rPr>
        <w:t>Reduction Percentage</w:t>
      </w:r>
      <w:r>
        <w:rPr>
          <w:color w:val="000000"/>
        </w:rPr>
        <w:t>”</w:t>
      </w:r>
      <w:r>
        <w:rPr>
          <w:rFonts w:ascii="Times New Roman;sans-serif" w:hAnsi="Times New Roman;sans-serif"/>
          <w:b w:val="false"/>
          <w:color w:val="000000"/>
          <w:sz w:val="24"/>
        </w:rPr>
        <w:t>).</w:t>
      </w:r>
    </w:p>
    <w:p>
      <w:pPr>
        <w:pStyle w:val="TextBody"/>
        <w:spacing w:before="0" w:after="0"/>
        <w:jc w:val="both"/>
        <w:rPr/>
      </w:pPr>
      <w:r>
        <w:rPr/>
      </w:r>
    </w:p>
    <w:tbl>
      <w:tblPr>
        <w:tblW w:w="5069" w:type="dxa"/>
        <w:jc w:val="left"/>
        <w:tblInd w:w="0" w:type="dxa"/>
        <w:tblCellMar>
          <w:top w:w="28" w:type="dxa"/>
          <w:left w:w="28" w:type="dxa"/>
          <w:bottom w:w="28" w:type="dxa"/>
          <w:right w:w="28" w:type="dxa"/>
        </w:tblCellMar>
      </w:tblPr>
      <w:tblGrid>
        <w:gridCol w:w="1033"/>
        <w:gridCol w:w="907"/>
        <w:gridCol w:w="910"/>
        <w:gridCol w:w="649"/>
        <w:gridCol w:w="649"/>
        <w:gridCol w:w="921"/>
      </w:tblGrid>
      <w:tr>
        <w:trPr/>
        <w:tc>
          <w:tcPr>
            <w:tcW w:w="1033"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r>
      <w:tr>
        <w:trPr/>
        <w:tc>
          <w:tcPr>
            <w:tcW w:w="28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Completed Years of Service:</w:t>
              <w:br/>
              <w:t>At least</w:t>
            </w:r>
          </w:p>
        </w:tc>
        <w:tc>
          <w:tcPr>
            <w:tcW w:w="221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Reduction Percentage</w:t>
            </w:r>
          </w:p>
        </w:tc>
      </w:tr>
      <w:tr>
        <w:trPr/>
        <w:tc>
          <w:tcPr>
            <w:tcW w:w="28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Five (5) years</w:t>
            </w:r>
          </w:p>
        </w:tc>
        <w:tc>
          <w:tcPr>
            <w:tcW w:w="221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c>
      </w:tr>
      <w:tr>
        <w:trPr/>
        <w:tc>
          <w:tcPr>
            <w:tcW w:w="28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Six (6) years</w:t>
            </w:r>
          </w:p>
        </w:tc>
        <w:tc>
          <w:tcPr>
            <w:tcW w:w="221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tc>
      </w:tr>
      <w:tr>
        <w:trPr/>
        <w:tc>
          <w:tcPr>
            <w:tcW w:w="28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Seven (7) years</w:t>
            </w:r>
          </w:p>
        </w:tc>
        <w:tc>
          <w:tcPr>
            <w:tcW w:w="221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tc>
      </w:tr>
      <w:tr>
        <w:trPr/>
        <w:tc>
          <w:tcPr>
            <w:tcW w:w="28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Eight (8) years</w:t>
            </w:r>
          </w:p>
        </w:tc>
        <w:tc>
          <w:tcPr>
            <w:tcW w:w="221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c>
      </w:tr>
      <w:tr>
        <w:trPr/>
        <w:tc>
          <w:tcPr>
            <w:tcW w:w="285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Nine (9) years</w:t>
            </w:r>
          </w:p>
        </w:tc>
        <w:tc>
          <w:tcPr>
            <w:tcW w:w="221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c>
      </w:tr>
    </w:tbl>
    <w:p>
      <w:pPr>
        <w:pStyle w:val="TextBody"/>
        <w:spacing w:before="0" w:after="0"/>
        <w:jc w:val="both"/>
        <w:rPr/>
      </w:pPr>
      <w:r>
        <w:rPr/>
      </w:r>
    </w:p>
    <w:p>
      <w:pPr>
        <w:pStyle w:val="TextBody"/>
        <w:spacing w:before="0" w:after="0"/>
        <w:jc w:val="both"/>
        <w:rPr/>
      </w:pPr>
      <w:r>
        <w:rPr/>
      </w:r>
    </w:p>
    <w:p>
      <w:pPr>
        <w:pStyle w:val="TextBody"/>
        <w:spacing w:lineRule="auto" w:line="276" w:before="0" w:after="0"/>
        <w:ind w:left="0" w:right="0" w:firstLine="90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Section 3(b)(iv), years of service with the Company (or its Affiliates) does not include tenure at any organization acquired by the Company (or its Affiliates) prior to the closing date of such acquisition.</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76" w:before="0" w:after="0"/>
        <w:ind w:left="0" w:right="0" w:firstLine="900"/>
        <w:jc w:val="both"/>
        <w:rPr>
          <w:rFonts w:ascii="Times New Roman;sans-serif" w:hAnsi="Times New Roman;sans-serif"/>
          <w:b w:val="false"/>
          <w:color w:val="000000"/>
          <w:sz w:val="24"/>
        </w:rPr>
      </w:pPr>
      <w:r>
        <w:rPr>
          <w:rFonts w:ascii="Times New Roman;sans-serif" w:hAnsi="Times New Roman;sans-serif"/>
          <w:b w:val="false"/>
          <w:color w:val="000000"/>
          <w:sz w:val="24"/>
        </w:rPr>
        <w:t>Any Performance-Based RSUs shall be settled in accordance with Section 4 of this Agreement after the end of the performance period. The determination of any prorated Performance-Based RSU shall be made by the Committee in its sole discretion.</w:t>
      </w:r>
    </w:p>
    <w:p>
      <w:pPr>
        <w:pStyle w:val="TextBody"/>
        <w:spacing w:before="0" w:after="0"/>
        <w:jc w:val="both"/>
        <w:rPr/>
      </w:pPr>
      <w:r>
        <w:rPr/>
      </w:r>
    </w:p>
    <w:p>
      <w:pPr>
        <w:pStyle w:val="TextBody"/>
        <w:spacing w:lineRule="auto" w:line="268" w:before="0" w:after="0"/>
        <w:ind w:left="0" w:right="0" w:firstLine="90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Special 409A Rule.</w:t>
      </w:r>
      <w:r>
        <w:rPr>
          <w:color w:val="000000"/>
        </w:rPr>
        <w:t xml:space="preserve"> </w:t>
      </w:r>
      <w:r>
        <w:rPr>
          <w:rFonts w:ascii="Times New Roman;sans-serif" w:hAnsi="Times New Roman;sans-serif"/>
          <w:b w:val="false"/>
          <w:color w:val="000000"/>
          <w:sz w:val="24"/>
        </w:rPr>
        <w:t>Notwithstanding anything to the contrary in this Section 3, to the extent necessary to comply with Section 409A of the Code, a Change in Control hereunder shall not give rise to any acceleration of the vesting of any portion of an Award hereunder unless such event satisfies the definition of a change in the ownership or effective control of a corporation, or a change in the ownership of a substantial portion of the assets of a corporation pursuant to Section 409A of the Code and any Treasury Regulations promulgated thereunder.</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Terms</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Settlement</w:t>
      </w:r>
      <w:r>
        <w:rPr>
          <w:rFonts w:ascii="Times New Roman;sans-serif" w:hAnsi="Times New Roman;sans-serif"/>
          <w:b w:val="false"/>
          <w:color w:val="000000"/>
          <w:sz w:val="24"/>
        </w:rPr>
        <w:t>. As soon as practicable following each applicable Vesting Date (including as applicable the date of consummation of a Change in Control and certain terminations of employment upon or following a Change in Control, as applicable), the Company shall settle the portion of the Award that is vested on such date and shall therefore (i) issue and deliver to the Participant one share of Common Stock for each Restricted Stock Unit subject to the Award that has vested (the “</w:t>
      </w:r>
      <w:r>
        <w:rPr>
          <w:rFonts w:ascii="Times New Roman;sans-serif" w:hAnsi="Times New Roman;sans-serif"/>
          <w:b w:val="false"/>
          <w:color w:val="000000"/>
          <w:sz w:val="24"/>
          <w:u w:val="single"/>
        </w:rPr>
        <w:t>RSU Shares</w:t>
      </w:r>
      <w:r>
        <w:rPr>
          <w:color w:val="000000"/>
        </w:rPr>
        <w:t>”</w:t>
      </w:r>
      <w:r>
        <w:rPr>
          <w:rFonts w:ascii="Times New Roman;sans-serif" w:hAnsi="Times New Roman;sans-serif"/>
          <w:b w:val="false"/>
          <w:color w:val="000000"/>
          <w:sz w:val="24"/>
        </w:rPr>
        <w:t>), with any fractional shares paid out in cash (and, upon such settlement, the Restricted Stock Units shall cease to be credited to the Account) and (ii) enter the Participant’s name as a stockholder of record with respect to the RSU Shares on the books of the Company. The Committee shall make all determinations with respect to the Performance-Based RSUs as soon as administratively practicable after [●] (or as of the Change in Control, as applicable) such that settlement of the earned and vested Performance-Based RSUs shall be made within the applicable short-term deferral period for purposes of Section 409A of the Code.</w:t>
      </w:r>
    </w:p>
    <w:p>
      <w:pPr>
        <w:pStyle w:val="TextBody"/>
        <w:spacing w:before="0" w:after="0"/>
        <w:ind w:left="0" w:right="0" w:firstLine="108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Dividend Equivalents</w:t>
      </w:r>
      <w:r>
        <w:rPr>
          <w:rFonts w:ascii="Times New Roman;sans-serif" w:hAnsi="Times New Roman;sans-serif"/>
          <w:b w:val="false"/>
          <w:color w:val="000000"/>
          <w:sz w:val="24"/>
        </w:rPr>
        <w:t>. If on any date that Restricted Stock Units remain credited to the Account, dividends are paid by the Company on outstanding shares of its Common Stock (“</w:t>
      </w:r>
      <w:r>
        <w:rPr>
          <w:rFonts w:ascii="Times New Roman;sans-serif" w:hAnsi="Times New Roman;sans-serif"/>
          <w:b w:val="false"/>
          <w:color w:val="000000"/>
          <w:sz w:val="24"/>
          <w:u w:val="single"/>
        </w:rPr>
        <w:t>Shares</w:t>
      </w:r>
      <w:r>
        <w:rPr>
          <w:color w:val="000000"/>
        </w:rPr>
        <w:t>”</w:t>
      </w:r>
      <w:r>
        <w:rPr>
          <w:rFonts w:ascii="Times New Roman;sans-serif" w:hAnsi="Times New Roman;sans-serif"/>
          <w:b w:val="false"/>
          <w:color w:val="000000"/>
          <w:sz w:val="24"/>
        </w:rPr>
        <w:t>) (each, a “</w:t>
      </w:r>
      <w:r>
        <w:rPr>
          <w:rFonts w:ascii="Times New Roman;sans-serif" w:hAnsi="Times New Roman;sans-serif"/>
          <w:b w:val="false"/>
          <w:color w:val="000000"/>
          <w:sz w:val="24"/>
          <w:u w:val="single"/>
        </w:rPr>
        <w:t>Dividend Payment Date</w:t>
      </w:r>
      <w:r>
        <w:rPr>
          <w:color w:val="000000"/>
        </w:rPr>
        <w:t>”</w:t>
      </w:r>
      <w:r>
        <w:rPr>
          <w:rFonts w:ascii="Times New Roman;sans-serif" w:hAnsi="Times New Roman;sans-serif"/>
          <w:b w:val="false"/>
          <w:color w:val="000000"/>
          <w:sz w:val="24"/>
        </w:rPr>
        <w:t>), then the Participant's Account shall, as of each such Dividend Payment Date, be credited with an amount (each such amount, a “</w:t>
      </w:r>
      <w:r>
        <w:rPr>
          <w:rFonts w:ascii="Times New Roman;sans-serif" w:hAnsi="Times New Roman;sans-serif"/>
          <w:b w:val="false"/>
          <w:color w:val="000000"/>
          <w:sz w:val="24"/>
          <w:u w:val="single"/>
        </w:rPr>
        <w:t>Dividend Equivalent Amount</w:t>
      </w:r>
      <w:r>
        <w:rPr>
          <w:color w:val="000000"/>
        </w:rPr>
        <w:t>”</w:t>
      </w:r>
      <w:r>
        <w:rPr>
          <w:rFonts w:ascii="Times New Roman;sans-serif" w:hAnsi="Times New Roman;sans-serif"/>
          <w:b w:val="false"/>
          <w:color w:val="000000"/>
          <w:sz w:val="24"/>
        </w:rPr>
        <w:t>) equal to the product of (i) the number of Restricted Stock Units in the Account as of the Dividend Payment Date and (ii) the per Share cash amount of such dividend (or, in the case of a dividend payable in Shares or other property, the per Share equivalent cash value of such dividend as determined in good faith by the Committee). On each applicable Vesting Date, in connection with the settlement and delivery of RSU Shares as contemplated by Section 4(a), the Participant shall be entitled to receive a payment, without interest, of an amount in cash equal to the accumulated Dividend Equivalent Amounts in respect of the RSU Shares so delivered.</w:t>
      </w:r>
    </w:p>
    <w:p>
      <w:pPr>
        <w:pStyle w:val="TextBody"/>
        <w:spacing w:before="0" w:after="0"/>
        <w:ind w:left="0" w:right="0" w:firstLine="1080"/>
        <w:jc w:val="both"/>
        <w:rPr/>
      </w:pPr>
      <w:r>
        <w:rPr/>
      </w:r>
    </w:p>
    <w:p>
      <w:pPr>
        <w:pStyle w:val="TextBody"/>
        <w:spacing w:lineRule="auto" w:line="268"/>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Taxes and Withholding</w:t>
      </w:r>
      <w:r>
        <w:rPr>
          <w:rFonts w:ascii="Times New Roman;sans-serif" w:hAnsi="Times New Roman;sans-serif"/>
          <w:b w:val="false"/>
          <w:color w:val="000000"/>
          <w:sz w:val="24"/>
        </w:rPr>
        <w:t xml:space="preserve">. Regardless of any action the Company or the Participant’s employer (the “Employer”) takes with respect to any or all income tax, social insurance, payroll tax, payment on account or other tax-related items related to the Participant’s participation in the Plan and legally applicable to the Participant or deemed by the Company or the Employer to be an appropriate charge to the Participant even if technically due by the Company or the Employer (“Tax-Related Items”), the Participant acknowledges that the ultimate liability for all Tax-Related Items is and remains the Participant’s responsibility and may exceed the amount actually withheld by the Company or the Employer. The Participant </w:t>
      </w:r>
      <w:r>
        <w:br w:type="page"/>
      </w:r>
    </w:p>
    <w:p>
      <w:pPr>
        <w:pStyle w:val="TextBody"/>
        <w:spacing w:before="0" w:after="0"/>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further acknowledges that the Company and/or the Employer (1) make no representations or undertakings regarding the treatment of any Tax-Related Items in connection with any aspect of the Restricted Stock Units, including, but not limited to, the grant, vesting or settlement of the Restricted Stock Units, the issuance of RSU Shares upon vesting/settlement of the Restricted Stock Units, the subsequent sale of RSU Shares acquired pursuant to such issuance and the receipt of any dividends and/or any dividend equivalents; and (2) do not commit to and are under no obligation to structure the terms of the grant or any aspect of the Restricted Stock Units to reduce or eliminate the Participant’s liability for Tax-Related Items or achieve any particular tax result. Further, if the Participant has become subject to tax in more than one jurisdiction between the date of grant and the date of any relevant taxable event, the Participant acknowledges that the Company and/or the Employer (or former employer, as applicable) may be required to withhold or account for Tax-Related Items in more than one jurisdiction.</w:t>
      </w:r>
    </w:p>
    <w:p>
      <w:pPr>
        <w:pStyle w:val="TextBody"/>
        <w:spacing w:before="0" w:after="0"/>
        <w:ind w:left="0" w:right="0" w:firstLine="1080"/>
        <w:jc w:val="both"/>
        <w:rPr/>
      </w:pPr>
      <w:r>
        <w:rPr/>
      </w:r>
    </w:p>
    <w:p>
      <w:pPr>
        <w:pStyle w:val="TextBody"/>
        <w:spacing w:lineRule="auto" w:line="268" w:before="0" w:after="0"/>
        <w:ind w:left="0" w:right="0" w:firstLine="1080"/>
        <w:jc w:val="both"/>
        <w:rPr>
          <w:rFonts w:ascii="Times New Roman;sans-serif" w:hAnsi="Times New Roman;sans-serif"/>
          <w:b w:val="false"/>
          <w:color w:val="000000"/>
          <w:sz w:val="24"/>
        </w:rPr>
      </w:pPr>
      <w:r>
        <w:rPr>
          <w:rFonts w:ascii="Times New Roman;sans-serif" w:hAnsi="Times New Roman;sans-serif"/>
          <w:b w:val="false"/>
          <w:color w:val="000000"/>
          <w:sz w:val="24"/>
        </w:rPr>
        <w:t>Upon the settlement of the Award in accordance with Section 4(a) hereof in RSU Shares, the Participant shall be required, as a condition of such settlement, to pay to the Company by check or wire transfer the amount of any income, payroll, or social tax withholding that the Company determines is required; provided that the Participant may elect to satisfy such tax withholding obligation by having the Company withhold from the settlement that number of RSU Shares having a Fair Market Value equal to the amount of such withholding. To avoid negative accounting treatment, the Company may withhold or account for Tax-Related Items by considering applicable minimum statutory withholding amounts or other applicable withholding rates. If the obligation for Tax-Related Items is satisfied by withholding in RSU Shares, for tax purposes, the Participant is deemed to have been issued the full number of Shares subject to the vested Restricted Stock Units, notwithstanding that a number of the RSU Shares are held back solely for the purpose of paying the Tax-Related Items due as a result of any aspect of the Participant’s participation in the Plan.</w:t>
      </w:r>
    </w:p>
    <w:p>
      <w:pPr>
        <w:pStyle w:val="TextBody"/>
        <w:spacing w:before="0" w:after="0"/>
        <w:ind w:left="0" w:right="0" w:firstLine="108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Forfeiture</w:t>
      </w:r>
      <w:r>
        <w:rPr>
          <w:rFonts w:ascii="Times New Roman;sans-serif" w:hAnsi="Times New Roman;sans-serif"/>
          <w:b w:val="false"/>
          <w:color w:val="000000"/>
          <w:sz w:val="24"/>
        </w:rPr>
        <w:t>. Except as otherwise provided in the Plan, or as set forth in any employment, consulting or other agreement between the Company or an Affiliate and the Participant in effect on the date hereof, if the Participant’s employment with the Company terminates prior to any Vesting Date for any reason, all remaining Restricted Stock Units credited to the Account shall be forfeited without further consideration to the Participant. In addition, the Award or any RSU Shares shall be subject to cancellation, forfeiture or recoupment as determined by the Committee upon the occurrence of a violation of material Company policies, misstatement of financial or other material information about the Company, fraud, misconduct, breach of noncompetition, confidentiality, nonsolicitation, noninterference, corporate property protection, or other agreements that may apply to the Participant, or other conduct by the Participant that the Committee determines is detrimental to the business or reputation of the Company and its Affiliates, including facts and circumstances discovered after termination of service.</w:t>
      </w:r>
    </w:p>
    <w:p>
      <w:pPr>
        <w:pStyle w:val="TextBody"/>
        <w:spacing w:before="0" w:after="0"/>
        <w:ind w:left="0" w:right="0" w:firstLine="108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u w:val="single"/>
        </w:rPr>
        <w:t>(e)</w:t>
      </w:r>
      <w:r>
        <w:rPr>
          <w:rFonts w:ascii="Times New Roman;sans-serif" w:hAnsi="Times New Roman;sans-serif"/>
          <w:b w:val="false"/>
          <w:color w:val="000000"/>
          <w:sz w:val="24"/>
          <w:u w:val="single"/>
        </w:rPr>
        <w:t>Restrictions</w:t>
      </w:r>
      <w:r>
        <w:rPr>
          <w:rFonts w:ascii="Times New Roman;sans-serif" w:hAnsi="Times New Roman;sans-serif"/>
          <w:b w:val="false"/>
          <w:color w:val="000000"/>
          <w:sz w:val="24"/>
        </w:rPr>
        <w:t>. The Award granted hereunder may not be sold, pledged or otherwise transferred (other than by will or the laws of descent and distribution) and may not be subject to lien, garnishment, attachment or other legal process. The Participant acknowledges and agrees that, with respect to each Restricted Stock Unit credited to his Account, he has no voting rights with respect to the Company unless and until each such Restricted Stock Unit is settled in RSU Shares pursuant to Section 4(a) hereof.</w:t>
      </w:r>
    </w:p>
    <w:p>
      <w:pPr>
        <w:pStyle w:val="TextBody"/>
        <w:ind w:left="0" w:right="0" w:firstLine="108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68" w:before="0" w:after="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Rights as a Stockholder</w:t>
      </w:r>
      <w:r>
        <w:rPr>
          <w:rFonts w:ascii="Times New Roman;sans-serif" w:hAnsi="Times New Roman;sans-serif"/>
          <w:b w:val="false"/>
          <w:color w:val="000000"/>
          <w:sz w:val="24"/>
        </w:rPr>
        <w:t>. Upon and following each Vesting Date, the Participant shall be the record owner of the RSU Shares settled upon such applicable date unless and until such RSU Shares are sold or otherwise disposed of, and as record owner shall be entitled to all rights of a common stockholder of the Company, including, without limitation, voting rights, if any, with respect to the RSU Shares. Prior to the first Vesting Date, the Participant shall not be deemed for any purpose to be the owner of shares of Common Stock underlying the Restricted Stock Units.</w:t>
      </w:r>
    </w:p>
    <w:p>
      <w:pPr>
        <w:pStyle w:val="TextBody"/>
        <w:spacing w:before="0" w:after="0"/>
        <w:ind w:left="0" w:right="0" w:firstLine="108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General Assets</w:t>
      </w:r>
      <w:r>
        <w:rPr>
          <w:rFonts w:ascii="Times New Roman;sans-serif" w:hAnsi="Times New Roman;sans-serif"/>
          <w:b w:val="false"/>
          <w:color w:val="000000"/>
          <w:sz w:val="24"/>
        </w:rPr>
        <w:t>. All amounts credited to the Account under this Agreement shall continue for all purposes to be part of the general assets of the Company. The Participant’s interest in the Account shall make the Participant only a general, unsecured creditor of the Company.</w:t>
      </w:r>
    </w:p>
    <w:p>
      <w:pPr>
        <w:pStyle w:val="TextBody"/>
        <w:spacing w:before="0" w:after="0"/>
        <w:ind w:left="0" w:right="0" w:firstLine="108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All notices, demands and other communications provided for or permitted hereunder shall be made in writing and shall be by registered or certified first-class mail, return receipt requested, telecopier, courier service or personal delivery:</w:t>
      </w:r>
    </w:p>
    <w:p>
      <w:pPr>
        <w:pStyle w:val="TextBody"/>
        <w:spacing w:before="0" w:after="0"/>
        <w:jc w:val="both"/>
        <w:rPr/>
      </w:pPr>
      <w:r>
        <w:rPr/>
      </w:r>
    </w:p>
    <w:p>
      <w:pPr>
        <w:pStyle w:val="TextBody"/>
        <w:spacing w:lineRule="auto" w:line="268" w:before="0" w:after="0"/>
        <w:ind w:left="0" w:right="0" w:firstLine="2880"/>
        <w:jc w:val="both"/>
        <w:rPr>
          <w:rFonts w:ascii="Times New Roman;sans-serif" w:hAnsi="Times New Roman;sans-serif"/>
          <w:b w:val="false"/>
          <w:color w:val="000000"/>
          <w:sz w:val="24"/>
        </w:rPr>
      </w:pPr>
      <w:r>
        <w:rPr>
          <w:rFonts w:ascii="Times New Roman;sans-serif" w:hAnsi="Times New Roman;sans-serif"/>
          <w:b w:val="false"/>
          <w:color w:val="000000"/>
          <w:sz w:val="24"/>
        </w:rPr>
        <w:t>if to the Company:</w:t>
      </w:r>
    </w:p>
    <w:p>
      <w:pPr>
        <w:pStyle w:val="TextBody"/>
        <w:spacing w:before="0" w:after="0"/>
        <w:ind w:left="0" w:right="0" w:firstLine="2880"/>
        <w:jc w:val="both"/>
        <w:rPr/>
      </w:pPr>
      <w:r>
        <w:rPr/>
      </w:r>
    </w:p>
    <w:p>
      <w:pPr>
        <w:pStyle w:val="TextBody"/>
        <w:spacing w:lineRule="auto" w:line="268" w:before="0" w:after="0"/>
        <w:ind w:left="0" w:right="0" w:firstLine="2880"/>
        <w:jc w:val="both"/>
        <w:rPr>
          <w:rFonts w:ascii="Times New Roman;sans-serif" w:hAnsi="Times New Roman;sans-serif"/>
          <w:b w:val="false"/>
          <w:color w:val="000000"/>
          <w:sz w:val="24"/>
        </w:rPr>
      </w:pPr>
      <w:r>
        <w:rPr>
          <w:rFonts w:ascii="Times New Roman;sans-serif" w:hAnsi="Times New Roman;sans-serif"/>
          <w:b w:val="false"/>
          <w:color w:val="000000"/>
          <w:sz w:val="24"/>
        </w:rPr>
        <w:t>ExlService Holdings, Inc.</w:t>
      </w:r>
    </w:p>
    <w:p>
      <w:pPr>
        <w:pStyle w:val="TextBody"/>
        <w:spacing w:lineRule="auto" w:line="268" w:before="0" w:after="0"/>
        <w:ind w:left="0" w:right="0" w:firstLine="28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320 Park Avenue, 29th Floor </w:t>
      </w:r>
    </w:p>
    <w:p>
      <w:pPr>
        <w:pStyle w:val="TextBody"/>
        <w:spacing w:lineRule="auto" w:line="268" w:before="0" w:after="0"/>
        <w:ind w:left="0" w:right="0" w:firstLine="28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New York, NY 10022 </w:t>
      </w:r>
    </w:p>
    <w:p>
      <w:pPr>
        <w:pStyle w:val="TextBody"/>
        <w:spacing w:lineRule="auto" w:line="268" w:before="0" w:after="0"/>
        <w:ind w:left="0" w:right="0" w:firstLine="2880"/>
        <w:jc w:val="both"/>
        <w:rPr>
          <w:rFonts w:ascii="Times New Roman;sans-serif" w:hAnsi="Times New Roman;sans-serif"/>
          <w:b w:val="false"/>
          <w:color w:val="000000"/>
          <w:sz w:val="24"/>
        </w:rPr>
      </w:pPr>
      <w:r>
        <w:rPr>
          <w:rFonts w:ascii="Times New Roman;sans-serif" w:hAnsi="Times New Roman;sans-serif"/>
          <w:b w:val="false"/>
          <w:color w:val="000000"/>
          <w:sz w:val="24"/>
        </w:rPr>
        <w:t>Attention: General Counsel</w:t>
      </w:r>
    </w:p>
    <w:p>
      <w:pPr>
        <w:pStyle w:val="TextBody"/>
        <w:spacing w:before="0" w:after="0"/>
        <w:ind w:left="0" w:right="0" w:firstLine="2880"/>
        <w:jc w:val="both"/>
        <w:rPr/>
      </w:pPr>
      <w:r>
        <w:rPr/>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if to the Participant, at the Participant’s last known address on file with the Company.</w:t>
        <w:br/>
        <w:br/>
        <w:t>        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telecopied.</w:t>
      </w:r>
    </w:p>
    <w:p>
      <w:pPr>
        <w:pStyle w:val="TextBody"/>
        <w:spacing w:before="0" w:after="0"/>
        <w:ind w:left="0" w:right="0" w:firstLine="288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Severability.</w:t>
      </w:r>
      <w:r>
        <w:rPr>
          <w:color w:val="000000"/>
        </w:rPr>
        <w:t xml:space="preserve"> </w:t>
      </w:r>
      <w:r>
        <w:rPr>
          <w:rFonts w:ascii="Times New Roman;sans-serif" w:hAnsi="Times New Roman;sans-serif"/>
          <w:b w:val="false"/>
          <w:color w:val="000000"/>
          <w:sz w:val="24"/>
        </w:rPr>
        <w:t>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pStyle w:val="TextBody"/>
        <w:spacing w:before="0" w:after="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No Rights to Employment</w:t>
      </w:r>
      <w:r>
        <w:rPr>
          <w:rFonts w:ascii="Times New Roman;sans-serif" w:hAnsi="Times New Roman;sans-serif"/>
          <w:b w:val="false"/>
          <w:color w:val="000000"/>
          <w:sz w:val="24"/>
        </w:rPr>
        <w:t>. Nothing contained in this Agreement shall be construed as giving the Participant any right to be retained, in any position, as an employee, consultant or director of the Company (or its Affiliates) or shall interfere with or restrict in any way the right of the Company (or its Affiliates), which are hereby expressly reserved, to remove, terminate or discharge the Participant at any time for any reason whatsoever.</w:t>
      </w:r>
    </w:p>
    <w:p>
      <w:pPr>
        <w:pStyle w:val="TextBody"/>
        <w:spacing w:before="0" w:after="0"/>
        <w:jc w:val="both"/>
        <w:rPr/>
      </w:pPr>
      <w:r>
        <w:rPr/>
      </w:r>
    </w:p>
    <w:p>
      <w:pPr>
        <w:pStyle w:val="TextBody"/>
        <w:spacing w:lineRule="auto" w:line="268"/>
        <w:ind w:left="0" w:right="0" w:firstLine="36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Beneficiary</w:t>
      </w:r>
      <w:r>
        <w:rPr>
          <w:rFonts w:ascii="Times New Roman;sans-serif" w:hAnsi="Times New Roman;sans-serif"/>
          <w:b w:val="false"/>
          <w:color w:val="000000"/>
          <w:sz w:val="24"/>
        </w:rPr>
        <w:t xml:space="preserve">. The Participant may file with the Committee a written designation of a beneficiary on such form as may be prescribed by the Committee and may, from time to time, </w:t>
      </w:r>
      <w:r>
        <w:br w:type="page"/>
      </w:r>
    </w:p>
    <w:p>
      <w:pPr>
        <w:pStyle w:val="TextBody"/>
        <w:spacing w:before="0" w:after="0"/>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amend or revoke such designation. If no designated beneficiary survives the Participant, the Participant’s estate shall be deemed to be the Participant’s beneficiary.</w:t>
      </w:r>
    </w:p>
    <w:p>
      <w:pPr>
        <w:pStyle w:val="TextBody"/>
        <w:spacing w:before="0" w:after="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Successors</w:t>
      </w:r>
      <w:r>
        <w:rPr>
          <w:rFonts w:ascii="Times New Roman;sans-serif" w:hAnsi="Times New Roman;sans-serif"/>
          <w:b w:val="false"/>
          <w:color w:val="000000"/>
          <w:sz w:val="24"/>
        </w:rPr>
        <w:t>. The terms of this Agreement shall be binding upon and inure to the benefit of the Company and its successors and assigns, and to the Participant and the beneficiaries, executors, administrators, heirs and successors of the Participant.</w:t>
      </w:r>
    </w:p>
    <w:p>
      <w:pPr>
        <w:pStyle w:val="TextBody"/>
        <w:spacing w:lineRule="auto" w:line="268" w:before="0" w:after="180"/>
        <w:ind w:left="0" w:right="0" w:firstLine="360"/>
        <w:jc w:val="both"/>
        <w:rPr/>
      </w:pPr>
      <w:r>
        <w:rPr>
          <w:rFonts w:ascii="Times New Roman;sans-serif" w:hAnsi="Times New Roman;sans-serif"/>
          <w:b/>
          <w:i/>
          <w:color w:val="000000"/>
          <w:sz w:val="24"/>
        </w:rPr>
        <w:t>10.</w:t>
      </w:r>
      <w:r>
        <w:rPr>
          <w:rFonts w:ascii="Times New Roman;sans-serif" w:hAnsi="Times New Roman;sans-serif"/>
          <w:b/>
          <w:i/>
          <w:color w:val="000000"/>
          <w:sz w:val="24"/>
          <w:u w:val="single"/>
        </w:rPr>
        <w:t>Personal Data</w:t>
      </w:r>
      <w:r>
        <w:rPr>
          <w:rFonts w:ascii="Times New Roman;sans-serif" w:hAnsi="Times New Roman;sans-serif"/>
          <w:b/>
          <w:i/>
          <w:color w:val="000000"/>
          <w:sz w:val="24"/>
        </w:rPr>
        <w:t>. The Participant hereby explicitly and unambiguously consents to the collection, use and transfer, in electronic or other form, of the Participant’s personal data as described in this Agreement by and among, as applicable, the Employer, the Company and any Affiliate of the Company for the exclusive purpose of implementing, administering and managing the Participant’s participation in the Plan.</w:t>
      </w:r>
    </w:p>
    <w:p>
      <w:pPr>
        <w:pStyle w:val="TextBody"/>
        <w:spacing w:lineRule="auto" w:line="268" w:before="0" w:after="180"/>
        <w:ind w:left="0" w:right="0" w:firstLine="1080"/>
        <w:jc w:val="both"/>
        <w:rPr>
          <w:rFonts w:ascii="Times New Roman;sans-serif" w:hAnsi="Times New Roman;sans-serif"/>
          <w:b/>
          <w:i/>
          <w:color w:val="000000"/>
          <w:sz w:val="24"/>
        </w:rPr>
      </w:pPr>
      <w:r>
        <w:rPr>
          <w:rFonts w:ascii="Times New Roman;sans-serif" w:hAnsi="Times New Roman;sans-serif"/>
          <w:b/>
          <w:i/>
          <w:color w:val="000000"/>
          <w:sz w:val="24"/>
        </w:rPr>
        <w:t xml:space="preserve">The Participant understands that the Company and the Employer may hold certain personal information about the Participant, including, but not limited to, the Participant’s name, home address and telephone number, date of birth, social insurance or other identification number, salary, nationality, job title, any Shares or directorships held in the Company, details of all Restricted Stock Units or any other entitlement to Shares awarded, canceled, exercised, vested, unvested or outstanding in the Participant’s favor, for the exclusive purpose of implementing, administering and managing the Plan (“Data”).The Participant understands that Data will be transferred to any third party assisting the Company with the implementation, administration and management of the Plan. The Participant understands that the recipients of the Data may be located in the Participant’s country, or elsewhere, and that the recipients’ country may have different data privacy laws and protections than the Participant’s country. </w:t>
      </w:r>
    </w:p>
    <w:p>
      <w:pPr>
        <w:pStyle w:val="TextBody"/>
        <w:spacing w:lineRule="auto" w:line="268" w:before="0" w:after="180"/>
        <w:ind w:left="0" w:right="0" w:firstLine="1080"/>
        <w:jc w:val="both"/>
        <w:rPr>
          <w:rFonts w:ascii="Times New Roman;sans-serif" w:hAnsi="Times New Roman;sans-serif"/>
          <w:b/>
          <w:i/>
          <w:color w:val="000000"/>
          <w:sz w:val="24"/>
        </w:rPr>
      </w:pPr>
      <w:r>
        <w:rPr>
          <w:rFonts w:ascii="Times New Roman;sans-serif" w:hAnsi="Times New Roman;sans-serif"/>
          <w:b/>
          <w:i/>
          <w:color w:val="000000"/>
          <w:sz w:val="24"/>
        </w:rPr>
        <w:t>The Participant understands that the Participant may request a list with the names and addresses of any potential recipients of the Data by contacting the Participant’s local human resources representative. The Participant authorizes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Participant’s participation in the Plan. The Participant understands that Data will be held only as long as is necessary to implement, administer and manage the Participant’s participation in the Plan. The Participant understands that the Participant may, at any time, view Data, request additional information about the storage and processing of Data, require any necessary amendments to Data or refuse or withdraw the consents herein, in any case without cost, by contacting in writing the Participant’s local human resources representative. The Participant understands, however, that refusal or withdrawal of consent may affect the Participant’s ability to participate in the Plan. For more information on the consequences of the Participant’s refusal to consent or withdrawal of consent, the Participant understands that the Participant may contact the Participant’s local human resources representative.</w:t>
      </w:r>
    </w:p>
    <w:p>
      <w:pPr>
        <w:pStyle w:val="TextBody"/>
        <w:spacing w:lineRule="auto" w:line="268" w:before="0" w:after="0"/>
        <w:ind w:left="0" w:right="0" w:firstLine="36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Nature of Grant</w:t>
      </w:r>
      <w:r>
        <w:rPr>
          <w:rFonts w:ascii="Times New Roman;sans-serif" w:hAnsi="Times New Roman;sans-serif"/>
          <w:b w:val="false"/>
          <w:color w:val="000000"/>
          <w:sz w:val="24"/>
        </w:rPr>
        <w:t xml:space="preserve">. By signing the Agreement, the Participant acknowledges and agrees that: </w:t>
      </w:r>
    </w:p>
    <w:p>
      <w:pPr>
        <w:pStyle w:val="TextBody"/>
        <w:spacing w:lineRule="auto" w:line="268" w:before="0" w:after="180"/>
        <w:ind w:left="0" w:right="0" w:firstLine="90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Plan is established voluntarily by the Company, it is discretionary in nature, and it may be modified, amended, suspended or terminated by the Company at any time;</w:t>
      </w:r>
      <w:r>
        <w:br w:type="page"/>
      </w:r>
    </w:p>
    <w:p>
      <w:pPr>
        <w:pStyle w:val="TextBody"/>
        <w:spacing w:before="0" w:after="0"/>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68" w:before="0" w:after="180"/>
        <w:ind w:left="0" w:right="0" w:firstLine="90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grant of the Restricted Stock Units is voluntary and occasional and does not create any contractual or other right to receive future grants of Restricted Stock Units, or benefits in lieu of Restricted Stock Units, even if Restricted Stock Units have been granted repeatedly in the past;</w:t>
      </w:r>
    </w:p>
    <w:p>
      <w:pPr>
        <w:pStyle w:val="TextBody"/>
        <w:spacing w:lineRule="auto" w:line="268" w:before="0" w:after="180"/>
        <w:ind w:left="0" w:right="0" w:firstLine="90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all decisions with respect to future grants, if any, will be at the sole discretion of the Company;</w:t>
      </w:r>
    </w:p>
    <w:p>
      <w:pPr>
        <w:pStyle w:val="TextBody"/>
        <w:spacing w:lineRule="auto" w:line="268" w:before="0" w:after="180"/>
        <w:ind w:left="0" w:right="0" w:firstLine="90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the Participant’s participation in the Plan is voluntary;</w:t>
      </w:r>
    </w:p>
    <w:p>
      <w:pPr>
        <w:pStyle w:val="TextBody"/>
        <w:spacing w:lineRule="auto" w:line="268" w:before="0" w:after="180"/>
        <w:ind w:left="0" w:right="0" w:firstLine="90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the Participant’s participation in the Plan shall not create a right to any employment with the Employer and shall not interfere with the ability of the Employer to terminate the Participant’s employment relationship, if any, at any time;</w:t>
      </w:r>
    </w:p>
    <w:p>
      <w:pPr>
        <w:pStyle w:val="TextBody"/>
        <w:spacing w:lineRule="auto" w:line="268" w:before="0" w:after="180"/>
        <w:ind w:left="0" w:right="0" w:firstLine="90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the Restricted Stock Units and the RSU Shares subject to the Restricted Stock Units are an extraordinary item that does not constitute compensation of any kind for services of any kind rendered to the Company or the Employer, and which is outside the scope of the Participant’s employment or service contract, if any;</w:t>
      </w:r>
    </w:p>
    <w:p>
      <w:pPr>
        <w:pStyle w:val="TextBody"/>
        <w:spacing w:lineRule="auto" w:line="268" w:before="0" w:after="180"/>
        <w:ind w:left="0" w:right="0" w:firstLine="90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the Restricted Stock Units and the RSU Shares subject to the Restricted Stock Units are not intended to replace any pension rights or compensation;</w:t>
      </w:r>
    </w:p>
    <w:p>
      <w:pPr>
        <w:pStyle w:val="TextBody"/>
        <w:spacing w:lineRule="auto" w:line="268" w:before="0" w:after="180"/>
        <w:ind w:left="0" w:right="0" w:firstLine="90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the Restricted Stock Units and the RSU Shares subject to the Restricted Stock Units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Company, the Employer or any Affiliate of the Company;</w:t>
      </w:r>
    </w:p>
    <w:p>
      <w:pPr>
        <w:pStyle w:val="TextBody"/>
        <w:spacing w:lineRule="auto" w:line="268" w:before="0" w:after="180"/>
        <w:ind w:left="0" w:right="0" w:firstLine="90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the future value of the RSU Shares is unknown and cannot be predicted with certainty;</w:t>
      </w:r>
    </w:p>
    <w:p>
      <w:pPr>
        <w:pStyle w:val="TextBody"/>
        <w:spacing w:lineRule="auto" w:line="268" w:before="0" w:after="180"/>
        <w:ind w:left="0" w:right="0" w:firstLine="90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rPr>
        <w:t>in consideration of the grant of the Restricted Stock Units, no claim or entitlement to compensation or damages shall arise from forfeiture of the Restricted Stock Units resulting from termination of the Participant’s employment (for any reason whatsoever and whether or not in breach of local labor laws) and the Participant irrevocably releases the Company and the Employer from any such claim that may arise; if, notwithstanding the foregoing, any such claim is found by a court of competent jurisdiction to have arisen, the Participant shall be deemed irrevocably to have waived the Participant’s right to pursue or seek remedy for any such claim or entitlement;</w:t>
      </w:r>
    </w:p>
    <w:p>
      <w:pPr>
        <w:pStyle w:val="TextBody"/>
        <w:spacing w:lineRule="auto" w:line="268" w:before="0" w:after="180"/>
        <w:ind w:left="0" w:right="0" w:firstLine="90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rPr>
        <w:t>in the event of termination of the Participant’s employment (whether or not in breach of local labor laws), the Participant’s right to receive Restricted Stock Units under the Plan and to vest in such Restricted Stock Units, if any, will terminate effective as of the date that the Participant is no longer actively providing services and will not be extended by any notice period mandated under local law (e.g., active service would not include a period of “garden leave” or similar period pursuant to local law); the Committee shall have the exclusive discretion to determine when the Participant is no longer actively employed for purposes of the Restricted Stock Units; and</w:t>
      </w:r>
      <w:r>
        <w:br w:type="page"/>
      </w:r>
    </w:p>
    <w:p>
      <w:pPr>
        <w:pStyle w:val="TextBody"/>
        <w:spacing w:before="0" w:after="0"/>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68" w:before="0" w:after="180"/>
        <w:ind w:left="0" w:right="0" w:firstLine="900"/>
        <w:jc w:val="both"/>
        <w:rPr/>
      </w:pPr>
      <w:r>
        <w:rPr>
          <w:rFonts w:ascii="Times New Roman;sans-serif" w:hAnsi="Times New Roman;sans-serif"/>
          <w:b w:val="false"/>
          <w:color w:val="000000"/>
          <w:sz w:val="24"/>
        </w:rPr>
        <w:t>(l)</w:t>
      </w:r>
      <w:r>
        <w:rPr>
          <w:rFonts w:ascii="Times New Roman;sans-serif" w:hAnsi="Times New Roman;sans-serif"/>
          <w:b w:val="false"/>
          <w:color w:val="000000"/>
          <w:sz w:val="24"/>
        </w:rPr>
        <w:t>the Restricted Stock Units and the benefits under the Plan, if any, will not automatically transfer to another company in the case of a merger, take-over or transfer of liability.</w:t>
      </w:r>
    </w:p>
    <w:p>
      <w:pPr>
        <w:pStyle w:val="TextBody"/>
        <w:spacing w:lineRule="auto" w:line="268" w:before="0" w:after="180"/>
        <w:ind w:left="0" w:right="0" w:firstLine="36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Language</w:t>
      </w:r>
      <w:r>
        <w:rPr>
          <w:rFonts w:ascii="Times New Roman;sans-serif" w:hAnsi="Times New Roman;sans-serif"/>
          <w:b w:val="false"/>
          <w:color w:val="000000"/>
          <w:sz w:val="24"/>
        </w:rPr>
        <w:t>. If the Participant has received this Agreement or any other document related to the Plan translated into a language other than English and if the meaning of the translated version is different than the English version, the English version will control.</w:t>
      </w:r>
    </w:p>
    <w:p>
      <w:pPr>
        <w:pStyle w:val="TextBody"/>
        <w:spacing w:lineRule="auto" w:line="268" w:before="0" w:after="180"/>
        <w:ind w:left="0" w:right="0" w:firstLine="36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Bound by Plan</w:t>
      </w:r>
      <w:r>
        <w:rPr>
          <w:rFonts w:ascii="Times New Roman;sans-serif" w:hAnsi="Times New Roman;sans-serif"/>
          <w:b w:val="false"/>
          <w:color w:val="000000"/>
          <w:sz w:val="24"/>
        </w:rPr>
        <w:t>. By signing this Agreement, the Participant acknowledges that he has received a copy of the Plan and has had an opportunity to review the Plan and agrees to be bound by all the terms and provisions of the Plan.</w:t>
      </w:r>
    </w:p>
    <w:p>
      <w:pPr>
        <w:pStyle w:val="TextBody"/>
        <w:spacing w:lineRule="auto" w:line="268" w:before="0" w:after="180"/>
        <w:ind w:left="0" w:right="0" w:firstLine="36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Electronic Delivery and Acceptance</w:t>
      </w:r>
      <w:r>
        <w:rPr>
          <w:rFonts w:ascii="Times New Roman;sans-serif" w:hAnsi="Times New Roman;sans-serif"/>
          <w:b w:val="false"/>
          <w:color w:val="000000"/>
          <w:sz w:val="24"/>
        </w:rPr>
        <w:t>. The Company has decided to deliver documents related to current or future participation in the Plan by electronic means and to request Participant’s consent to participate in the Plan by electronic means. Participant hereby consents to receive such documents by electronic delivery and agrees to participate in the Plan through the current plan administrator’s on-line system, or any other on-line system or electronic means that the Company may decide, in its sole discretion, to use in the future.</w:t>
      </w:r>
    </w:p>
    <w:p>
      <w:pPr>
        <w:pStyle w:val="TextBody"/>
        <w:spacing w:lineRule="auto" w:line="268" w:before="0" w:after="180"/>
        <w:ind w:left="0" w:right="0" w:firstLine="36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Agreement and the Appendix hereto, and the Plan contain the entire agreement and understanding of the parties hereto with respect to the subject matter contained herein and supersede all prior communications, representations and negotiations in respect thereto. Except as otherwise provided in Section 17 (Imposition of Other Requirements) or in Section 16(b) of the Plan, no change, modification or waiver of any provision of this Agreement shall be valid unless the same is in writing and signed by the parties hereto.</w:t>
      </w:r>
    </w:p>
    <w:p>
      <w:pPr>
        <w:pStyle w:val="TextBody"/>
        <w:spacing w:lineRule="auto" w:line="268" w:before="0" w:after="180"/>
        <w:ind w:left="0" w:right="0" w:firstLine="36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Appendix</w:t>
      </w:r>
      <w:r>
        <w:rPr>
          <w:rFonts w:ascii="Times New Roman;sans-serif" w:hAnsi="Times New Roman;sans-serif"/>
          <w:b w:val="false"/>
          <w:color w:val="000000"/>
          <w:sz w:val="24"/>
        </w:rPr>
        <w:t xml:space="preserve">. Notwithstanding any provision herein, the Participant’s participation in the Plan shall be subject to any special terms and conditions as set forth in the appendix for the Participant’s country of residence, if any (the “Appendix”). Moreover, if the Participant relocates to one of the countries included in the Appendix, the special terms and conditions for such country will apply to the Participant, to the extent the Company determines that the application of such terms and conditions is necessary or advisable in order to comply with local law or facilitate the administration of the Plan. The Appendix constitutes part of this Agreement. </w:t>
      </w:r>
    </w:p>
    <w:p>
      <w:pPr>
        <w:pStyle w:val="TextBody"/>
        <w:spacing w:lineRule="auto" w:line="268" w:before="0" w:after="180"/>
        <w:ind w:left="0" w:right="0" w:firstLine="36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Imposition of Other Requirements</w:t>
      </w:r>
      <w:r>
        <w:rPr>
          <w:rFonts w:ascii="Times New Roman;sans-serif" w:hAnsi="Times New Roman;sans-serif"/>
          <w:b w:val="false"/>
          <w:color w:val="000000"/>
          <w:sz w:val="24"/>
        </w:rPr>
        <w:t>. The Company reserves the right to impose other requirements on the Participant’s participation in the Plan, on the Restricted Stock Units and on any RSU Shares acquired under the Plan, to the extent the Company determines it is necessary or advisable in order to comply with local law or facilitate the administration of the Plan, and to require the Participant to sign any additional agreements or undertakings that may be necessary to accomplish the foregoing.</w:t>
      </w:r>
    </w:p>
    <w:p>
      <w:pPr>
        <w:pStyle w:val="TextBody"/>
        <w:spacing w:lineRule="auto" w:line="268" w:before="0" w:after="180"/>
        <w:ind w:left="0" w:right="0" w:firstLine="36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Governing Law and Venue</w:t>
      </w:r>
      <w:r>
        <w:rPr>
          <w:rFonts w:ascii="Times New Roman;sans-serif" w:hAnsi="Times New Roman;sans-serif"/>
          <w:b w:val="false"/>
          <w:color w:val="000000"/>
          <w:sz w:val="24"/>
        </w:rPr>
        <w:t xml:space="preserve">. This Agreement shall be construed and interpreted in accordance with the laws of the State of Delaware without regard to principles of conflicts of law thereof, or principles of conflicts of laws of any other jurisdiction which could cause the application of the laws of any jurisdiction other than the State of Delaware. For purposes of litigating any dispute that arises directly or indirectly from the relationship of the parties evidenced by the Restricted Stock Units or this Agreement, the parties hereby submit to and consent to the exclusive jurisdiction of the State of New York, and agree that such litigation shall be conducted only in the courts of the State of New York, or the federal courts for the United </w:t>
      </w:r>
      <w:r>
        <w:br w:type="page"/>
      </w:r>
    </w:p>
    <w:p>
      <w:pPr>
        <w:pStyle w:val="TextBody"/>
        <w:spacing w:before="0" w:after="0"/>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6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States for the Southern District of New York, and no other courts, where this grant is made and/or to be performed.</w:t>
      </w:r>
    </w:p>
    <w:p>
      <w:pPr>
        <w:pStyle w:val="TextBody"/>
        <w:spacing w:lineRule="auto" w:line="268" w:before="0" w:after="180"/>
        <w:ind w:left="0" w:right="0" w:firstLine="36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rPr>
        <w:t>JURY TRIAL WAIVER. THE PARTIES EXPRESSLY AND KNOWINGLY WAIVE ANY RIGHT TO A JURY TRIAL IN THE EVENT ANY ACTION ARISING UNDER OR IN CONNECTION WITH THIS AGREEMENT IS LITIGATED OR HEARD IN ANY COURT.</w:t>
      </w:r>
    </w:p>
    <w:p>
      <w:pPr>
        <w:pStyle w:val="TextBody"/>
        <w:spacing w:lineRule="auto" w:line="268" w:before="0" w:after="180"/>
        <w:ind w:left="0" w:right="0" w:firstLine="360"/>
        <w:jc w:val="both"/>
        <w:rPr/>
      </w:pPr>
      <w:r>
        <w:rPr>
          <w:rFonts w:ascii="Times New Roman;sans-serif" w:hAnsi="Times New Roman;sans-serif"/>
          <w:b w:val="false"/>
          <w:color w:val="000000"/>
          <w:sz w:val="24"/>
        </w:rPr>
        <w:t>20.</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The headings of the Sections hereof are provided for convenience only and are not to serve as a basis for interpretation or construction, and shall not constitute a part, of this Agreement.</w:t>
      </w:r>
    </w:p>
    <w:p>
      <w:pPr>
        <w:pStyle w:val="TextBody"/>
        <w:spacing w:lineRule="auto" w:line="268" w:before="0" w:after="180"/>
        <w:ind w:left="0" w:right="0" w:firstLine="360"/>
        <w:jc w:val="both"/>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Signature in Counterparts</w:t>
      </w:r>
      <w:r>
        <w:rPr>
          <w:rFonts w:ascii="Times New Roman;sans-serif" w:hAnsi="Times New Roman;sans-serif"/>
          <w:b w:val="false"/>
          <w:color w:val="000000"/>
          <w:sz w:val="24"/>
        </w:rPr>
        <w:t xml:space="preserve">. This Agreement may be signed in counterparts, each of which shall be an original, with the same effect as if the signatures thereto and hereto were upon the same instrument. </w:t>
      </w:r>
      <w:r>
        <w:rPr>
          <w:rFonts w:ascii="Times New Roman;sans-serif" w:hAnsi="Times New Roman;sans-serif"/>
          <w:b/>
          <w:color w:val="000000"/>
          <w:sz w:val="24"/>
        </w:rPr>
        <w:t>PLEASE NOTE: Participant’s designation/election via the current plan administrator’s website that Participant has read and accepted the terms of this Agreement and the terms and conditions of the Plan is considered Participant’s electronic signature and Participant’s express consent to this Agreement and the terms and conditions set forth in the Plan.</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executed this Agreement.</w:t>
      </w:r>
    </w:p>
    <w:p>
      <w:pPr>
        <w:pStyle w:val="TextBody"/>
        <w:spacing w:before="0" w:after="0"/>
        <w:rPr/>
      </w:pPr>
      <w:r>
        <w:rPr/>
      </w:r>
    </w:p>
    <w:p>
      <w:pPr>
        <w:pStyle w:val="TextBody"/>
        <w:spacing w:lineRule="auto" w:line="268" w:before="0" w:after="0"/>
        <w:ind w:left="0" w:right="0" w:firstLine="4320"/>
        <w:rPr>
          <w:rFonts w:ascii="Times New Roman;sans-serif" w:hAnsi="Times New Roman;sans-serif"/>
          <w:b w:val="false"/>
          <w:color w:val="000000"/>
          <w:sz w:val="24"/>
        </w:rPr>
      </w:pPr>
      <w:r>
        <w:rPr>
          <w:rFonts w:ascii="Times New Roman;sans-serif" w:hAnsi="Times New Roman;sans-serif"/>
          <w:b w:val="false"/>
          <w:color w:val="000000"/>
          <w:sz w:val="24"/>
        </w:rPr>
        <w:t>ExlService Holdings, Inc.</w:t>
      </w:r>
    </w:p>
    <w:p>
      <w:pPr>
        <w:pStyle w:val="TextBody"/>
        <w:spacing w:before="0" w:after="0"/>
        <w:ind w:left="0" w:right="0" w:firstLine="4320"/>
        <w:rPr/>
      </w:pPr>
      <w:r>
        <w:rPr/>
      </w:r>
    </w:p>
    <w:p>
      <w:pPr>
        <w:pStyle w:val="TextBody"/>
        <w:spacing w:lineRule="auto" w:line="268" w:before="0" w:after="0"/>
        <w:ind w:left="0" w:right="0" w:firstLine="4320"/>
        <w:rPr>
          <w:rFonts w:ascii="Times New Roman;sans-serif" w:hAnsi="Times New Roman;sans-serif"/>
          <w:b w:val="false"/>
          <w:color w:val="000000"/>
          <w:sz w:val="24"/>
        </w:rPr>
      </w:pPr>
      <w:r>
        <w:rPr>
          <w:rFonts w:ascii="Times New Roman;sans-serif" w:hAnsi="Times New Roman;sans-serif"/>
          <w:b w:val="false"/>
          <w:color w:val="000000"/>
          <w:sz w:val="24"/>
        </w:rPr>
        <w:t>By:</w:t>
      </w:r>
    </w:p>
    <w:p>
      <w:pPr>
        <w:pStyle w:val="TextBody"/>
        <w:spacing w:lineRule="auto" w:line="268" w:before="0" w:after="0"/>
        <w:ind w:left="0" w:right="0" w:firstLine="4320"/>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spacing w:before="0" w:after="0"/>
        <w:ind w:left="0" w:right="0" w:firstLine="4320"/>
        <w:rPr/>
      </w:pPr>
      <w:r>
        <w:rPr/>
      </w:r>
    </w:p>
    <w:p>
      <w:pPr>
        <w:pStyle w:val="TextBody"/>
        <w:spacing w:lineRule="auto" w:line="268" w:before="0" w:after="0"/>
        <w:ind w:left="0" w:right="0" w:firstLine="4320"/>
        <w:rPr>
          <w:rFonts w:ascii="Times New Roman;sans-serif" w:hAnsi="Times New Roman;sans-serif"/>
          <w:b w:val="false"/>
          <w:color w:val="000000"/>
          <w:sz w:val="24"/>
        </w:rPr>
      </w:pPr>
      <w:r>
        <w:rPr>
          <w:rFonts w:ascii="Times New Roman;sans-serif" w:hAnsi="Times New Roman;sans-serif"/>
          <w:b w:val="false"/>
          <w:color w:val="000000"/>
          <w:sz w:val="24"/>
        </w:rPr>
        <w:t xml:space="preserve">Participant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 Revenue-Based RSUs</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Except as may otherwise be provided herein, the Revenue-Based RSUs shall vest based on the achievement of Company revenues against the aggregate revenue target for the period beginning on [●] and ending on [●], as set forth herein. For purposes of this Exhibit A, “revenue” shall have the meaning given such term in the Board-approved budget for the fiscal year in which the Award is granted.</w:t>
      </w:r>
    </w:p>
    <w:p>
      <w:pPr>
        <w:pStyle w:val="TextBody"/>
        <w:spacing w:before="0" w:after="0"/>
        <w:ind w:left="0" w:right="0" w:firstLine="720"/>
        <w:jc w:val="both"/>
        <w:rPr/>
      </w:pPr>
      <w:r>
        <w:rPr/>
      </w:r>
    </w:p>
    <w:p>
      <w:pPr>
        <w:pStyle w:val="TextBody"/>
        <w:spacing w:lineRule="auto" w:line="28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The Company aggregate revenue target for the [YEAR] Revenue-Based PRSUs for the period beginning on [●] and ending on [●] is $[●], and the sliding scale used to determine payout achievement is as set forth in the table below:</w:t>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[YEAR] PRSU Plan – 3 Year Aggregate Revenue Target Sliding Scale:</w:t>
      </w:r>
    </w:p>
    <w:p>
      <w:pPr>
        <w:pStyle w:val="TextBody"/>
        <w:spacing w:before="0" w:after="0"/>
        <w:ind w:left="0" w:right="0" w:firstLine="720"/>
        <w:jc w:val="both"/>
        <w:rPr/>
      </w:pPr>
      <w:r>
        <w:rPr/>
      </w:r>
    </w:p>
    <w:tbl>
      <w:tblPr>
        <w:tblW w:w="4471" w:type="dxa"/>
        <w:jc w:val="left"/>
        <w:tblInd w:w="0" w:type="dxa"/>
        <w:tblCellMar>
          <w:top w:w="28" w:type="dxa"/>
          <w:left w:w="28" w:type="dxa"/>
          <w:bottom w:w="28" w:type="dxa"/>
          <w:right w:w="28" w:type="dxa"/>
        </w:tblCellMar>
      </w:tblPr>
      <w:tblGrid>
        <w:gridCol w:w="1250"/>
        <w:gridCol w:w="1099"/>
        <w:gridCol w:w="1101"/>
        <w:gridCol w:w="299"/>
        <w:gridCol w:w="299"/>
        <w:gridCol w:w="423"/>
      </w:tblGrid>
      <w:tr>
        <w:trPr/>
        <w:tc>
          <w:tcPr>
            <w:tcW w:w="1250"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Achievement on Revenue Target</w:t>
            </w:r>
          </w:p>
        </w:tc>
        <w:tc>
          <w:tcPr>
            <w:tcW w:w="1021" w:type="dxa"/>
            <w:gridSpan w:val="3"/>
            <w:tcBorders>
              <w:top w:val="single" w:sz="8" w:space="0" w:color="000000"/>
              <w:left w:val="single" w:sz="8" w:space="0" w:color="000000"/>
              <w:right w:val="single" w:sz="8" w:space="0" w:color="000000"/>
            </w:tcBorders>
            <w:shd w:fill="D9D9D9" w:val="clear"/>
            <w:tcMar>
              <w:top w:w="30" w:type="dxa"/>
              <w:bottom w:w="0" w:type="dxa"/>
            </w:tcMar>
            <w:vAlign w:val="center"/>
          </w:tcPr>
          <w:p>
            <w:pPr>
              <w:pStyle w:val="TableContents"/>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Funding</w:t>
            </w:r>
          </w:p>
        </w:tc>
      </w:tr>
      <w:tr>
        <w:trPr/>
        <w:tc>
          <w:tcPr>
            <w:tcW w:w="3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[110%]</w:t>
            </w:r>
          </w:p>
        </w:tc>
        <w:tc>
          <w:tcPr>
            <w:tcW w:w="10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[200%]</w:t>
            </w:r>
          </w:p>
        </w:tc>
      </w:tr>
      <w:tr>
        <w:trPr/>
        <w:tc>
          <w:tcPr>
            <w:tcW w:w="3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c>
          <w:tcPr>
            <w:tcW w:w="10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r>
      <w:tr>
        <w:trPr/>
        <w:tc>
          <w:tcPr>
            <w:tcW w:w="345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[90%]</w:t>
            </w:r>
          </w:p>
        </w:tc>
        <w:tc>
          <w:tcPr>
            <w:tcW w:w="1021"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c>
      </w:tr>
    </w:tbl>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 the extent the Company’s revenue falls in between [90% and 100%], the percentage of Revenue-Based RSUs earned will be determined based on [straight line interpolation] calculated using a revenue target range between [90% and 100%] and a funding range between [25% and 100%]. For example, if [95%] of the revenue target is achieved, [62.5%] of the Revenue-Based RSUs will be earned. To the extent the Company’s revenue falls in between [100% and 110%], the percentage of Revenue-Based RSUs earned will be determined based on [straight line interpolation] calculated using a revenue target range between [100%] and [110%] and a funding range between [100% and 200%]. For example, if [105%] of the revenue target is achieved, [150%] of the Revenue-Based RSUs will be earned.</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B: TSR-Based RSUs</w:t>
      </w:r>
    </w:p>
    <w:p>
      <w:pPr>
        <w:pStyle w:val="TextBody"/>
        <w:spacing w:before="0" w:after="0"/>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The Committee has designated the following peer group of public companies in the Company’s 8-digit Global Industry Classification Standard sub-industry group (the “</w:t>
      </w:r>
      <w:r>
        <w:rPr>
          <w:rFonts w:ascii="Times New Roman;sans-serif" w:hAnsi="Times New Roman;sans-serif"/>
          <w:b w:val="false"/>
          <w:color w:val="000000"/>
          <w:sz w:val="24"/>
          <w:u w:val="single"/>
        </w:rPr>
        <w:t>Peer Group</w:t>
      </w:r>
      <w:r>
        <w:rPr>
          <w:color w:val="000000"/>
        </w:rPr>
        <w:t>”</w:t>
      </w:r>
      <w:r>
        <w:rPr>
          <w:rFonts w:ascii="Times New Roman;sans-serif" w:hAnsi="Times New Roman;sans-serif"/>
          <w:b w:val="false"/>
          <w:color w:val="000000"/>
          <w:sz w:val="24"/>
        </w:rPr>
        <w:t>):</w:t>
      </w:r>
    </w:p>
    <w:p>
      <w:pPr>
        <w:pStyle w:val="TextBody"/>
        <w:spacing w:before="0" w:after="0"/>
        <w:rPr/>
      </w:pPr>
      <w:r>
        <w:rPr/>
      </w:r>
    </w:p>
    <w:p>
      <w:pPr>
        <w:pStyle w:val="TextBody"/>
        <w:spacing w:lineRule="auto" w:line="276" w:before="0" w:after="0"/>
        <w:rPr>
          <w:rFonts w:ascii="Arial;sans-serif" w:hAnsi="Arial;sans-serif"/>
          <w:b w:val="false"/>
          <w:color w:val="000000"/>
          <w:sz w:val="24"/>
        </w:rPr>
      </w:pPr>
      <w:r>
        <w:rPr>
          <w:rFonts w:ascii="Arial;sans-serif" w:hAnsi="Arial;sans-serif"/>
          <w:b w:val="false"/>
          <w:color w:val="000000"/>
          <w:sz w:val="24"/>
        </w:rPr>
        <w:t>[</w:t>
      </w:r>
    </w:p>
    <w:tbl>
      <w:tblPr>
        <w:tblW w:w="10205" w:type="dxa"/>
        <w:jc w:val="left"/>
        <w:tblInd w:w="0" w:type="dxa"/>
        <w:tblCellMar>
          <w:top w:w="28" w:type="dxa"/>
          <w:left w:w="28" w:type="dxa"/>
          <w:bottom w:w="28" w:type="dxa"/>
          <w:right w:w="28" w:type="dxa"/>
        </w:tblCellMar>
      </w:tblPr>
      <w:tblGrid>
        <w:gridCol w:w="1543"/>
        <w:gridCol w:w="1174"/>
        <w:gridCol w:w="1183"/>
        <w:gridCol w:w="804"/>
        <w:gridCol w:w="593"/>
        <w:gridCol w:w="595"/>
        <w:gridCol w:w="754"/>
        <w:gridCol w:w="618"/>
        <w:gridCol w:w="620"/>
        <w:gridCol w:w="730"/>
        <w:gridCol w:w="654"/>
        <w:gridCol w:w="937"/>
      </w:tblGrid>
      <w:tr>
        <w:trPr/>
        <w:tc>
          <w:tcPr>
            <w:tcW w:w="1543"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r>
      <w:tr>
        <w:trPr/>
        <w:tc>
          <w:tcPr>
            <w:tcW w:w="10205" w:type="dxa"/>
            <w:gridSpan w:val="12"/>
            <w:tcBorders>
              <w:top w:val="single" w:sz="8" w:space="0" w:color="000000"/>
              <w:left w:val="single" w:sz="8" w:space="0" w:color="000000"/>
              <w:right w:val="single" w:sz="8" w:space="0" w:color="000000"/>
            </w:tcBorders>
            <w:shd w:fill="D9D9D9" w:val="clear"/>
            <w:tcMar>
              <w:top w:w="30" w:type="dxa"/>
              <w:bottom w:w="0" w:type="dxa"/>
            </w:tcMar>
            <w:vAlign w:val="center"/>
          </w:tcPr>
          <w:p>
            <w:pPr>
              <w:pStyle w:val="TableContents"/>
              <w:spacing w:lineRule="auto" w:line="268" w:before="0" w:after="2"/>
              <w:jc w:val="center"/>
              <w:rPr>
                <w:rFonts w:ascii="Times New Roman;sans-serif" w:hAnsi="Times New Roman;sans-serif"/>
                <w:b/>
                <w:color w:val="000000"/>
                <w:sz w:val="20"/>
              </w:rPr>
            </w:pPr>
            <w:r>
              <w:rPr>
                <w:rFonts w:ascii="Times New Roman;sans-serif" w:hAnsi="Times New Roman;sans-serif"/>
                <w:b/>
                <w:color w:val="000000"/>
                <w:sz w:val="20"/>
              </w:rPr>
              <w:t>TSR Peer Group</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Affirm Holdings,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AppTech Payments Corp.</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Automatic Data Processing, Inc.</w:t>
            </w:r>
          </w:p>
        </w:tc>
        <w:tc>
          <w:tcPr>
            <w:tcW w:w="23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Block, Inc.</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Broadridge Financial Solutions,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Cantaloupe,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Cass Information Systems, Inc.</w:t>
            </w:r>
          </w:p>
        </w:tc>
        <w:tc>
          <w:tcPr>
            <w:tcW w:w="23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Concentrix Corporation</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Conduent Incorporated</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CSG Systems International,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DLocal Limited</w:t>
            </w:r>
          </w:p>
        </w:tc>
        <w:tc>
          <w:tcPr>
            <w:tcW w:w="23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Euronet Worldwide, Inc.</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EVERTEC,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EVO Payments,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Exela Technologies, Inc.</w:t>
            </w:r>
          </w:p>
        </w:tc>
        <w:tc>
          <w:tcPr>
            <w:tcW w:w="23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Fidelity National Information Services, Inc.</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Fiserv,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FLEETCOR Technologies,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Flywire Corporation</w:t>
            </w:r>
          </w:p>
        </w:tc>
        <w:tc>
          <w:tcPr>
            <w:tcW w:w="23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Genpact Limited</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Getnet Adquirencia e Servicos para Meios de Pagamento S.A. - Instituicão de Pagamento</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Global Blue Group Holding AG</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Global Payments Inc.</w:t>
            </w:r>
          </w:p>
        </w:tc>
        <w:tc>
          <w:tcPr>
            <w:tcW w:w="23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i3 Verticals, Inc.</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IBEX Limited</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Innodata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Money Express, Inc.</w:t>
            </w:r>
          </w:p>
        </w:tc>
        <w:tc>
          <w:tcPr>
            <w:tcW w:w="23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Jack Henry &amp; Associates, Inc.</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Marqeta,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Mastercard Incorporated</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Maximus, Inc.</w:t>
            </w:r>
          </w:p>
        </w:tc>
        <w:tc>
          <w:tcPr>
            <w:tcW w:w="23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MoneyGram International, Inc.</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Nuvei Corporation</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PagSeguro Digital Ltd.</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Paya Holdings Inc.</w:t>
            </w:r>
          </w:p>
        </w:tc>
        <w:tc>
          <w:tcPr>
            <w:tcW w:w="23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Paychex, Inc.</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Paymentus Holdings,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Payoneer Global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PayPal Holdings, Inc.</w:t>
            </w:r>
          </w:p>
        </w:tc>
        <w:tc>
          <w:tcPr>
            <w:tcW w:w="23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Paysafe Limited</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PaySign,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Priority Technology Holdings,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QIWI plc</w:t>
            </w:r>
          </w:p>
        </w:tc>
        <w:tc>
          <w:tcPr>
            <w:tcW w:w="23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Remitly Global, Inc.</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Repay Holdings Corporation</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Sabre Corporation</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Shift4 Payments, Inc.</w:t>
            </w:r>
          </w:p>
        </w:tc>
        <w:tc>
          <w:tcPr>
            <w:tcW w:w="23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Startek, Inc.</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Steel Connect,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StoneCo Ltd.</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TaskUs, Inc.</w:t>
            </w:r>
          </w:p>
        </w:tc>
        <w:tc>
          <w:tcPr>
            <w:tcW w:w="23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TDCX Inc.</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TELUS International (Cda)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OLB Group,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Western Union Company</w:t>
            </w:r>
          </w:p>
        </w:tc>
        <w:tc>
          <w:tcPr>
            <w:tcW w:w="23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Toast, Inc.</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TTEC Holdings,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Usio,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Verra Mobility Corporation</w:t>
            </w:r>
          </w:p>
        </w:tc>
        <w:tc>
          <w:tcPr>
            <w:tcW w:w="23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VIQ Solutions Inc.</w:t>
            </w:r>
          </w:p>
        </w:tc>
      </w:tr>
      <w:tr>
        <w:trPr/>
        <w:tc>
          <w:tcPr>
            <w:tcW w:w="39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Visa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WEX Inc.</w:t>
            </w:r>
          </w:p>
        </w:tc>
        <w:tc>
          <w:tcPr>
            <w:tcW w:w="19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WNS (Holdings) Limited</w:t>
            </w:r>
          </w:p>
        </w:tc>
        <w:tc>
          <w:tcPr>
            <w:tcW w:w="23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AvidXchange Holdings, Inc.</w:t>
            </w:r>
          </w:p>
        </w:tc>
      </w:tr>
      <w:tr>
        <w:trPr/>
        <w:tc>
          <w:tcPr>
            <w:tcW w:w="390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Lesaka Technologies, Inc.</w:t>
            </w:r>
          </w:p>
        </w:tc>
        <w:tc>
          <w:tcPr>
            <w:tcW w:w="1992"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Ryvyl Inc.</w:t>
            </w:r>
          </w:p>
        </w:tc>
        <w:tc>
          <w:tcPr>
            <w:tcW w:w="1992"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SS&amp;C Technologies Holdings, Inc.</w:t>
            </w:r>
          </w:p>
        </w:tc>
        <w:tc>
          <w:tcPr>
            <w:tcW w:w="2321"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WeTrade Group, Inc.</w:t>
            </w:r>
          </w:p>
        </w:tc>
      </w:tr>
    </w:tbl>
    <w:p>
      <w:pPr>
        <w:pStyle w:val="TextBody"/>
        <w:spacing w:lineRule="auto" w:line="276" w:before="0" w:after="0"/>
        <w:rPr>
          <w:rFonts w:ascii="Arial;sans-serif" w:hAnsi="Arial;sans-serif"/>
          <w:b w:val="false"/>
          <w:color w:val="000000"/>
          <w:sz w:val="24"/>
        </w:rPr>
      </w:pPr>
      <w:r>
        <w:rPr>
          <w:rFonts w:ascii="Arial;sans-serif" w:hAnsi="Arial;sans-serif"/>
          <w:b w:val="false"/>
          <w:color w:val="000000"/>
          <w:sz w:val="24"/>
        </w:rPr>
        <w:t>]</w:t>
      </w:r>
    </w:p>
    <w:p>
      <w:pPr>
        <w:pStyle w:val="TextBody"/>
        <w:spacing w:before="0" w:after="0"/>
        <w:ind w:left="0" w:right="0" w:firstLine="720"/>
        <w:jc w:val="both"/>
        <w:rPr/>
      </w:pPr>
      <w:r>
        <w:rPr/>
      </w:r>
    </w:p>
    <w:p>
      <w:pPr>
        <w:pStyle w:val="TextBody"/>
        <w:spacing w:lineRule="auto" w:line="268"/>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Company’s TSR for the TSR Performance Period will be computed and then compared to the TSR of the companies in the Peer Group. A participant shall earn [200%, 150%, 100%, 50% or 0%] of the TSR-Based RSUs, as applicable, if the Company’s TSR for the Performance Period equals or exceeds the [80th, 65th, 50th, 35th or 20th] percentile, respectively, of the Peer Group, when ranked by TSR for the TSR Performance Period. The percentage of TSR-Based RSUs earned will be determined based on [straight-line interpolation] </w:t>
      </w:r>
      <w:r>
        <w:br w:type="page"/>
      </w:r>
    </w:p>
    <w:p>
      <w:pPr>
        <w:pStyle w:val="TextBody"/>
        <w:spacing w:before="0" w:after="0"/>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 the extent the Company’s TSR falls in between the [20th and 80th] percentiles, as per the chart below:</w:t>
      </w:r>
    </w:p>
    <w:p>
      <w:pPr>
        <w:pStyle w:val="TextBody"/>
        <w:spacing w:before="0" w:after="0"/>
        <w:ind w:left="0" w:right="0" w:firstLine="720"/>
        <w:jc w:val="both"/>
        <w:rPr/>
      </w:pPr>
      <w:r>
        <w:rPr/>
      </w:r>
    </w:p>
    <w:tbl>
      <w:tblPr>
        <w:tblW w:w="3436" w:type="dxa"/>
        <w:jc w:val="left"/>
        <w:tblInd w:w="0" w:type="dxa"/>
        <w:tblCellMar>
          <w:top w:w="28" w:type="dxa"/>
          <w:left w:w="28" w:type="dxa"/>
          <w:bottom w:w="28" w:type="dxa"/>
          <w:right w:w="28" w:type="dxa"/>
        </w:tblCellMar>
      </w:tblPr>
      <w:tblGrid>
        <w:gridCol w:w="875"/>
        <w:gridCol w:w="768"/>
        <w:gridCol w:w="772"/>
        <w:gridCol w:w="299"/>
        <w:gridCol w:w="299"/>
        <w:gridCol w:w="423"/>
      </w:tblGrid>
      <w:tr>
        <w:trPr/>
        <w:tc>
          <w:tcPr>
            <w:tcW w:w="875"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Target TSR Percentile</w:t>
            </w:r>
          </w:p>
        </w:tc>
        <w:tc>
          <w:tcPr>
            <w:tcW w:w="1021" w:type="dxa"/>
            <w:gridSpan w:val="3"/>
            <w:tcBorders>
              <w:top w:val="single" w:sz="8" w:space="0" w:color="000000"/>
              <w:left w:val="single" w:sz="8" w:space="0" w:color="000000"/>
              <w:right w:val="single" w:sz="8" w:space="0" w:color="000000"/>
            </w:tcBorders>
            <w:shd w:fill="D9D9D9" w:val="clear"/>
            <w:tcMar>
              <w:top w:w="30" w:type="dxa"/>
              <w:bottom w:w="0" w:type="dxa"/>
            </w:tcMar>
            <w:vAlign w:val="center"/>
          </w:tcPr>
          <w:p>
            <w:pPr>
              <w:pStyle w:val="TableContents"/>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Funding</w:t>
            </w:r>
          </w:p>
        </w:tc>
      </w:tr>
      <w:tr>
        <w:trPr/>
        <w:tc>
          <w:tcPr>
            <w:tcW w:w="241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[80.0]</w:t>
            </w:r>
          </w:p>
        </w:tc>
        <w:tc>
          <w:tcPr>
            <w:tcW w:w="10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[200%]</w:t>
            </w:r>
          </w:p>
        </w:tc>
      </w:tr>
      <w:tr>
        <w:trPr/>
        <w:tc>
          <w:tcPr>
            <w:tcW w:w="241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[65.0]</w:t>
            </w:r>
          </w:p>
        </w:tc>
        <w:tc>
          <w:tcPr>
            <w:tcW w:w="10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[150%]</w:t>
            </w:r>
          </w:p>
        </w:tc>
      </w:tr>
      <w:tr>
        <w:trPr/>
        <w:tc>
          <w:tcPr>
            <w:tcW w:w="241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[50.0]</w:t>
            </w:r>
          </w:p>
        </w:tc>
        <w:tc>
          <w:tcPr>
            <w:tcW w:w="10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r>
      <w:tr>
        <w:trPr/>
        <w:tc>
          <w:tcPr>
            <w:tcW w:w="241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[35.0]</w:t>
            </w:r>
          </w:p>
        </w:tc>
        <w:tc>
          <w:tcPr>
            <w:tcW w:w="10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c>
      </w:tr>
      <w:tr>
        <w:trPr/>
        <w:tc>
          <w:tcPr>
            <w:tcW w:w="241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[20.0]</w:t>
            </w:r>
          </w:p>
        </w:tc>
        <w:tc>
          <w:tcPr>
            <w:tcW w:w="1021"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w:t>
            </w:r>
          </w:p>
        </w:tc>
      </w:tr>
    </w:tbl>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if the Company’s TSR for the TSR Performance Period is negative, the maximum percentage of TSR-Based RSUs that may be earned is 100% regardless of the Company’s actual percentile ranking relative to the peer Group. TSR shall be determined in the customary manner based on the percentage increase in a company’s stock price (taking into account assumed immediate reinvestment of dividends) from the first day of the TSR Performance Period to the last day of the TSR Performance Period. For this purpose, a company’s stock price on the applicable date will be determined as the 30 calendar day average closing stock price ending on the applicable date (or the immediately preceding trading day if the applicable date is not a trading day), except as provided in Section 3(b) in the event of a Change in Control.</w:t>
      </w:r>
    </w:p>
    <w:p>
      <w:pPr>
        <w:pStyle w:val="TextBody"/>
        <w:spacing w:before="0" w:after="0"/>
        <w:jc w:val="both"/>
        <w:rPr/>
      </w:pPr>
      <w:r>
        <w:rPr/>
      </w:r>
    </w:p>
    <w:p>
      <w:pPr>
        <w:pStyle w:val="TextBody"/>
        <w:spacing w:lineRule="auto" w:line="268"/>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Companies in the Peer Group that are not publicly traded on the last day of the TSR Performance Period shall not be taken into account for TSR purposes (except that any such company that goes bankrupt will be deemed to have a negative 100% TSR).</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240"/>
        <w:jc w:val="right"/>
        <w:rPr>
          <w:rFonts w:ascii="Times New Roman;sans-serif" w:hAnsi="Times New Roman;sans-serif"/>
          <w:b/>
          <w:color w:val="000000"/>
          <w:sz w:val="20"/>
        </w:rPr>
      </w:pPr>
      <w:r>
        <w:rPr>
          <w:rFonts w:ascii="Times New Roman;sans-serif" w:hAnsi="Times New Roman;sans-serif"/>
          <w:b/>
          <w:color w:val="000000"/>
          <w:sz w:val="20"/>
        </w:rPr>
        <w:t>Exhibit 10.4</w:t>
      </w:r>
    </w:p>
    <w:p>
      <w:pPr>
        <w:pStyle w:val="TextBody"/>
        <w:spacing w:lineRule="auto" w:line="264" w:before="0" w:after="2"/>
        <w:jc w:val="center"/>
        <w:rPr>
          <w:rFonts w:ascii="Times New Roman;sans-serif" w:hAnsi="Times New Roman;sans-serif"/>
          <w:b/>
          <w:color w:val="000000"/>
          <w:sz w:val="24"/>
        </w:rPr>
      </w:pPr>
      <w:r>
        <w:rPr>
          <w:rFonts w:ascii="Times New Roman;sans-serif" w:hAnsi="Times New Roman;sans-serif"/>
          <w:b/>
          <w:color w:val="000000"/>
          <w:sz w:val="24"/>
        </w:rPr>
        <w:t>[Form of] EMPLOYMENT AGREEMENT</w:t>
      </w:r>
    </w:p>
    <w:p>
      <w:pPr>
        <w:pStyle w:val="TextBody"/>
        <w:spacing w:before="0" w:after="0"/>
        <w:rPr/>
      </w:pPr>
      <w:r>
        <w:rPr/>
      </w:r>
    </w:p>
    <w:p>
      <w:pPr>
        <w:pStyle w:val="TextBody"/>
        <w:spacing w:before="0" w:after="0"/>
        <w:jc w:val="center"/>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THIS EMPLOYMENT AGREEMENT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entered into by and between ExlService Holdings, Inc., a company organized under the laws of Delaware (“</w:t>
      </w:r>
      <w:r>
        <w:rPr>
          <w:rFonts w:ascii="Times New Roman;sans-serif" w:hAnsi="Times New Roman;sans-serif"/>
          <w:b/>
          <w:color w:val="000000"/>
          <w:sz w:val="24"/>
        </w:rPr>
        <w:t>Holdings</w:t>
      </w:r>
      <w:r>
        <w:rPr>
          <w:color w:val="000000"/>
        </w:rPr>
        <w:t>”</w:t>
      </w:r>
      <w:r>
        <w:rPr>
          <w:rFonts w:ascii="Times New Roman;sans-serif" w:hAnsi="Times New Roman;sans-serif"/>
          <w:b w:val="false"/>
          <w:color w:val="000000"/>
          <w:sz w:val="24"/>
        </w:rPr>
        <w:t>) (together with ExlService.com, LLC (“</w:t>
      </w:r>
      <w:r>
        <w:rPr>
          <w:rFonts w:ascii="Times New Roman;sans-serif" w:hAnsi="Times New Roman;sans-serif"/>
          <w:b/>
          <w:color w:val="000000"/>
          <w:sz w:val="24"/>
        </w:rPr>
        <w:t>ExlService</w:t>
      </w:r>
      <w:r>
        <w:rPr>
          <w:color w:val="000000"/>
        </w:rPr>
        <w:t>”</w:t>
      </w:r>
      <w:r>
        <w:rPr>
          <w:rFonts w:ascii="Times New Roman;sans-serif" w:hAnsi="Times New Roman;sans-serif"/>
          <w:b w:val="false"/>
          <w:color w:val="000000"/>
          <w:sz w:val="24"/>
        </w:rPr>
        <w:t>),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and ____________ (“</w:t>
      </w:r>
      <w:r>
        <w:rPr>
          <w:rFonts w:ascii="Times New Roman;sans-serif" w:hAnsi="Times New Roman;sans-serif"/>
          <w:b/>
          <w:color w:val="000000"/>
          <w:sz w:val="24"/>
        </w:rPr>
        <w:t>Executive</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rPr>
        <w:t>You</w:t>
      </w:r>
      <w:r>
        <w:rPr>
          <w:color w:val="000000"/>
        </w:rPr>
        <w:t>”</w:t>
      </w:r>
      <w:r>
        <w:rPr>
          <w:rFonts w:ascii="Times New Roman;sans-serif" w:hAnsi="Times New Roman;sans-serif"/>
          <w:b w:val="false"/>
          <w:color w:val="000000"/>
          <w:sz w:val="24"/>
        </w:rPr>
        <w:t>) and shall be effective as of the Effective Date as defined below.</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WHEREAS, Executive has offered to serve the Company, and the Company desires to employ Executive, subject to the terms and conditions set forth herein.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mutual agreements, provisions and covenants contained herein, and intending to be legally bound hereby, the parties hereto agree as set forth below:</w:t>
      </w:r>
    </w:p>
    <w:p>
      <w:pPr>
        <w:pStyle w:val="TextBody"/>
        <w:spacing w:before="0" w:after="0"/>
        <w:rPr/>
      </w:pPr>
      <w:r>
        <w:rPr/>
      </w:r>
    </w:p>
    <w:p>
      <w:pPr>
        <w:pStyle w:val="TextBody"/>
        <w:spacing w:lineRule="auto" w:line="288" w:before="0" w:after="0"/>
        <w:ind w:left="0" w:right="0" w:hanging="360"/>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Term; Effectiveness.</w:t>
      </w:r>
      <w:r>
        <w:rPr>
          <w:color w:val="000000"/>
        </w:rPr>
        <w:t xml:space="preserve"> </w:t>
      </w:r>
    </w:p>
    <w:p>
      <w:pPr>
        <w:pStyle w:val="TextBody"/>
        <w:spacing w:before="0" w:after="0"/>
        <w:rPr/>
      </w:pPr>
      <w:r>
        <w:rPr/>
      </w:r>
    </w:p>
    <w:p>
      <w:pPr>
        <w:pStyle w:val="TextBody"/>
        <w:spacing w:lineRule="auto" w:line="288" w:before="0" w:after="0"/>
        <w:ind w:left="0" w:right="0" w:firstLine="1440"/>
        <w:jc w:val="both"/>
        <w:rPr/>
      </w:pPr>
      <w:r>
        <w:rPr>
          <w:rFonts w:ascii="Times New Roman;sans-serif" w:hAnsi="Times New Roman;sans-serif"/>
          <w:b w:val="false"/>
          <w:color w:val="000000"/>
          <w:sz w:val="24"/>
        </w:rPr>
        <w:t>(a)    The term of Executive’s employment under this Agreement shall commence as of [the later of (i) __________ __, _____, (ii) the successful completion of background checks and (iii) Executive’s first day of active employment with the Company]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 and shall continue until Executive’s employment under this Agreement is terminated pursuant to the provisions of Section 5 hereof. The period of time from the Effective Date through the termination of Executive’s employment hereunder is herein referred to as the “</w:t>
      </w:r>
      <w:r>
        <w:rPr>
          <w:rFonts w:ascii="Times New Roman;sans-serif" w:hAnsi="Times New Roman;sans-serif"/>
          <w:b/>
          <w:color w:val="000000"/>
          <w:sz w:val="24"/>
        </w:rPr>
        <w:t>Term</w:t>
      </w:r>
      <w:r>
        <w:rPr>
          <w:rFonts w:ascii="Times New Roman;sans-serif" w:hAnsi="Times New Roman;sans-serif"/>
          <w:b w:val="false"/>
          <w:color w:val="000000"/>
          <w:sz w:val="24"/>
        </w:rPr>
        <w:t>.” [Executive and the Company hereby agree that, as of the Effective Date, any existing employment agreements or arrangements are hereby terminated in their entireties.]</w:t>
      </w:r>
    </w:p>
    <w:p>
      <w:pPr>
        <w:pStyle w:val="TextBody"/>
        <w:spacing w:before="0" w:after="0"/>
        <w:rPr/>
      </w:pPr>
      <w:r>
        <w:rPr/>
      </w:r>
    </w:p>
    <w:p>
      <w:pPr>
        <w:pStyle w:val="TextBody"/>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Executive agrees and acknowledges that Executive is an at-will employee and the Company has no obligation to maintain the Term or to continue Executive’s employment hereunder for any specific period of time, and Executive expressly acknowledges that no promises or understandings to the contrary have been made or reached.</w:t>
      </w:r>
    </w:p>
    <w:p>
      <w:pPr>
        <w:pStyle w:val="TextBody"/>
        <w:spacing w:before="0" w:after="0"/>
        <w:jc w:val="both"/>
        <w:rPr/>
      </w:pPr>
      <w:r>
        <w:rPr/>
      </w:r>
    </w:p>
    <w:p>
      <w:pPr>
        <w:pStyle w:val="TextBody"/>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This Agreement shall be binding upon the parties upon the execution hereof.</w:t>
      </w:r>
    </w:p>
    <w:p>
      <w:pPr>
        <w:pStyle w:val="TextBody"/>
        <w:spacing w:before="0" w:after="0"/>
        <w:jc w:val="both"/>
        <w:rPr/>
      </w:pPr>
      <w:r>
        <w:rPr/>
      </w:r>
    </w:p>
    <w:p>
      <w:pPr>
        <w:pStyle w:val="TextBody"/>
        <w:spacing w:lineRule="auto" w:line="288" w:before="0" w:after="0"/>
        <w:ind w:left="0" w:right="0" w:hanging="360"/>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Definitions.</w:t>
      </w:r>
      <w:r>
        <w:rPr>
          <w:color w:val="000000"/>
        </w:rPr>
        <w:t xml:space="preserve"> </w:t>
      </w:r>
      <w:r>
        <w:rPr>
          <w:rFonts w:ascii="Times New Roman;sans-serif" w:hAnsi="Times New Roman;sans-serif"/>
          <w:b w:val="false"/>
          <w:color w:val="000000"/>
          <w:sz w:val="24"/>
        </w:rPr>
        <w:t>For purposes of this Agreement, the following terms, as used herein, shall have the definitions set forth below.</w:t>
      </w:r>
    </w:p>
    <w:p>
      <w:pPr>
        <w:pStyle w:val="TextBody"/>
        <w:spacing w:before="0" w:after="0"/>
        <w:rPr/>
      </w:pPr>
      <w:r>
        <w:rPr/>
      </w:r>
    </w:p>
    <w:p>
      <w:pPr>
        <w:pStyle w:val="TextBody"/>
        <w:spacing w:lineRule="auto" w:line="288" w:before="0" w:after="0"/>
        <w:ind w:left="0" w:right="0" w:firstLine="1440"/>
        <w:jc w:val="both"/>
        <w:rPr/>
      </w:pPr>
      <w:r>
        <w:rPr>
          <w:rFonts w:ascii="Times New Roman;sans-serif" w:hAnsi="Times New Roman;sans-serif"/>
          <w:b w:val="false"/>
          <w:color w:val="000000"/>
          <w:sz w:val="24"/>
        </w:rPr>
        <w:t>(a)    “</w:t>
      </w:r>
      <w:r>
        <w:rPr>
          <w:rFonts w:ascii="Times New Roman;sans-serif" w:hAnsi="Times New Roman;sans-serif"/>
          <w:b/>
          <w:color w:val="000000"/>
          <w:sz w:val="24"/>
        </w:rPr>
        <w:t>Affiliate</w:t>
      </w:r>
      <w:r>
        <w:rPr>
          <w:color w:val="000000"/>
        </w:rPr>
        <w:t xml:space="preserve">” </w:t>
      </w:r>
      <w:r>
        <w:rPr>
          <w:rFonts w:ascii="Times New Roman;sans-serif" w:hAnsi="Times New Roman;sans-serif"/>
          <w:b w:val="false"/>
          <w:color w:val="000000"/>
          <w:sz w:val="24"/>
        </w:rPr>
        <w:t>means, with respect to any specified Person, any other Person that directly or indirectly, through one or more intermediaries, Controls, is Controlled by, or is under common Control with, such specified Person, provided that, in any event, any business in which the Company has any direct or indirect ownership interest shall be treated as an Affiliate of the Company.</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ind w:left="0" w:right="0" w:firstLine="1440"/>
        <w:jc w:val="both"/>
        <w:rPr/>
      </w:pPr>
      <w:r>
        <w:rPr>
          <w:rFonts w:ascii="Times New Roman;sans-serif" w:hAnsi="Times New Roman;sans-serif"/>
          <w:b w:val="false"/>
          <w:color w:val="000000"/>
          <w:sz w:val="24"/>
        </w:rPr>
        <w:t>(b)    “</w:t>
      </w:r>
      <w:r>
        <w:rPr>
          <w:rFonts w:ascii="Times New Roman;sans-serif" w:hAnsi="Times New Roman;sans-serif"/>
          <w:b/>
          <w:color w:val="000000"/>
          <w:sz w:val="24"/>
        </w:rPr>
        <w:t>Control</w:t>
      </w:r>
      <w:r>
        <w:rPr>
          <w:color w:val="000000"/>
        </w:rPr>
        <w:t xml:space="preserve">” </w:t>
      </w:r>
      <w:r>
        <w:rPr>
          <w:rFonts w:ascii="Times New Roman;sans-serif" w:hAnsi="Times New Roman;sans-serif"/>
          <w:b w:val="false"/>
          <w:color w:val="000000"/>
          <w:sz w:val="24"/>
        </w:rPr>
        <w:t>means, the possession, direct or indirect, of the power to direct or cause the direction of the management and policies of a Person, whether through the ownership of voting securities, by contract or otherwise.</w:t>
      </w:r>
    </w:p>
    <w:p>
      <w:pPr>
        <w:pStyle w:val="TextBody"/>
        <w:spacing w:before="0" w:after="0"/>
        <w:jc w:val="both"/>
        <w:rPr/>
      </w:pPr>
      <w:r>
        <w:rPr/>
      </w:r>
    </w:p>
    <w:p>
      <w:pPr>
        <w:pStyle w:val="TextBody"/>
        <w:spacing w:lineRule="auto" w:line="288" w:before="0" w:after="0"/>
        <w:ind w:left="0" w:right="0" w:firstLine="1440"/>
        <w:jc w:val="both"/>
        <w:rPr/>
      </w:pPr>
      <w:r>
        <w:rPr>
          <w:rFonts w:ascii="Times New Roman;sans-serif" w:hAnsi="Times New Roman;sans-serif"/>
          <w:b w:val="false"/>
          <w:color w:val="000000"/>
          <w:sz w:val="24"/>
        </w:rPr>
        <w:t>(c)    “</w:t>
      </w:r>
      <w:r>
        <w:rPr>
          <w:rFonts w:ascii="Times New Roman;sans-serif" w:hAnsi="Times New Roman;sans-serif"/>
          <w:b/>
          <w:color w:val="000000"/>
          <w:sz w:val="24"/>
        </w:rPr>
        <w:t>Person</w:t>
      </w:r>
      <w:r>
        <w:rPr>
          <w:color w:val="000000"/>
        </w:rPr>
        <w:t xml:space="preserve">” </w:t>
      </w:r>
      <w:r>
        <w:rPr>
          <w:rFonts w:ascii="Times New Roman;sans-serif" w:hAnsi="Times New Roman;sans-serif"/>
          <w:b w:val="false"/>
          <w:color w:val="000000"/>
          <w:sz w:val="24"/>
        </w:rPr>
        <w:t>means any individual, corporation, partnership, limited liability company, firm, joint venture, association, joint-stock company, trust, unincorporated organization, governmental or regulatory body or other entity.</w:t>
      </w:r>
    </w:p>
    <w:p>
      <w:pPr>
        <w:pStyle w:val="TextBody"/>
        <w:spacing w:before="0" w:after="0"/>
        <w:jc w:val="both"/>
        <w:rPr/>
      </w:pPr>
      <w:r>
        <w:rPr/>
      </w:r>
    </w:p>
    <w:p>
      <w:pPr>
        <w:pStyle w:val="TextBody"/>
        <w:spacing w:lineRule="auto" w:line="288" w:before="0" w:after="0"/>
        <w:ind w:left="0" w:right="0" w:firstLine="1440"/>
        <w:jc w:val="both"/>
        <w:rPr/>
      </w:pPr>
      <w:r>
        <w:rPr>
          <w:rFonts w:ascii="Times New Roman;sans-serif" w:hAnsi="Times New Roman;sans-serif"/>
          <w:b w:val="false"/>
          <w:color w:val="000000"/>
          <w:sz w:val="24"/>
        </w:rPr>
        <w:t>(d)    “</w:t>
      </w:r>
      <w:r>
        <w:rPr>
          <w:rFonts w:ascii="Times New Roman;sans-serif" w:hAnsi="Times New Roman;sans-serif"/>
          <w:b/>
          <w:color w:val="000000"/>
          <w:sz w:val="24"/>
        </w:rPr>
        <w:t>Subsidiary</w:t>
      </w:r>
      <w:r>
        <w:rPr>
          <w:color w:val="000000"/>
        </w:rPr>
        <w:t xml:space="preserve">” </w:t>
      </w:r>
      <w:r>
        <w:rPr>
          <w:rFonts w:ascii="Times New Roman;sans-serif" w:hAnsi="Times New Roman;sans-serif"/>
          <w:b w:val="false"/>
          <w:color w:val="000000"/>
          <w:sz w:val="24"/>
        </w:rPr>
        <w:t>means, with respect to any Person, (i) any corporation of which at least a majority of the voting power with respect to the capital stock is owned, directly or indirectly, by such Person, any of its other Subsidiaries or any combination thereof or (ii) any Person other than a corporation in which such Person, any of its other Subsidiaries or any combination thereof has, directly or indirectly, at least a majority of the total equity or other ownership interest therein.</w:t>
      </w:r>
    </w:p>
    <w:p>
      <w:pPr>
        <w:pStyle w:val="TextBody"/>
        <w:spacing w:before="0" w:after="0"/>
        <w:rPr/>
      </w:pPr>
      <w:r>
        <w:rPr/>
      </w:r>
    </w:p>
    <w:p>
      <w:pPr>
        <w:pStyle w:val="TextBody"/>
        <w:spacing w:lineRule="auto" w:line="288" w:before="0" w:after="0"/>
        <w:ind w:left="0" w:right="0" w:hanging="360"/>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Duties and Responsibilities.</w:t>
      </w:r>
      <w:r>
        <w:rPr>
          <w:color w:val="000000"/>
        </w:rPr>
        <w:t xml:space="preserve"> </w:t>
      </w:r>
    </w:p>
    <w:p>
      <w:pPr>
        <w:pStyle w:val="TextBody"/>
        <w:spacing w:before="0" w:after="0"/>
        <w:rPr/>
      </w:pPr>
      <w:r>
        <w:rPr/>
      </w:r>
    </w:p>
    <w:p>
      <w:pPr>
        <w:pStyle w:val="TextBody"/>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Executive agrees to be employed by the Company and be actively engaged on a full-time basis in the business and activities of the Company and its Affiliates for the entirety of the Term, and, subject to Section 3(b), to devote substantially all of Executive’s working time and attention to the Company and its Affiliates and the promotion of its business and interests and the performance of Executive’s duties and responsibilities hereunder. During the Term, Executive agrees to use Executive’s reasonable best efforts to ensure that the business and activities of the Company and its Subsidiaries, that are under Executive’s direction, are conducted in accordance with the Company’s practices and/or applicable laws, rules and regulations in all material respects and as such are interpreted by the Company’s law department and compliance professionals. Executive shall be employed hereunder as ________________________, or such other title as agreed to between Executive and the Chief Executive Officer of Holdings with such duties and responsibilities customary for companies of comparable size to the Company in the Company’s industry and commensurate with Executive’s status and position hereunder and as directed from time to time by the Chief Executive Officer of Holdings. Executive shall report directly to the [Chief Executive Officer] of Holdings.</w:t>
      </w:r>
    </w:p>
    <w:p>
      <w:pPr>
        <w:pStyle w:val="TextBody"/>
        <w:spacing w:before="0" w:after="0"/>
        <w:rPr/>
      </w:pPr>
      <w:r>
        <w:rPr/>
      </w:r>
    </w:p>
    <w:p>
      <w:pPr>
        <w:pStyle w:val="TextBody"/>
        <w:spacing w:lineRule="auto" w:line="288"/>
        <w:ind w:left="0" w:right="0" w:firstLine="1440"/>
        <w:jc w:val="both"/>
        <w:rPr/>
      </w:pPr>
      <w:r>
        <w:rPr>
          <w:rFonts w:ascii="Times New Roman;sans-serif" w:hAnsi="Times New Roman;sans-serif"/>
          <w:b w:val="false"/>
          <w:color w:val="000000"/>
          <w:sz w:val="24"/>
        </w:rPr>
        <w:t>(b)    During the Term, Executive shall use Executive’s reasonable best efforts to faithfully and diligently serve the Company and shall not act in any capacity that is in conflict with Executive’s duties and responsibilities hereunder. For the avoidance of doubt, during the Term, Executive shall not be permitted to become employed by, engaged in or to render services for any Person other than the Company and its Affiliates, shall not be permitted to be a member of the board of directors of any Person (other than charitable or nonprofit organizations), in any case without the consent of the Board of Directors of Holdings (the “</w:t>
      </w:r>
      <w:r>
        <w:rPr>
          <w:rFonts w:ascii="Times New Roman;sans-serif" w:hAnsi="Times New Roman;sans-serif"/>
          <w:b/>
          <w:color w:val="000000"/>
          <w:sz w:val="24"/>
        </w:rPr>
        <w:t>Board</w:t>
      </w:r>
      <w:r>
        <w:rPr>
          <w:color w:val="000000"/>
        </w:rPr>
        <w:t>”</w:t>
      </w:r>
      <w:r>
        <w:rPr>
          <w:rFonts w:ascii="Times New Roman;sans-serif" w:hAnsi="Times New Roman;sans-serif"/>
          <w:b w:val="false"/>
          <w:color w:val="000000"/>
          <w:sz w:val="24"/>
        </w:rPr>
        <w:t xml:space="preserve">), and shall not be directly or indirectly materially engaged, or concerned or interested in any business activity, trade or occupation (other than employment with the Company and its Affiliates as contemplated by this Agreement); provided that nothing herein shall preclude Executive from engaging in charitable or community affairs and managing Executive’s personal investments to the extent </w:t>
      </w:r>
      <w:r>
        <w:br w:type="page"/>
      </w:r>
    </w:p>
    <w:p>
      <w:pPr>
        <w:pStyle w:val="TextBody"/>
        <w:spacing w:before="0" w:after="0"/>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that such other activities do not inhibit or, subject to Section 7, conflict in any material way with the performance of Executive’s duties hereunder.</w:t>
      </w:r>
    </w:p>
    <w:p>
      <w:pPr>
        <w:pStyle w:val="TextBody"/>
        <w:spacing w:before="0" w:after="0"/>
        <w:jc w:val="both"/>
        <w:rPr/>
      </w:pPr>
      <w:r>
        <w:rPr/>
      </w:r>
    </w:p>
    <w:p>
      <w:pPr>
        <w:pStyle w:val="TextBody"/>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Your principal office location is at the Company’s offices in [Manhattan, New York, NY], but You will be required to work from or to travel to other Company locations, from time to time, on a temporary basis, to perform Your duties. You shall, at all times, be subject to and bound by the policies, rules and regulations of the Company as may be updated from time to time unilaterally by the Company or as may be brought to Your notice by the Company.</w:t>
      </w:r>
    </w:p>
    <w:p>
      <w:pPr>
        <w:pStyle w:val="TextBody"/>
        <w:spacing w:before="0" w:after="0"/>
        <w:jc w:val="both"/>
        <w:rPr/>
      </w:pPr>
      <w:r>
        <w:rPr/>
      </w:r>
    </w:p>
    <w:p>
      <w:pPr>
        <w:pStyle w:val="TextBody"/>
        <w:spacing w:lineRule="auto" w:line="288" w:before="0" w:after="0"/>
        <w:ind w:left="0" w:right="0" w:hanging="360"/>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Compensation and Related Matters.</w:t>
      </w:r>
      <w:r>
        <w:rPr>
          <w:color w:val="000000"/>
        </w:rPr>
        <w:t xml:space="preserve"> </w:t>
      </w:r>
    </w:p>
    <w:p>
      <w:pPr>
        <w:pStyle w:val="TextBody"/>
        <w:spacing w:before="0" w:after="0"/>
        <w:jc w:val="both"/>
        <w:rPr/>
      </w:pPr>
      <w:r>
        <w:rPr/>
      </w:r>
    </w:p>
    <w:p>
      <w:pPr>
        <w:pStyle w:val="TextBody"/>
        <w:spacing w:lineRule="auto" w:line="288" w:before="0" w:after="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Base Compensation</w:t>
      </w:r>
      <w:r>
        <w:rPr>
          <w:rFonts w:ascii="Times New Roman;sans-serif" w:hAnsi="Times New Roman;sans-serif"/>
          <w:b w:val="false"/>
          <w:color w:val="000000"/>
          <w:sz w:val="24"/>
        </w:rPr>
        <w:t>. During the Term, for all services rendered under this Agreement, Executive shall receive an aggregate annualized base salary (“</w:t>
      </w:r>
      <w:r>
        <w:rPr>
          <w:rFonts w:ascii="Times New Roman;sans-serif" w:hAnsi="Times New Roman;sans-serif"/>
          <w:b/>
          <w:color w:val="000000"/>
          <w:sz w:val="24"/>
        </w:rPr>
        <w:t>Base Salary</w:t>
      </w:r>
      <w:r>
        <w:rPr>
          <w:color w:val="000000"/>
        </w:rPr>
        <w:t>”</w:t>
      </w:r>
      <w:r>
        <w:rPr>
          <w:rFonts w:ascii="Times New Roman;sans-serif" w:hAnsi="Times New Roman;sans-serif"/>
          <w:b w:val="false"/>
          <w:color w:val="000000"/>
          <w:sz w:val="24"/>
        </w:rPr>
        <w:t>) at a rate of ___________ per annum, payable in accordance with the Company’s applicable payroll practices. The Base Salary shall be reviewed no less frequently than annually during the Term for increase, if any, in the sole discretion of the Compensation Committee of the Board (“</w:t>
      </w:r>
      <w:r>
        <w:rPr>
          <w:rFonts w:ascii="Times New Roman;sans-serif" w:hAnsi="Times New Roman;sans-serif"/>
          <w:b/>
          <w:color w:val="000000"/>
          <w:sz w:val="24"/>
        </w:rPr>
        <w:t>Compensation Committee</w:t>
      </w:r>
      <w:r>
        <w:rPr>
          <w:color w:val="000000"/>
        </w:rPr>
        <w:t>”</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88" w:before="0" w:after="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Annual Bonus</w:t>
      </w:r>
      <w:r>
        <w:rPr>
          <w:rFonts w:ascii="Times New Roman;sans-serif" w:hAnsi="Times New Roman;sans-serif"/>
          <w:b w:val="false"/>
          <w:color w:val="000000"/>
          <w:sz w:val="24"/>
        </w:rPr>
        <w:t>. During the Term, Executive shall have the opportunity to earn a discretionary annual target bonus equivalent to ___% of Executive’s Base Salary at target (the “</w:t>
      </w:r>
      <w:r>
        <w:rPr>
          <w:rFonts w:ascii="Times New Roman;sans-serif" w:hAnsi="Times New Roman;sans-serif"/>
          <w:b/>
          <w:color w:val="000000"/>
          <w:sz w:val="24"/>
        </w:rPr>
        <w:t>Annual Bonus</w:t>
      </w:r>
      <w:r>
        <w:rPr>
          <w:color w:val="000000"/>
        </w:rPr>
        <w:t>”</w:t>
      </w:r>
      <w:r>
        <w:rPr>
          <w:rFonts w:ascii="Times New Roman;sans-serif" w:hAnsi="Times New Roman;sans-serif"/>
          <w:b w:val="false"/>
          <w:color w:val="000000"/>
          <w:sz w:val="24"/>
        </w:rPr>
        <w:t>). The actual amount of the Annual Bonus earned by Executive shall be determined in accordance with the terms of the Company’s executive bonus plan which is administered by the Compensation Committee. Any Annual Bonus due to Executive shall be paid in March for Executive’s performance during the preceding fiscal year. Subject to the terms of the Company’s bonus policy as in effect from time to time, in order to receive an Annual Bonus, Executive must (A) be actively employed by the Company, (B) not be serving any notice period relating to the anticipated termination of the employment relationship, and (C) be performing Executive’s duties in good faith on the date such Annual Bonus is paid. The Compensation Committee shall, in its sole discretion, determine the Company-wide objectives upon which the Annual Bonus shall be based and the Chief Executive Officer of the Company shall, in his or her sole discretion, determine the personal objectives upon which the Annual Bonus shall be based.</w:t>
      </w:r>
    </w:p>
    <w:p>
      <w:pPr>
        <w:pStyle w:val="TextBody"/>
        <w:spacing w:before="0" w:after="0"/>
        <w:rPr/>
      </w:pPr>
      <w:r>
        <w:rPr/>
      </w:r>
    </w:p>
    <w:p>
      <w:pPr>
        <w:pStyle w:val="TextBody"/>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[Reserved.]</w:t>
      </w:r>
    </w:p>
    <w:p>
      <w:pPr>
        <w:pStyle w:val="TextBody"/>
        <w:spacing w:before="0" w:after="0"/>
        <w:rPr/>
      </w:pPr>
      <w:r>
        <w:rPr/>
      </w:r>
    </w:p>
    <w:p>
      <w:pPr>
        <w:pStyle w:val="TextBody"/>
        <w:spacing w:lineRule="auto" w:line="288" w:before="0" w:after="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Equity Incentive Awards</w:t>
      </w:r>
      <w:r>
        <w:rPr>
          <w:rFonts w:ascii="Times New Roman;sans-serif" w:hAnsi="Times New Roman;sans-serif"/>
          <w:b w:val="false"/>
          <w:color w:val="000000"/>
          <w:sz w:val="24"/>
        </w:rPr>
        <w:t xml:space="preserve">. Executive will be eligible during the Term, subject to performance and other conditions considered by the Compensation Committee in its sole discretion, to receive an annual target equity award. Annual equity grants may be allocated between performance based RSUs and time based vesting RSUs as determined by the Compensation Committee for each fiscal year. For the current fiscal year annual equity grants for senior management are comprised [__]% of performance based RSUs and [__]% of time based vesting RSUs which vest over [four years] in the manner set forth above. </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Change in Control</w:t>
      </w:r>
      <w:r>
        <w:rPr>
          <w:rFonts w:ascii="Times New Roman;sans-serif" w:hAnsi="Times New Roman;sans-serif"/>
          <w:b w:val="false"/>
          <w:color w:val="000000"/>
          <w:sz w:val="24"/>
        </w:rPr>
        <w:t>. In the event that a Change in Control (as defined in the 2018 Omnibus Incentive Plan (the “</w:t>
      </w:r>
      <w:r>
        <w:rPr>
          <w:rFonts w:ascii="Times New Roman;sans-serif" w:hAnsi="Times New Roman;sans-serif"/>
          <w:b/>
          <w:color w:val="000000"/>
          <w:sz w:val="24"/>
        </w:rPr>
        <w:t>Plan</w:t>
      </w:r>
      <w:r>
        <w:rPr>
          <w:color w:val="000000"/>
        </w:rPr>
        <w:t>”</w:t>
      </w:r>
      <w:r>
        <w:rPr>
          <w:rFonts w:ascii="Times New Roman;sans-serif" w:hAnsi="Times New Roman;sans-serif"/>
          <w:b w:val="false"/>
          <w:color w:val="000000"/>
          <w:sz w:val="24"/>
        </w:rPr>
        <w:t>)) occurs at a time when any portion of restricted stock units or a stock option granted to Executive remains unvested, then effective upon the consummation of the Change in Control, the vesting of the portion of the restricted stock units or stock option which is not then fully vested shall accelerate such that any portion of the restricted stock units or stock option which would have become vested during the one-year period following the Change in Control shall become vested effective as of the consummation of the Change in Control. In the event that (i) Executive’s employment with the Company is terminated without Cause (A) at any time following a Change in Control or (B) in specific contemplation of a Change in Control or (ii) Executive resigns with Good Reason at any time following a Change of Control, Executive shall, upon and subject to Executive’s execution of the release referenced in Section 5(c)(ii) below that has become effective in accordance with its terms, be entitled, in addition to the severance specified in Section 5(c)(i), to immediate full vesting as of the termination date of any portion of restricted stock units or a stock option which is unvested as of the termination date.</w:t>
      </w:r>
    </w:p>
    <w:p>
      <w:pPr>
        <w:pStyle w:val="TextBody"/>
        <w:spacing w:before="0" w:after="0"/>
        <w:rPr/>
      </w:pPr>
      <w:r>
        <w:rPr/>
      </w:r>
    </w:p>
    <w:p>
      <w:pPr>
        <w:pStyle w:val="TextBody"/>
        <w:spacing w:lineRule="auto" w:line="288" w:before="0" w:after="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Benefits and Perquisites</w:t>
      </w:r>
      <w:r>
        <w:rPr>
          <w:rFonts w:ascii="Times New Roman;sans-serif" w:hAnsi="Times New Roman;sans-serif"/>
          <w:b w:val="false"/>
          <w:color w:val="000000"/>
          <w:sz w:val="24"/>
        </w:rPr>
        <w:t>. During the Term, Executive shall be entitled to participate in the benefit plans and programs commensurate with Executive’s position that are provided by the Company from time to time for its senior executives generally, subject to the terms and conditions of such plans.</w:t>
      </w:r>
    </w:p>
    <w:p>
      <w:pPr>
        <w:pStyle w:val="TextBody"/>
        <w:spacing w:before="0" w:after="0"/>
        <w:jc w:val="both"/>
        <w:rPr/>
      </w:pPr>
      <w:r>
        <w:rPr/>
      </w:r>
    </w:p>
    <w:p>
      <w:pPr>
        <w:pStyle w:val="TextBody"/>
        <w:spacing w:lineRule="auto" w:line="288" w:before="0" w:after="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Business Expense Reimbursements</w:t>
      </w:r>
      <w:r>
        <w:rPr>
          <w:rFonts w:ascii="Times New Roman;sans-serif" w:hAnsi="Times New Roman;sans-serif"/>
          <w:b w:val="false"/>
          <w:color w:val="000000"/>
          <w:sz w:val="24"/>
        </w:rPr>
        <w:t>. During the Term, the Company shall reimburse Executive for reasonable and properly documented business expenses in accordance with the Company’s then-prevailing policies and procedures for expense reimbursement.</w:t>
      </w:r>
    </w:p>
    <w:p>
      <w:pPr>
        <w:pStyle w:val="TextBody"/>
        <w:spacing w:before="0" w:after="0"/>
        <w:jc w:val="both"/>
        <w:rPr/>
      </w:pPr>
      <w:r>
        <w:rPr/>
      </w:r>
    </w:p>
    <w:p>
      <w:pPr>
        <w:pStyle w:val="TextBody"/>
        <w:spacing w:lineRule="auto" w:line="288" w:before="0" w:after="0"/>
        <w:ind w:left="0" w:right="0" w:firstLine="144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Vacation</w:t>
      </w:r>
      <w:r>
        <w:rPr>
          <w:rFonts w:ascii="Times New Roman;sans-serif" w:hAnsi="Times New Roman;sans-serif"/>
          <w:b w:val="false"/>
          <w:color w:val="000000"/>
          <w:sz w:val="24"/>
        </w:rPr>
        <w:t>. During the Term, Executive shall be entitled to annual paid vacation of no less than [four (4) weeks] and to reasonable sick leave in accordance with Company policy.</w:t>
      </w:r>
    </w:p>
    <w:p>
      <w:pPr>
        <w:pStyle w:val="TextBody"/>
        <w:spacing w:before="0" w:after="0"/>
        <w:jc w:val="both"/>
        <w:rPr/>
      </w:pPr>
      <w:r>
        <w:rPr/>
      </w:r>
    </w:p>
    <w:p>
      <w:pPr>
        <w:pStyle w:val="TextBody"/>
        <w:spacing w:lineRule="auto" w:line="288" w:before="0" w:after="0"/>
        <w:ind w:left="0" w:right="0" w:hanging="360"/>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Termination of the Term</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88"/>
        <w:ind w:left="0" w:right="0" w:firstLine="1440"/>
        <w:jc w:val="both"/>
        <w:rPr/>
      </w:pPr>
      <w:r>
        <w:rPr>
          <w:rFonts w:ascii="Times New Roman;sans-serif" w:hAnsi="Times New Roman;sans-serif"/>
          <w:b w:val="false"/>
          <w:color w:val="000000"/>
          <w:sz w:val="24"/>
        </w:rPr>
        <w:t xml:space="preserve">(a)    Executive’s employment may be terminated by either party at any time and for any reason; provided, however, that (i) the Company shall be required to give Executive at least 30 days advanced written notice if the termination is </w:t>
      </w:r>
      <w:r>
        <w:rPr>
          <w:rFonts w:ascii="Times New Roman;sans-serif" w:hAnsi="Times New Roman;sans-serif"/>
          <w:b w:val="false"/>
          <w:color w:val="000000"/>
          <w:sz w:val="24"/>
          <w:u w:val="single"/>
        </w:rPr>
        <w:t>without</w:t>
      </w:r>
      <w:r>
        <w:rPr>
          <w:color w:val="000000"/>
        </w:rPr>
        <w:t xml:space="preserve"> </w:t>
      </w:r>
      <w:r>
        <w:rPr>
          <w:rFonts w:ascii="Times New Roman;sans-serif" w:hAnsi="Times New Roman;sans-serif"/>
          <w:b w:val="false"/>
          <w:color w:val="000000"/>
          <w:sz w:val="24"/>
        </w:rPr>
        <w:t xml:space="preserve">Cause and (ii) Executive shall be required to give the Company at least 90 days advance written notice of any resignation of Executive’s employment hereunder. For the avoidance of doubt, the Company shall not be required to give Executive any notice if the termination is for Cause. The Employment terminates at the end of the applicable notice period, if any. During the notice period, the Company reserves the right, in its sole discretion, to (x) alter, reduce, or eliminate any of the Executive’s duties, (y) require the Executive to remain away from the Company’s premises (and/or restrict the Executive’s access to the Company’s network, computers and email systems), and/or (z) take any such other action as may be necessary to facilitate the transition process associated with the termination of the Executive’s employment. During the notice period, the Executive acknowledges and agrees that Executive will remain employed by the Company and, as a Company employee, shall continue to act in a manner consistent with the Executive’s </w:t>
      </w:r>
      <w:r>
        <w:br w:type="page"/>
      </w:r>
    </w:p>
    <w:p>
      <w:pPr>
        <w:pStyle w:val="TextBody"/>
        <w:spacing w:before="0" w:after="0"/>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contractual, common law and other legal obligations to the Company, including adhering to the Company’s policies and, if requested to do so by the Company, shall assist in the transition of Executive’s duties as reasonably requested by the Company. Notwithstanding the foregoing, Executive’s employment shall automatically terminate upon Executive’s death.</w:t>
      </w:r>
    </w:p>
    <w:p>
      <w:pPr>
        <w:pStyle w:val="TextBody"/>
        <w:spacing w:before="0" w:after="0"/>
        <w:jc w:val="both"/>
        <w:rPr/>
      </w:pPr>
      <w:r>
        <w:rPr/>
      </w:r>
    </w:p>
    <w:p>
      <w:pPr>
        <w:pStyle w:val="TextBody"/>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Following any termination of Executive’s employment, notwithstanding any provision to the contrary in this Agreement, the obligations of the Company to pay or provide Executive with compensation and benefits under Section 4 shall cease, and the Company shall have no further obligations to provide compensation or benefits to Executive hereunder except (i) for payment of any accrued but unpaid Base Salary and vacation time and for payment of any accrued obligations and unreimbursed expenses under Section 4(g) accrued or incurred through the date of termination of employment, (ii) as explicitly set forth in any other benefit plans, programs or arrangements applicable to terminated employees in which Executive participates, other than severance plans or policies and (iii) as otherwise expressly required by applicable statute. For the avoidance of doubt, (x) any unpaid Annual Bonus is forfeited if Executive’s employment is terminated for any reason and (y) the date of termination shall mean the last date of actual and active employment, whether such day is selected by mutual agreement with the Executive or unilaterally by the Company and whether with or without advance notice.</w:t>
      </w:r>
    </w:p>
    <w:p>
      <w:pPr>
        <w:pStyle w:val="TextBody"/>
        <w:spacing w:before="0" w:after="0"/>
        <w:rPr/>
      </w:pPr>
      <w:r>
        <w:rPr/>
      </w:r>
    </w:p>
    <w:p>
      <w:pPr>
        <w:pStyle w:val="TextBody"/>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(i)    If Executive’s employment is terminated by the Company without Cause (other than due to death or Disability), or by Executive for Good Reason, Executive shall be entitled to receive severance payments in an aggregate amount equal to [12 months] Base Salary, payable as follows: (A) a lump sum payment equal to [three] months’ Base Salary shall be paid in the first payroll that is as least [10] days after the termination date, and (B) a continuing payment (per the Company’s payroll policies and practices) of Executive’s Base Salary for a consecutive [nine-month] period commencing on the third month following the termination date. The amounts payable under this Section 5(c)(i) are inclusive of any statutory notice, pay in lieu of notice and statutory severance entitlements, if any, and any amounts required to be paid to Executive in the event a court of competent jurisdiction determines Executive has been constructively dismissed from employment.</w:t>
      </w:r>
    </w:p>
    <w:p>
      <w:pPr>
        <w:pStyle w:val="TextBody"/>
        <w:spacing w:before="0" w:after="0"/>
        <w:jc w:val="both"/>
        <w:rPr/>
      </w:pPr>
      <w:r>
        <w:rPr/>
      </w:r>
    </w:p>
    <w:p>
      <w:pPr>
        <w:pStyle w:val="TextBody"/>
        <w:spacing w:lineRule="auto" w:line="288" w:before="0" w:after="0"/>
        <w:ind w:left="0" w:right="0" w:firstLine="1440"/>
        <w:jc w:val="both"/>
        <w:rPr/>
      </w:pPr>
      <w:r>
        <w:rPr>
          <w:rFonts w:ascii="Times New Roman;sans-serif" w:hAnsi="Times New Roman;sans-serif"/>
          <w:b w:val="false"/>
          <w:color w:val="000000"/>
          <w:sz w:val="24"/>
        </w:rPr>
        <w:t>(ii) Any severance payments or benefits under Section 5(b)(ii) and 5(c)(i) shall be (A) conditioned upon Executive having provided within 30 days following Executive’s separation from service an irrevocable waiver and general release of claims in favor of the Company and its respective Affiliates, their respective predecessors and successors, and all of the respective current or former directors, officers, employees, shareholders, partners, members, agents or representatives of any of the foregoing (collectively, the “</w:t>
      </w:r>
      <w:r>
        <w:rPr>
          <w:rFonts w:ascii="Times New Roman;sans-serif" w:hAnsi="Times New Roman;sans-serif"/>
          <w:b/>
          <w:color w:val="000000"/>
          <w:sz w:val="24"/>
        </w:rPr>
        <w:t>Released Parties</w:t>
      </w:r>
      <w:r>
        <w:rPr>
          <w:color w:val="000000"/>
        </w:rPr>
        <w:t>”</w:t>
      </w:r>
      <w:r>
        <w:rPr>
          <w:rFonts w:ascii="Times New Roman;sans-serif" w:hAnsi="Times New Roman;sans-serif"/>
          <w:b w:val="false"/>
          <w:color w:val="000000"/>
          <w:sz w:val="24"/>
        </w:rPr>
        <w:t>), in a form reasonably satisfactory to the Company, that has become effective in accordance with its terms, (B) subject to Executive’s continued compliance with the terms of the restrictive covenants in Sections 7, 8, 9 and 10 of this Agreement and (C) subject to the provisions of Section 19(d) of this Agreement.</w:t>
      </w:r>
    </w:p>
    <w:p>
      <w:pPr>
        <w:pStyle w:val="TextBody"/>
        <w:spacing w:before="0" w:after="0"/>
        <w:jc w:val="both"/>
        <w:rPr/>
      </w:pPr>
      <w:r>
        <w:rPr/>
      </w:r>
    </w:p>
    <w:p>
      <w:pPr>
        <w:pStyle w:val="TextBody"/>
        <w:spacing w:lineRule="auto" w:line="288"/>
        <w:ind w:left="0" w:right="0" w:firstLine="1440"/>
        <w:jc w:val="both"/>
        <w:rPr/>
      </w:pPr>
      <w:r>
        <w:rPr>
          <w:rFonts w:ascii="Times New Roman;sans-serif" w:hAnsi="Times New Roman;sans-serif"/>
          <w:b w:val="false"/>
          <w:color w:val="000000"/>
          <w:sz w:val="24"/>
        </w:rPr>
        <w:t>(iii) For purposes of this Agreement, “</w:t>
      </w:r>
      <w:r>
        <w:rPr>
          <w:rFonts w:ascii="Times New Roman;sans-serif" w:hAnsi="Times New Roman;sans-serif"/>
          <w:b/>
          <w:color w:val="000000"/>
          <w:sz w:val="24"/>
        </w:rPr>
        <w:t>Cause</w:t>
      </w:r>
      <w:r>
        <w:rPr>
          <w:color w:val="000000"/>
        </w:rPr>
        <w:t xml:space="preserve">” </w:t>
      </w:r>
      <w:r>
        <w:rPr>
          <w:rFonts w:ascii="Times New Roman;sans-serif" w:hAnsi="Times New Roman;sans-serif"/>
          <w:b w:val="false"/>
          <w:color w:val="000000"/>
          <w:sz w:val="24"/>
        </w:rPr>
        <w:t xml:space="preserve">means: (A) a final non-appealable conviction of, or a pleading of no contest to, (x) a crime of moral turpitude which causes serious economic injury or serious injury to the Company’s reputation or (y) a felony; (B) fraud, </w:t>
      </w:r>
      <w:r>
        <w:br w:type="page"/>
      </w:r>
    </w:p>
    <w:p>
      <w:pPr>
        <w:pStyle w:val="TextBody"/>
        <w:spacing w:before="0" w:after="0"/>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embezzlement, gross negligence, self-dealing, dishonesty or other gross and willful misconduct which has caused serious and demonstrable injury to the Company; (C) material violation by Executive of any material Company policy applicable to Executive; (D) willful and continuing failure to substantially perform Executive’s duties (other than for reason of physical or mental incapacity) which failure to perform continues beyond fifteen (15) days after a written demand for substantial improvement in Executive’s performance, identifying specifically and in detail the manner in which improvement is sought, is delivered to Executive by the Company; provided that a failure to achieve performance objectives shall not by itself constitute Cause and no act or failure to act by Executive shall be considered “willful” unless done or failed to be done by Executive in bad faith and without a reasonable belief that Executive’s actions or omission was in the best interest of the Company; (E) Executive’s failure to reasonably cooperate in an investigation involving the Company by any governmental authority; (F) Executive’s material, knowing and intentional failure to comply with applicable laws with respect to the execution of the Company’s business operations, including, without limitation, a knowing and intentional failure to comply with the Prevention of Corruption Act of India, 1988, or the United States Foreign Corrupt Practices Act of 1977, as amended; provided, that, if all of the following conditions exist, there will be a presumption that Executive have acted in accordance with such applicable laws: Executive is following, in good faith, the written advice of counsel, such counsel having been approved by the Board as outside counsel to the Company for regulatory and compliance matters, in the form of a legal memorandum or a written legal opinion, and Executive has, in good faith, provided to such counsel all accurate and truthful facts necessary for such counsel to render such legal memorandum or written legal opinion; (G) Executive’s failure to follow the lawful directives of Executive’s supervisor which is not remedied within fifteen (15) days after Executive’s receipt of written notice from the Company specifying such failure; or (H) Executive’s use of alcohol or drugs which materially interferes with the performance of Executive’s duties.</w:t>
      </w:r>
    </w:p>
    <w:p>
      <w:pPr>
        <w:pStyle w:val="TextBody"/>
        <w:spacing w:before="0" w:after="0"/>
        <w:rPr/>
      </w:pPr>
      <w:r>
        <w:rPr/>
      </w:r>
    </w:p>
    <w:p>
      <w:pPr>
        <w:pStyle w:val="TextBody"/>
        <w:spacing w:lineRule="auto" w:line="288" w:before="0" w:after="0"/>
        <w:ind w:left="0" w:right="0" w:firstLine="1440"/>
        <w:jc w:val="both"/>
        <w:rPr/>
      </w:pPr>
      <w:r>
        <w:rPr>
          <w:rFonts w:ascii="Times New Roman;sans-serif" w:hAnsi="Times New Roman;sans-serif"/>
          <w:b w:val="false"/>
          <w:color w:val="000000"/>
          <w:sz w:val="24"/>
        </w:rPr>
        <w:t>(iv) “</w:t>
      </w:r>
      <w:r>
        <w:rPr>
          <w:rFonts w:ascii="Times New Roman;sans-serif" w:hAnsi="Times New Roman;sans-serif"/>
          <w:b/>
          <w:color w:val="000000"/>
          <w:sz w:val="24"/>
        </w:rPr>
        <w:t>Good Reason</w:t>
      </w:r>
      <w:r>
        <w:rPr>
          <w:color w:val="000000"/>
        </w:rPr>
        <w:t xml:space="preserve">” </w:t>
      </w:r>
      <w:r>
        <w:rPr>
          <w:rFonts w:ascii="Times New Roman;sans-serif" w:hAnsi="Times New Roman;sans-serif"/>
          <w:b w:val="false"/>
          <w:color w:val="000000"/>
          <w:sz w:val="24"/>
        </w:rPr>
        <w:t>shall mean the occurrence, without Executive’s prior written consent, of any of the following events: (A) a substantial reduction of Executive’s duties or responsibilities or change in reporting relationship to anyone other than the Board or the Chief Executive Officer; (B) Executive’s job title and authority as an officer of the Company is adversely changed, provided that if there is a “Change of Control” (as defined in the Plan) and Executive retains similar title and similar authority with the Company or any entity that acquires the Company (or any affiliate or subsidiary of such entity) following such Change of Control, the parties agree that any change in Executive’s title shall not constitute a significant reduction of Executive’s duties and authorities hereunder; (C) a change in the office or location where Executive is based of more than fifty (50) miles which new location is more than fifty (50) miles from [Manhattan, New York, NY]; (D) a breach by the Company of any material term of this Agreement; provided that, a termination by Executive with Good Reason shall be effective only if, within 30 days following Executive’s first becoming aware of the circumstances giving rise to Good Reason, Executive delivers a “Notice of Termination” for Good Reason by Executive to the Company, and the Company within 30 days following its receipt of such notification has failed to cure the circumstances giving rise to Good Reason.</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ind w:left="0" w:right="0" w:firstLine="1440"/>
        <w:jc w:val="both"/>
        <w:rPr/>
      </w:pPr>
      <w:r>
        <w:rPr>
          <w:rFonts w:ascii="Times New Roman;sans-serif" w:hAnsi="Times New Roman;sans-serif"/>
          <w:b w:val="false"/>
          <w:color w:val="000000"/>
          <w:sz w:val="24"/>
        </w:rPr>
        <w:t>(v) For purposes of this Agreement, “</w:t>
      </w:r>
      <w:r>
        <w:rPr>
          <w:rFonts w:ascii="Times New Roman;sans-serif" w:hAnsi="Times New Roman;sans-serif"/>
          <w:b/>
          <w:color w:val="000000"/>
          <w:sz w:val="24"/>
        </w:rPr>
        <w:t>Disability</w:t>
      </w:r>
      <w:r>
        <w:rPr>
          <w:color w:val="000000"/>
        </w:rPr>
        <w:t xml:space="preserve">” </w:t>
      </w:r>
      <w:r>
        <w:rPr>
          <w:rFonts w:ascii="Times New Roman;sans-serif" w:hAnsi="Times New Roman;sans-serif"/>
          <w:b w:val="false"/>
          <w:color w:val="000000"/>
          <w:sz w:val="24"/>
        </w:rPr>
        <w:t>means Executive’s incapacity, due to mental, physical or emotional injury or illness, such that Executive is substantially unable to perform Executive’s duties hereunder for a period of six (6) consecutive months.</w:t>
      </w:r>
    </w:p>
    <w:p>
      <w:pPr>
        <w:pStyle w:val="TextBody"/>
        <w:spacing w:before="0" w:after="0"/>
        <w:jc w:val="both"/>
        <w:rPr/>
      </w:pPr>
      <w:r>
        <w:rPr/>
      </w:r>
    </w:p>
    <w:p>
      <w:pPr>
        <w:pStyle w:val="TextBody"/>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Upon termination of Executive’s employment for any reason, and regardless of whether Executive continues as a consultant to the Company, upon the Company’s request Executive agrees to resign, as of the date of such termination of employment or such other date requested, from any applicable board of directors (and any committees thereof) of any Affiliate of the Company to the extent Executive is then serving thereon.</w:t>
      </w:r>
    </w:p>
    <w:p>
      <w:pPr>
        <w:pStyle w:val="TextBody"/>
        <w:spacing w:before="0" w:after="0"/>
        <w:jc w:val="both"/>
        <w:rPr/>
      </w:pPr>
      <w:r>
        <w:rPr/>
      </w:r>
    </w:p>
    <w:p>
      <w:pPr>
        <w:pStyle w:val="TextBody"/>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The payment of any amounts accrued under any benefit plan, program or arrangement in which Executive participates shall be subject to the terms of the applicable plan, program or arrangement, and any elections Executive has made thereunder. Subject to Section 19, the Company may offset any amounts due and payable by Executive to the Company or its Subsidiaries against any amounts the Company owes Executive hereunder.</w:t>
      </w:r>
    </w:p>
    <w:p>
      <w:pPr>
        <w:pStyle w:val="TextBody"/>
        <w:spacing w:before="0" w:after="0"/>
        <w:rPr/>
      </w:pPr>
      <w:r>
        <w:rPr/>
      </w:r>
    </w:p>
    <w:p>
      <w:pPr>
        <w:pStyle w:val="TextBody"/>
        <w:spacing w:lineRule="auto" w:line="288" w:before="0" w:after="0"/>
        <w:ind w:left="0" w:right="0" w:hanging="360"/>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Acknowledgments</w:t>
      </w:r>
      <w:r>
        <w:rPr>
          <w:rFonts w:ascii="Times New Roman;sans-serif" w:hAnsi="Times New Roman;sans-serif"/>
          <w:b w:val="false"/>
          <w:color w:val="000000"/>
          <w:sz w:val="24"/>
        </w:rPr>
        <w:t xml:space="preserve">. </w:t>
      </w:r>
    </w:p>
    <w:p>
      <w:pPr>
        <w:pStyle w:val="TextBody"/>
        <w:spacing w:before="0" w:after="0"/>
        <w:rPr/>
      </w:pPr>
      <w:r>
        <w:rPr/>
      </w:r>
    </w:p>
    <w:p>
      <w:pPr>
        <w:pStyle w:val="TextBody"/>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Executive acknowledges that the Company has expended and shall continue to expend substantial amounts of time, money and effort to develop business strategies, employee and customer relationships and goodwill and build an effective organization. Executive acknowledges that Executive is and shall become familiar with the Company’s Confidential Information (as defined below), including trade secrets, and that Executive’s services are of special, unique and extraordinary value to the Company, its Subsidiaries and Affiliates. Executive acknowledges that the Company has a legitimate business interest and right in protecting its Confidential Information, business strategies, employee and customer relationships and goodwill, and that the Company would be seriously damaged by the disclosure of Confidential Information and the loss or deterioration of its business strategies, employee and customer relationships and goodwill. Executive acknowledges that Executive’s agreement to enter into this Agreement and be bound by the service commitments set forth herein and the restrictive covenants and agreements set forth in Sections 7, 8, 9 and 10 hereof, is a material inducement to the Company’s willingness to enter into this Agreement, and the Company would not otherwise enter into this Agreement if Executive did not agree to be bound by the commitments set forth herein and the restrictive covenants and agreements set forth in Sections 7, 8, 9 and 10 hereof, and make the commitments to the Company set forth herein.</w:t>
      </w:r>
    </w:p>
    <w:p>
      <w:pPr>
        <w:pStyle w:val="TextBody"/>
        <w:spacing w:before="0" w:after="0"/>
        <w:jc w:val="both"/>
        <w:rPr/>
      </w:pPr>
      <w:r>
        <w:rPr/>
      </w:r>
    </w:p>
    <w:p>
      <w:pPr>
        <w:pStyle w:val="TextBody"/>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Executive acknowledges (i) that the business of the Company and its Affiliates is global in scope, without geographical limitation, and capable of being performed from anywhere in the world, and (ii) notwithstanding the jurisdiction of formation or principal office of the Company, or the location of any of their respective executives or employees (including, without limitation, Executive), the Company and its Affiliates have business activities and have valuable business relationships within their respective industries throughout the world.</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Executive acknowledges that Executive has carefully read this Agreement and has given careful consideration to the restraints imposed upon Executive by this Agreement, and is in full accord as to the necessity of such restraints for the reasonable and proper protection of the Confidential Information, business strategies, employee and customer relationships and goodwill of the Company and its Affiliates now existing or to be developed in the future. Executive expressly acknowledges and agrees that each and every commitment and restraint imposed by this Agreement is reasonable with respect to subject matter, time period and geographical area, in light of (i) the scope of the business of the Company and its Affiliates, (ii) the importance of Executive to the business of the Company and its Affiliates, (iii) Executive’s status as an officer of the Company business, (iv) Executive’s knowledge of the business of the Company and its Affiliates and (v) Executive’s relationships with the Company’s clients or customers. Accordingly, Executive agrees (x) to be bound by the provisions of Sections 7, 8, 9 and 10, it being the intent and spirit that such provisions be valid and enforceable in all respects and (y) acknowledges and agrees that Executive shall not object to the Company, or any of its successors in interest enforcing Sections 7, 8, 9 and 10 of this Agreement. Executive further acknowledges that although Executive’s compliance with the covenants contained in Sections 7, 8, 9 and 10 may prevent Executive from earning a livelihood in a business similar to the business of the Company, Executive’s experience and capabilities are such that Executive has other opportunities to earn a livelihood and adequate means of support for Executive and Executive’s dependents.</w:t>
      </w:r>
    </w:p>
    <w:p>
      <w:pPr>
        <w:pStyle w:val="TextBody"/>
        <w:spacing w:before="0" w:after="0"/>
        <w:jc w:val="both"/>
        <w:rPr/>
      </w:pPr>
      <w:r>
        <w:rPr/>
      </w:r>
    </w:p>
    <w:p>
      <w:pPr>
        <w:pStyle w:val="TextBody"/>
        <w:spacing w:lineRule="auto" w:line="288" w:before="0" w:after="0"/>
        <w:ind w:left="0" w:right="0" w:hanging="360"/>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Noncompetition and Nonsolicitation</w:t>
      </w:r>
      <w:r>
        <w:rPr>
          <w:rFonts w:ascii="Times New Roman;sans-serif" w:hAnsi="Times New Roman;sans-serif"/>
          <w:b w:val="false"/>
          <w:color w:val="000000"/>
          <w:sz w:val="24"/>
        </w:rPr>
        <w:t xml:space="preserve">. </w:t>
      </w:r>
    </w:p>
    <w:p>
      <w:pPr>
        <w:pStyle w:val="TextBody"/>
        <w:spacing w:before="0" w:after="0"/>
        <w:jc w:val="both"/>
        <w:rPr/>
      </w:pPr>
      <w:r>
        <w:rPr/>
      </w:r>
    </w:p>
    <w:p>
      <w:pPr>
        <w:pStyle w:val="TextBody"/>
        <w:spacing w:lineRule="auto" w:line="288"/>
        <w:ind w:left="0" w:right="0" w:firstLine="1440"/>
        <w:jc w:val="both"/>
        <w:rPr/>
      </w:pPr>
      <w:r>
        <w:rPr>
          <w:rFonts w:ascii="Times New Roman;sans-serif" w:hAnsi="Times New Roman;sans-serif"/>
          <w:b w:val="false"/>
          <w:color w:val="000000"/>
          <w:sz w:val="24"/>
        </w:rPr>
        <w:t>(a)    Executive acknowledges that the services Executive are to render to the Company are of a special and unusual character, with a unique value to the Company, the loss of which cannot adequately be compensated by damages or an action at law. In view of the unique value to the Company, its Subsidiaries and Affiliates (collectively, the “</w:t>
      </w:r>
      <w:r>
        <w:rPr>
          <w:rFonts w:ascii="Times New Roman;sans-serif" w:hAnsi="Times New Roman;sans-serif"/>
          <w:b/>
          <w:color w:val="000000"/>
          <w:sz w:val="24"/>
        </w:rPr>
        <w:t>Group</w:t>
      </w:r>
      <w:r>
        <w:rPr>
          <w:color w:val="000000"/>
        </w:rPr>
        <w:t>”</w:t>
      </w:r>
      <w:r>
        <w:rPr>
          <w:rFonts w:ascii="Times New Roman;sans-serif" w:hAnsi="Times New Roman;sans-serif"/>
          <w:b w:val="false"/>
          <w:color w:val="000000"/>
          <w:sz w:val="24"/>
        </w:rPr>
        <w:t xml:space="preserve">) of the services of Executive for which the Company has contracted hereunder, because of the confidential information to be obtained by, or disclosed to, Executive as herein above set forth, Executive covenants and agrees that during Executive’s employment and during the Non-Competition Period (as defined below) Executive shall not, directly or indirectly, enter into the employment of, tender consulting or other services to, acquire any interest in (whether for Executive’s own account as an individual proprietor, or as a partner, associate, stockholder, officer, director, trustee or otherwise), or otherwise participate in any business that competes, directly or indirectly, with any member of the Group (i) in the same lines of business in the industry that the members of the Group are engaged in at the time Executive’s employment is terminated, or if Executive is an employee of any member of the Group, at the time Executive is accused of being in competition with any of the Group pursuant to this Agreement; (ii) in the provision of the business processes provided by the Group at the time Executive’s employment is terminated, or if Executive is an employee of any member of the Group, at the time Executive is accused of being in competition with any member of the Group pursuant to this Agreement; (iii) in the provision of business processes that any of the Group has taken substantial steps to provide to customers at the time Executive’s employment is terminated, or if Executive is an employee of any of the Group, at the time Executive is accused of being in competition with any of the Group pursuant to this Agreement; or (iv) in the provision of business processes that any of the Group </w:t>
      </w:r>
      <w:r>
        <w:br w:type="page"/>
      </w:r>
    </w:p>
    <w:p>
      <w:pPr>
        <w:pStyle w:val="TextBody"/>
        <w:spacing w:before="0" w:after="0"/>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both"/>
        <w:rPr/>
      </w:pPr>
      <w:r>
        <w:rPr>
          <w:rFonts w:ascii="Times New Roman;sans-serif" w:hAnsi="Times New Roman;sans-serif"/>
          <w:b w:val="false"/>
          <w:color w:val="000000"/>
          <w:sz w:val="24"/>
        </w:rPr>
        <w:t>are in the process of marketing to existing or potential clients that any of the Group are taking measures to retain as clients of the Group, at the time Executive’s employment is terminated, or if Executive are an employee of any of the Group, at the time Executive is accused of being in competition with any of the Group pursuant to this Agreement, during Executive’s employment with the Group. Executive and the Company acknowledge that clauses (ii), (iii) and (iv) in the immediately preceding sentence shall not be deemed or interpreted to narrow or otherwise limit the scope of clause (i) of such sentence. For purposes of this Agreement, the “</w:t>
      </w:r>
      <w:r>
        <w:rPr>
          <w:rFonts w:ascii="Times New Roman;sans-serif" w:hAnsi="Times New Roman;sans-serif"/>
          <w:b/>
          <w:color w:val="000000"/>
          <w:sz w:val="24"/>
        </w:rPr>
        <w:t>Non-Competition Period</w:t>
      </w:r>
      <w:r>
        <w:rPr>
          <w:color w:val="000000"/>
        </w:rPr>
        <w:t xml:space="preserve">” </w:t>
      </w:r>
      <w:r>
        <w:rPr>
          <w:rFonts w:ascii="Times New Roman;sans-serif" w:hAnsi="Times New Roman;sans-serif"/>
          <w:b w:val="false"/>
          <w:color w:val="000000"/>
          <w:sz w:val="24"/>
        </w:rPr>
        <w:t>shall be the one year period following Executive’s termination of employment for any reason.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the foregoing, nothing in this Agreement shall prevent (A) the purchase or ownership by Executive of up to two percent (2%) in the aggregate of any class of securities of any entity if such securities (i) are listed on a national securities exchange or (ii) are registered under Section 12(g) of the Securities Exchange Act of 1934; or (B) the direct or indirect ownership of securities of a private company; provided that, Executive is only a passive investor in such company (having no role, duty or responsibility whatsoever in the management, operations or direction of such company) and owns no more than five percent (5%) in the aggregate of any securities of such company. If Executive’s employment with the Company is terminated for any reason, and after such termination Executive wish to take any action, including without limitation, taking a position with another company, which action could potentially be deemed a violation of this Agreement, Executive shall have the right, after providing the Board with all relevant information, to request a consent to such action from the Board which consent shall not be unreasonably withheld. The Board shall respond to Executive’s request by granting or denying such consent within not more than 30 calendar days from the date the Company receives written notice of such request from Executive. </w:t>
      </w:r>
    </w:p>
    <w:p>
      <w:pPr>
        <w:pStyle w:val="TextBody"/>
        <w:spacing w:before="0" w:after="0"/>
        <w:jc w:val="both"/>
        <w:rPr/>
      </w:pPr>
      <w:r>
        <w:rPr/>
      </w:r>
    </w:p>
    <w:p>
      <w:pPr>
        <w:pStyle w:val="TextBody"/>
        <w:spacing w:lineRule="auto" w:line="288"/>
        <w:ind w:left="0" w:right="0" w:firstLine="1440"/>
        <w:jc w:val="both"/>
        <w:rPr/>
      </w:pPr>
      <w:r>
        <w:rPr>
          <w:rFonts w:ascii="Times New Roman;sans-serif" w:hAnsi="Times New Roman;sans-serif"/>
          <w:b w:val="false"/>
          <w:color w:val="000000"/>
          <w:sz w:val="24"/>
        </w:rPr>
        <w:t>(b)    During Executive’s employment with the Group and for a period of one year thereafter Executive shall make no unfavorable, disparaging or negative comment, remark or statement, whether written or oral (a “</w:t>
      </w:r>
      <w:r>
        <w:rPr>
          <w:rFonts w:ascii="Times New Roman;sans-serif" w:hAnsi="Times New Roman;sans-serif"/>
          <w:b/>
          <w:color w:val="000000"/>
          <w:sz w:val="24"/>
        </w:rPr>
        <w:t>Disparaging Statement</w:t>
      </w:r>
      <w:r>
        <w:rPr>
          <w:color w:val="000000"/>
        </w:rPr>
        <w:t>”</w:t>
      </w:r>
      <w:r>
        <w:rPr>
          <w:rFonts w:ascii="Times New Roman;sans-serif" w:hAnsi="Times New Roman;sans-serif"/>
          <w:b w:val="false"/>
          <w:color w:val="000000"/>
          <w:sz w:val="24"/>
        </w:rPr>
        <w:t xml:space="preserve">), about the Company or any of its affiliates, officers, directors, shareholders, consultants, or employees; provided that, Executive may give truthful testimony before a court, governmental agency, arbitration panel, or similar person or body with apparent jurisdiction and may discuss such matters in confidence with Executive’s attorney(s) and other professional advisors. Similarly, during the foregoing period, the Company and its officers and directors (acting in their capacity as officers and directors of the Company) shall make no disparaging statement about Executive; provided that, any officer or director may give truthful testimony before a court, governmental agency, arbitration panel, or similar person or body with apparent jurisdiction and may discuss such matters in confidence with their or the Company’s attorney(s) and other professional advisors. On and after the date hereof, during Executive’s employment and for one year following termination of Executive’s employment, Executive may not directly or indirectly (i) solicit, encourage, or induce or attempt to solicit, encourage, or induce any (A) current employee, marketing agent, or consultant of any of the Group to terminate his or her employment, agency, or consultancy with any member of the Group or (B) prospective employee with whom the Company has had discussions or negotiations within six months prior to Executive’s termination of employment not to establish a relationship with any of the Group, (ii) induce or attempt to </w:t>
      </w:r>
      <w:r>
        <w:br w:type="page"/>
      </w:r>
    </w:p>
    <w:p>
      <w:pPr>
        <w:pStyle w:val="TextBody"/>
        <w:spacing w:before="0" w:after="0"/>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induce any current customer to terminate its relationship with any of the Group, or (iii) induce any potential customer with whom the Company has had discussions or negotiations within six months prior to Executive’s termination of employment not to establish a relationship with any of the Group.</w:t>
      </w:r>
    </w:p>
    <w:p>
      <w:pPr>
        <w:pStyle w:val="TextBody"/>
        <w:spacing w:before="0" w:after="0"/>
        <w:rPr/>
      </w:pPr>
      <w:r>
        <w:rPr/>
      </w:r>
    </w:p>
    <w:p>
      <w:pPr>
        <w:pStyle w:val="TextBody"/>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If a final and non-appealable judicial determination is made by a court of competent jurisdiction that any of the provisions of this Section 7 constitutes an unreasonable or otherwise unenforceable restriction against Executive, the provisions of this Section 7 will not be rendered void but will be deemed to be modified to the minimum extent necessary to remain in force and effect for the longest period and largest geographic area that would not constitute such an unreasonable or unenforceable restriction (and such court shall have the power to reduce the duration or restrict or redefine the geographic scope of such provision and to enforce such provision as so reduced, restricted or redefined).</w:t>
      </w:r>
    </w:p>
    <w:p>
      <w:pPr>
        <w:pStyle w:val="TextBody"/>
        <w:spacing w:before="0" w:after="0"/>
        <w:jc w:val="both"/>
        <w:rPr/>
      </w:pPr>
      <w:r>
        <w:rPr/>
      </w:r>
    </w:p>
    <w:p>
      <w:pPr>
        <w:pStyle w:val="TextBody"/>
        <w:spacing w:lineRule="auto" w:line="288" w:before="0" w:after="0"/>
        <w:ind w:left="0" w:right="0" w:hanging="360"/>
        <w:rPr/>
      </w:pPr>
      <w:r>
        <w:rPr>
          <w:rFonts w:ascii="Times New Roman;sans-serif" w:hAnsi="Times New Roman;sans-serif"/>
          <w:b w:val="false"/>
          <w:color w:val="000000"/>
          <w:sz w:val="24"/>
        </w:rPr>
        <w:t>8.    </w:t>
      </w:r>
      <w:r>
        <w:rPr>
          <w:rFonts w:ascii="Times New Roman;sans-serif" w:hAnsi="Times New Roman;sans-serif"/>
          <w:b w:val="false"/>
          <w:color w:val="000000"/>
          <w:sz w:val="24"/>
          <w:u w:val="single"/>
        </w:rPr>
        <w:t>Confidential Information and Trade Secrets</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88"/>
        <w:ind w:left="0" w:right="0" w:firstLine="1440"/>
        <w:jc w:val="both"/>
        <w:rPr/>
      </w:pPr>
      <w:r>
        <w:rPr>
          <w:rFonts w:ascii="Times New Roman;sans-serif" w:hAnsi="Times New Roman;sans-serif"/>
          <w:b w:val="false"/>
          <w:color w:val="000000"/>
          <w:sz w:val="24"/>
        </w:rPr>
        <w:t>(a)    Access to Confidential Information and Trade Secrets. You understand and acknowledge that as an employee of the Company, You will learn or have access to, or may assist in the development of, highly confidential and sensitive information and trade secrets about the Company, its operations and its clients or prospective clients. “</w:t>
      </w:r>
      <w:r>
        <w:rPr>
          <w:rFonts w:ascii="Times New Roman;sans-serif" w:hAnsi="Times New Roman;sans-serif"/>
          <w:b/>
          <w:color w:val="000000"/>
          <w:sz w:val="24"/>
        </w:rPr>
        <w:t>Confidential Information</w:t>
      </w:r>
      <w:r>
        <w:rPr>
          <w:color w:val="000000"/>
        </w:rPr>
        <w:t xml:space="preserve">” </w:t>
      </w:r>
      <w:r>
        <w:rPr>
          <w:rFonts w:ascii="Times New Roman;sans-serif" w:hAnsi="Times New Roman;sans-serif"/>
          <w:b w:val="false"/>
          <w:color w:val="000000"/>
          <w:sz w:val="24"/>
        </w:rPr>
        <w:t>includes without limitation: (i) financial and business information relating to the Company, such as information with respect to costs, commissions, fees, profits, sales, markets, mailing lists, strategies and plans for future business, new business, product or other development, potential acquisitions or divestitures, and new marketing ideas; (ii) product and technical information relating to the Company, such as product and service formulations, new and innovative product and service ideas, methods, procedures, devices, machines, equipment, data processing programs, software, software codes, know-how, computer models, and research and development projects; (iii) client information, such as the identity of the Company’s clients, the names of representatives of the Company’s clients responsible for entering into contracts with the Company, the amounts paid by such clients to the Company, specific client needs and requirements; (iv) information regarding prospective clients, such as the identity of prospective clients, the names of representatives of the prospective clients responsible for entering into contracts with the Company, the amounts proposed to paid by such prospective clients to the Company, specific needs and requirements of such prospective clients; (v) details of company policies and personnel information, such as the identity and number of the Company’s other employees, their salaries, bonuses, benefits, skills, qualifications, and abilities; (vi) any and all information in whatever form relating to any client or prospective client of the Company, including without limitation its business, employees, operations, systems, assets, liabilities, finances, products, and marketing, selling and operating practices; (vii) any information which You know or should know is subject to a restriction on disclosure or which You know or should know is considered by the Company or the Company’s clients or prospective clients to be confidential, sensitive, proprietary, a trade secret or is not readily available to the public; and (viii) intellectual property, including inventions and copyrightable works. You also may have access to “</w:t>
      </w:r>
      <w:r>
        <w:rPr>
          <w:rFonts w:ascii="Times New Roman;sans-serif" w:hAnsi="Times New Roman;sans-serif"/>
          <w:b/>
          <w:color w:val="000000"/>
          <w:sz w:val="24"/>
        </w:rPr>
        <w:t>Trade Secrets</w:t>
      </w:r>
      <w:r>
        <w:rPr>
          <w:color w:val="000000"/>
        </w:rPr>
        <w:t xml:space="preserve">” </w:t>
      </w:r>
      <w:r>
        <w:rPr>
          <w:rFonts w:ascii="Times New Roman;sans-serif" w:hAnsi="Times New Roman;sans-serif"/>
          <w:b w:val="false"/>
          <w:color w:val="000000"/>
          <w:sz w:val="24"/>
        </w:rPr>
        <w:t xml:space="preserve">which are items of Confidential Information which meet the definition of trade secrets under applicable law. Confidential Information and Trade Secrets are </w:t>
      </w:r>
      <w:r>
        <w:br w:type="page"/>
      </w:r>
    </w:p>
    <w:p>
      <w:pPr>
        <w:pStyle w:val="TextBody"/>
        <w:spacing w:before="0" w:after="0"/>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not generally known or available to the general public, but have been developed, compiled or acquired by the Company at its great effort and expense. Confidential Information and Trade Secrets can be in any form: oral, written or machine readable, including electronic files, and stored in any media whatsoever or the unaided human memory.</w:t>
      </w:r>
    </w:p>
    <w:p>
      <w:pPr>
        <w:pStyle w:val="TextBody"/>
        <w:spacing w:before="0" w:after="0"/>
        <w:rPr/>
      </w:pPr>
      <w:r>
        <w:rPr/>
      </w:r>
    </w:p>
    <w:p>
      <w:pPr>
        <w:pStyle w:val="TextBody"/>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You acknowledge and agree that the Company is engaged in a highly competitive business and that its competitive position depends upon its ability to maintain the confidentiality of the Confidential Information and Trade Secrets which were developed, compiled and acquired by the Company at its great effort and expense. You further acknowledge and agree that any disclosing, divulging, revealing, or using of any of the Confidential Information and Trade Secrets, other than in connection with the Company’s business or as specifically authorized by the Company, will be highly detrimental to the Company and cause it to suffer serious loss of business and pecuniary damage. Accordingly, You agree that during Your employment with the Company and following the termination of such employment for any reason, You shall not directly or indirectly divulge or make use of any Confidential Information outside of Your employment with the Company (so long as the information remains confidential) without the prior written consent of an authorized representative of the Company. You shall not directly or indirectly misappropriate, divulge, or make use of Trade Secrets for an indefinite period of time, so long as the information remains a Trade Secret as defined under any applicable trade secrets or other applicable law. You also agree at all times to exercise discretion in discussing with others the affairs of clients, including avoiding unnecessary identification of names, places, and other specifics, and to take reasonable precautions to make sure that such discussions cannot be overheard and electronic communications cannot be intercepted either by client’s employees or outside persons.</w:t>
      </w:r>
    </w:p>
    <w:p>
      <w:pPr>
        <w:pStyle w:val="TextBody"/>
        <w:spacing w:before="0" w:after="0"/>
        <w:jc w:val="both"/>
        <w:rPr/>
      </w:pPr>
      <w:r>
        <w:rPr/>
      </w:r>
    </w:p>
    <w:p>
      <w:pPr>
        <w:pStyle w:val="TextBody"/>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You further agree that if You are questioned about information subject to this Agreement by any person or entity not authorized to receive such information, You will, except to the extent prohibited by law, notify the Company within twenty-four (24) hours.</w:t>
      </w:r>
    </w:p>
    <w:p>
      <w:pPr>
        <w:pStyle w:val="TextBody"/>
        <w:spacing w:before="0" w:after="0"/>
        <w:jc w:val="both"/>
        <w:rPr/>
      </w:pPr>
      <w:r>
        <w:rPr/>
      </w:r>
    </w:p>
    <w:p>
      <w:pPr>
        <w:pStyle w:val="TextBody"/>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You acknowledge and agree that the Company is a public company and that You may receive or have access to material non-public information that is restricted from use and disclosure by U.S. federal and state and other international statutes and laws. You agree that other than to benefit the Company in compliance with applicable laws, You will not use for any purposes any “insider information” that may come to Your attention in connection with Your employment with the Company and that You will not disclose such information to anyone outside or the inside the Company who is not an authorized recipient with a need to know such information, The term “use” includes, but is not limited to, purchase or sale of securities influenced by such inside information.</w:t>
      </w:r>
    </w:p>
    <w:p>
      <w:pPr>
        <w:pStyle w:val="TextBody"/>
        <w:spacing w:before="0" w:after="0"/>
        <w:jc w:val="both"/>
        <w:rPr/>
      </w:pPr>
      <w:r>
        <w:rPr/>
      </w:r>
    </w:p>
    <w:p>
      <w:pPr>
        <w:pStyle w:val="TextBody"/>
        <w:spacing w:lineRule="auto" w:line="288"/>
        <w:ind w:left="0" w:right="0" w:firstLine="1440"/>
        <w:jc w:val="both"/>
        <w:rPr/>
      </w:pPr>
      <w:r>
        <w:rPr>
          <w:rFonts w:ascii="Times New Roman;sans-serif" w:hAnsi="Times New Roman;sans-serif"/>
          <w:b w:val="false"/>
          <w:color w:val="000000"/>
          <w:sz w:val="24"/>
        </w:rPr>
        <w:t>9.    </w:t>
      </w:r>
      <w:r>
        <w:rPr>
          <w:rFonts w:ascii="Times New Roman;sans-serif" w:hAnsi="Times New Roman;sans-serif"/>
          <w:b w:val="false"/>
          <w:color w:val="000000"/>
          <w:sz w:val="24"/>
          <w:u w:val="single"/>
        </w:rPr>
        <w:t>Return of Confidential Information and Company Property</w:t>
      </w:r>
      <w:r>
        <w:rPr>
          <w:rFonts w:ascii="Times New Roman;sans-serif" w:hAnsi="Times New Roman;sans-serif"/>
          <w:b w:val="false"/>
          <w:color w:val="000000"/>
          <w:sz w:val="24"/>
        </w:rPr>
        <w:t xml:space="preserve">. You agree to return all Confidential Information and/or Trade Secrets immediately upon termination of your employment for any reason and at any time requested by the Company. To the extent that You maintain Confidential Information and/or Trade Secrets in electronic form on any computers or other electronic devices owned by You, You agree to immediately and irretrievably delete all such information, and certify the deletion of such material. You also agree to return all property </w:t>
      </w:r>
      <w:r>
        <w:br w:type="page"/>
      </w:r>
    </w:p>
    <w:p>
      <w:pPr>
        <w:pStyle w:val="TextBody"/>
        <w:spacing w:before="0" w:after="0"/>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Your possession at the time of the termination of the employment with the Company, including without limitation all documents, records, electronic recordings, and other media of every kind and description relating to the Business of the Company and its Clients or Prospective Clients (as such terms are defined elsewhere in this Agreement), and any copies, in whole or in part, whether or not prepared by You, all of which shall remain the sole and exclusive property of the Company. You further agree upon termination of your employment for any reason to execute and provide the information set forth in the Termination Certification attached hereto as Exhibit A. In addition, upon request of the Company, You shall provide a copy of this Agreement to any subsequent employer.</w:t>
      </w:r>
    </w:p>
    <w:p>
      <w:pPr>
        <w:pStyle w:val="TextBody"/>
        <w:spacing w:before="0" w:after="0"/>
        <w:rPr/>
      </w:pPr>
      <w:r>
        <w:rPr/>
      </w:r>
    </w:p>
    <w:p>
      <w:pPr>
        <w:pStyle w:val="TextBody"/>
        <w:spacing w:lineRule="auto" w:line="288" w:before="0" w:after="0"/>
        <w:ind w:left="0" w:right="0" w:hanging="360"/>
        <w:jc w:val="both"/>
        <w:rPr/>
      </w:pPr>
      <w:r>
        <w:rPr>
          <w:rFonts w:ascii="Times New Roman;sans-serif" w:hAnsi="Times New Roman;sans-serif"/>
          <w:b w:val="false"/>
          <w:color w:val="000000"/>
          <w:sz w:val="24"/>
        </w:rPr>
        <w:t>10.    </w:t>
      </w:r>
      <w:r>
        <w:rPr>
          <w:rFonts w:ascii="Times New Roman;sans-serif" w:hAnsi="Times New Roman;sans-serif"/>
          <w:b w:val="false"/>
          <w:color w:val="000000"/>
          <w:sz w:val="24"/>
          <w:u w:val="single"/>
        </w:rPr>
        <w:t xml:space="preserve">Intellectual Property Rights. </w:t>
      </w:r>
    </w:p>
    <w:p>
      <w:pPr>
        <w:pStyle w:val="TextBody"/>
        <w:spacing w:before="0" w:after="0"/>
        <w:rPr/>
      </w:pPr>
      <w:r>
        <w:rPr/>
      </w:r>
    </w:p>
    <w:p>
      <w:pPr>
        <w:pStyle w:val="TextBody"/>
        <w:spacing w:lineRule="auto" w:line="288" w:before="0" w:after="0"/>
        <w:ind w:left="0" w:right="0" w:firstLine="1440"/>
        <w:jc w:val="both"/>
        <w:rPr/>
      </w:pPr>
      <w:r>
        <w:rPr>
          <w:rFonts w:ascii="Times New Roman;sans-serif" w:hAnsi="Times New Roman;sans-serif"/>
          <w:b w:val="false"/>
          <w:color w:val="000000"/>
          <w:sz w:val="24"/>
        </w:rPr>
        <w:t>(a)    Executive agrees that the results and proceeds of Executive’s employment by the Company or its Subsidiaries or Affiliates (including, but not limited to, any trade secrets, products, services, processes, know-how, track record, designs, developments, innovations, analyses, drawings, reports, techniques, formulas, methods, developmental or experimental work, improvements, discoveries, inventions, ideas, source and object codes, programs, matters of a literary, musical, dramatic or otherwise creative nature, writings and other works of authorship) resulting from services performed while employed hereunder by the Company and any works in progress, whether or not patentable or registrable under copyright or similar statutes, that were made, developed, conceived or reduced to practice or learned by Executive, either alone or jointly with others (collectively, “</w:t>
      </w:r>
      <w:r>
        <w:rPr>
          <w:rFonts w:ascii="Times New Roman;sans-serif" w:hAnsi="Times New Roman;sans-serif"/>
          <w:b/>
          <w:color w:val="000000"/>
          <w:sz w:val="24"/>
        </w:rPr>
        <w:t>Inventions</w:t>
      </w:r>
      <w:r>
        <w:rPr>
          <w:color w:val="000000"/>
        </w:rPr>
        <w:t>”</w:t>
      </w:r>
      <w:r>
        <w:rPr>
          <w:rFonts w:ascii="Times New Roman;sans-serif" w:hAnsi="Times New Roman;sans-serif"/>
          <w:b w:val="false"/>
          <w:color w:val="000000"/>
          <w:sz w:val="24"/>
        </w:rPr>
        <w:t>), shall be works-made-for-hire and the Company (or, if applicable or as directed by the Board, any of its Subsidiaries or Affiliates) shall be deemed the sole owner throughout the universe of any and all trade secret, patent, copyright and other intellectual property rights (collectively, “</w:t>
      </w:r>
      <w:r>
        <w:rPr>
          <w:rFonts w:ascii="Times New Roman;sans-serif" w:hAnsi="Times New Roman;sans-serif"/>
          <w:b/>
          <w:color w:val="000000"/>
          <w:sz w:val="24"/>
        </w:rPr>
        <w:t>Proprietary Rights</w:t>
      </w:r>
      <w:r>
        <w:rPr>
          <w:color w:val="000000"/>
        </w:rPr>
        <w:t>”</w:t>
      </w:r>
      <w:r>
        <w:rPr>
          <w:rFonts w:ascii="Times New Roman;sans-serif" w:hAnsi="Times New Roman;sans-serif"/>
          <w:b w:val="false"/>
          <w:color w:val="000000"/>
          <w:sz w:val="24"/>
        </w:rPr>
        <w:t>) of whatsoever nature therein, whether or not now or hereafter known, existing, contemplated, recognized or developed, with the right to use the same in perpetuity in any manner the Board determines in its sole discretion, without any further payment to Executive whatsoever. If, for any reason, any of such results and proceeds shall not legally be a work made-for-hire and/or there are any Proprietary Rights which do not accrue to the Company (or, as the case may be, any of its Subsidiaries or Affiliates) under the immediately preceding sentence, then Executive hereby irrevocably assigns and agrees to assign any and all of Executive’s right, title and interest thereto, including any and all Proprietary Rights of whatsoever nature therein, whether or not now or hereafter known, existing, contemplated, recognized or developed, to the Company (or, if applicable or as directed by the Board, any of its Subsidiaries or Affiliates), and the Company or such Subsidiaries or Affiliates shall have the right to use the same in perpetuity throughout the universe in any manner determined by the Board or such Subsidiaries or Affiliates without any further payment to Executive whatsoever. As to any Invention that Executive is required to assign, Executive shall promptly and fully disclose to the Company all information known to Executive concerning such Invention.</w:t>
      </w:r>
    </w:p>
    <w:p>
      <w:pPr>
        <w:pStyle w:val="TextBody"/>
        <w:spacing w:before="0" w:after="0"/>
        <w:jc w:val="both"/>
        <w:rPr/>
      </w:pPr>
      <w:r>
        <w:rPr/>
      </w:r>
    </w:p>
    <w:p>
      <w:pPr>
        <w:pStyle w:val="TextBody"/>
        <w:spacing w:lineRule="auto" w:line="288"/>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Executive agrees that, from time to time, as may be requested by the Board and at the Company’s sole cost and expense, Executive shall do any and all reasonable and lawful things that the Board may reasonably deem useful or desirable to establish or document the Company’s exclusive ownership throughout the United States of America or any </w:t>
      </w:r>
      <w:r>
        <w:br w:type="page"/>
      </w:r>
    </w:p>
    <w:p>
      <w:pPr>
        <w:pStyle w:val="TextBody"/>
        <w:spacing w:before="0" w:after="0"/>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other country of any and all Proprietary Rights in any such Inventions, including the execution of appropriate copyright and/or patent applications or assignments. To the extent Executive has any Proprietary Rights in the Inventions that cannot be assigned in the manner described above, Executive unconditionally and irrevocably waives the enforcement of such Proprietary Rights. This Section 10(b) is subject to and shall not be deemed to limit, restrict or constitute any waiver by the Company of any Proprietary Rights of ownership to which the Company may be entitled by operation of law by virtue of Executive’s employment by the Company. Executive further agrees that, from time to time, as may be requested by the Board and at the Company’s sole cost and expense, Executive shall assist the Company in every reasonable, proper and lawful way to obtain and from time to time enforce Proprietary Rights relating to Inventions in any and all countries. To this end, Executive shall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Executive shall execute, verify, and deliver assignments of such Proprietary Rights to the Company or its designees. Executive’s obligation to provide reasonable assistance to the Company with respect to Proprietary Rights relating to such Inventions in any and all countries shall continue beyond the termination of the Term.</w:t>
      </w:r>
    </w:p>
    <w:p>
      <w:pPr>
        <w:pStyle w:val="TextBody"/>
        <w:spacing w:before="0" w:after="0"/>
        <w:rPr/>
      </w:pPr>
      <w:r>
        <w:rPr/>
      </w:r>
    </w:p>
    <w:p>
      <w:pPr>
        <w:pStyle w:val="TextBody"/>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Executive hereby waives and quitclaims to the Company any and all claims, of any nature whatsoever, that Executive now or may hereafter have for infringement of any Proprietary Rights assigned hereunder to the Company.</w:t>
      </w:r>
    </w:p>
    <w:p>
      <w:pPr>
        <w:pStyle w:val="TextBody"/>
        <w:spacing w:before="0" w:after="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4"/>
        </w:rPr>
        <w:t>11.    </w:t>
      </w:r>
      <w:r>
        <w:rPr>
          <w:rFonts w:ascii="Times New Roman;sans-serif" w:hAnsi="Times New Roman;sans-serif"/>
          <w:b w:val="false"/>
          <w:color w:val="000000"/>
          <w:sz w:val="24"/>
          <w:u w:val="single"/>
        </w:rPr>
        <w:t>Notification of Employment or Service Provider Relationship</w:t>
      </w:r>
      <w:r>
        <w:rPr>
          <w:rFonts w:ascii="Times New Roman;sans-serif" w:hAnsi="Times New Roman;sans-serif"/>
          <w:b w:val="false"/>
          <w:color w:val="000000"/>
          <w:sz w:val="24"/>
        </w:rPr>
        <w:t>. Executive hereby agrees that as soon as practical, upon Executive’s consideration of accepting employment with, or agreeing to provide services to, any other Person during any period which Executive remains subject to any of the covenants set forth in Section 7, Executive shall advise Executive’s prospective employer of this Agreement and, to the extent necessary, shall provide such prospective employer with a copy of Section 7 of this Agreement; provided, however, that if and to the extent this Agreement has been publicly filed in connection the Company’s filings with the Securities and Exchange Commission or related corporate, public company filings, Executive may provide Executive’s prospective employer with a copy of the filed version of this Agreement. Promptly after receiving an offer of employment from any other Person, Executive will provide written notice to the Company of Executive’s new employer as soon as possible.</w:t>
      </w:r>
    </w:p>
    <w:p>
      <w:pPr>
        <w:pStyle w:val="TextBody"/>
        <w:spacing w:before="0" w:after="0"/>
        <w:jc w:val="both"/>
        <w:rPr/>
      </w:pPr>
      <w:r>
        <w:rPr/>
      </w:r>
    </w:p>
    <w:p>
      <w:pPr>
        <w:pStyle w:val="TextBody"/>
        <w:spacing w:lineRule="auto" w:line="288"/>
        <w:ind w:left="0" w:right="0" w:firstLine="360"/>
        <w:jc w:val="both"/>
        <w:rPr/>
      </w:pPr>
      <w:r>
        <w:rPr>
          <w:rFonts w:ascii="Times New Roman;sans-serif" w:hAnsi="Times New Roman;sans-serif"/>
          <w:b w:val="false"/>
          <w:color w:val="000000"/>
          <w:sz w:val="24"/>
        </w:rPr>
        <w:t>12.    </w:t>
      </w:r>
      <w:r>
        <w:rPr>
          <w:rFonts w:ascii="Times New Roman;sans-serif" w:hAnsi="Times New Roman;sans-serif"/>
          <w:b w:val="false"/>
          <w:color w:val="000000"/>
          <w:sz w:val="24"/>
          <w:u w:val="single"/>
        </w:rPr>
        <w:t>Remedies and Injunctive Relief</w:t>
      </w:r>
      <w:r>
        <w:rPr>
          <w:rFonts w:ascii="Times New Roman;sans-serif" w:hAnsi="Times New Roman;sans-serif"/>
          <w:b w:val="false"/>
          <w:color w:val="000000"/>
          <w:sz w:val="24"/>
        </w:rPr>
        <w:t xml:space="preserve">. Executive acknowledges that a violation by Executive of any of the covenants contained in Section 7, 8, 9 or 10 would cause irreparable damage to the Company in an amount that would be material but not readily ascertainable, and that any remedy at law (including the payment of damages) would be inadequate. Accordingly, Executive agrees that, notwithstanding any provision of this Agreement to the contrary, the Company shall be entitled (without the necessity of showing economic loss or other actual damage) to preliminary or interim injunctive relief (including temporary restraining orders and preliminary injunctions) in any Federal court of the Southern District of New York or any state court located in New York County, State of New York, for any actual or threatened breach of any of the covenants set forth in Section 7, 8, 9 or 10 in addition to any other legal or equitable remedies it may have. The preceding sentences shall not be construed as a waiver of the rights </w:t>
      </w:r>
      <w:r>
        <w:br w:type="page"/>
      </w:r>
    </w:p>
    <w:p>
      <w:pPr>
        <w:pStyle w:val="TextBody"/>
        <w:spacing w:before="0" w:after="0"/>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that the Company and/or Employee may have to recover in arbitration pursuant to Section 18 any damages available to it under this Agreement or otherwise, and all of the Company’s rights shall be unrestricted. </w:t>
      </w:r>
    </w:p>
    <w:p>
      <w:pPr>
        <w:pStyle w:val="TextBody"/>
        <w:spacing w:before="0" w:after="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4"/>
        </w:rPr>
        <w:t>13.    </w:t>
      </w:r>
      <w:r>
        <w:rPr>
          <w:rFonts w:ascii="Times New Roman;sans-serif" w:hAnsi="Times New Roman;sans-serif"/>
          <w:b w:val="false"/>
          <w:color w:val="000000"/>
          <w:sz w:val="24"/>
          <w:u w:val="single"/>
        </w:rPr>
        <w:t>Representations of Executive and Company; Advice of Counsel</w:t>
      </w:r>
      <w:r>
        <w:rPr>
          <w:rFonts w:ascii="Times New Roman;sans-serif" w:hAnsi="Times New Roman;sans-serif"/>
          <w:b w:val="false"/>
          <w:color w:val="000000"/>
          <w:sz w:val="24"/>
        </w:rPr>
        <w:t xml:space="preserve">. </w:t>
      </w:r>
    </w:p>
    <w:p>
      <w:pPr>
        <w:pStyle w:val="TextBody"/>
        <w:spacing w:before="0" w:after="0"/>
        <w:jc w:val="both"/>
        <w:rPr/>
      </w:pPr>
      <w:r>
        <w:rPr/>
      </w:r>
    </w:p>
    <w:p>
      <w:pPr>
        <w:pStyle w:val="TextBody"/>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Executive represents, warrants and covenants that as of the date hereof: (i) Executive has the full right, authority and capacity to enter into this Agreement and perform Executive’s obligations hereunder, (ii) has disclosed all applicable restrictive covenants or other obligations Executive has with any current or former employer, (iii) Executive is not bound by any agreement that conflicts with or prevents or restricts the full performance of Executive’s duties and obligations to the Company hereunder during or after the Term, (iv) the execution and delivery of this Agreement shall not result in any breach or violation of, or a default under, any existing obligation, commitment or agreement to which Executive is subject, and (v) Executive has not engaged and will not engage in the future in any conduct that is in breach of any restrictive covenant to which Executive may be bound or any fiduciary duty that Executive owes to any employer. The Executive understands and acknowledges that Executive is not expected or permitted to possess, use or disclose any confidential information belonging to any current or former employer in the course of performing Executive’s duties for the Company.</w:t>
      </w:r>
    </w:p>
    <w:p>
      <w:pPr>
        <w:pStyle w:val="TextBody"/>
        <w:spacing w:before="0" w:after="0"/>
        <w:rPr/>
      </w:pPr>
      <w:r>
        <w:rPr/>
      </w:r>
    </w:p>
    <w:p>
      <w:pPr>
        <w:pStyle w:val="TextBody"/>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Prior to execution of this Agreement, Executive was advised by the Company of Executive’s right to seek independent advice from an attorney of Executive’s own selection regarding this Agreement. Executive acknowledges that Executive has entered into this Agreement knowingly and voluntarily and with full knowledge and understanding of the provisions of this Agreement after being given the opportunity to consult with counsel. Executive further represents that in entering into this Agreement, Executive is not relying on any statements or representations made by any of the Company’s directors, officers, employees or agents which are not expressly set forth herein, and that Executive is relying only upon Executive’s own judgment and any advice provided by Executive’s attorney.</w:t>
      </w:r>
    </w:p>
    <w:p>
      <w:pPr>
        <w:pStyle w:val="TextBody"/>
        <w:spacing w:before="0" w:after="0"/>
        <w:jc w:val="both"/>
        <w:rPr/>
      </w:pPr>
      <w:r>
        <w:rPr/>
      </w:r>
    </w:p>
    <w:p>
      <w:pPr>
        <w:pStyle w:val="TextBody"/>
        <w:spacing w:lineRule="auto" w:line="288"/>
        <w:ind w:left="0" w:right="0" w:firstLine="360"/>
        <w:jc w:val="both"/>
        <w:rPr/>
      </w:pPr>
      <w:r>
        <w:rPr>
          <w:rFonts w:ascii="Times New Roman;sans-serif" w:hAnsi="Times New Roman;sans-serif"/>
          <w:b w:val="false"/>
          <w:color w:val="000000"/>
          <w:sz w:val="24"/>
        </w:rPr>
        <w:t>14.    </w:t>
      </w:r>
      <w:r>
        <w:rPr>
          <w:rFonts w:ascii="Times New Roman;sans-serif" w:hAnsi="Times New Roman;sans-serif"/>
          <w:b w:val="false"/>
          <w:color w:val="000000"/>
          <w:sz w:val="24"/>
          <w:u w:val="single"/>
        </w:rPr>
        <w:t>Cooperation</w:t>
      </w:r>
      <w:r>
        <w:rPr>
          <w:rFonts w:ascii="Times New Roman;sans-serif" w:hAnsi="Times New Roman;sans-serif"/>
          <w:b w:val="false"/>
          <w:color w:val="000000"/>
          <w:sz w:val="24"/>
        </w:rPr>
        <w:t>. Executive agrees that, upon reasonable notice and without the necessity of the Company obtaining a subpoena or court order, Executive shall provide reasonable cooperation in connection with any suit, action or proceeding (or any appeal from any suit, action or proceeding), or the decision to commence on behalf of the Company any suit, action or proceeding, and any investigation and/or defense of any claims asserted against any of the Company’s or its Affiliates’ current or former directors officers, employees, shareholders, partners, members, agents or representatives of any of the foregoing, which relates to events occurring during Executive’s employment hereunder by the Company as to which Executive may have relevant information (including but not limited to furnishing relevant information and materials to the Company or its designee and/or providing testimony at depositions and at trial), provided that with respect to such cooperation occurring following termination of the Term, the Company shall reimburse Executive for expenses reasonably incurred in connection therewith, including reasonable and necessary attorney fees where the attorney is engaged in consultation with the Company, and shall schedule such cooperation to the extent reasonably practicable so as not to unreasonably interfere with Executive’s business or personal affairs.</w:t>
      </w:r>
      <w:r>
        <w:br w:type="page"/>
      </w:r>
    </w:p>
    <w:p>
      <w:pPr>
        <w:pStyle w:val="TextBody"/>
        <w:spacing w:before="0" w:after="0"/>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4"/>
        </w:rPr>
        <w:t>15.    </w:t>
      </w:r>
      <w:r>
        <w:rPr>
          <w:rFonts w:ascii="Times New Roman;sans-serif" w:hAnsi="Times New Roman;sans-serif"/>
          <w:b w:val="false"/>
          <w:color w:val="000000"/>
          <w:sz w:val="24"/>
          <w:u w:val="single"/>
        </w:rPr>
        <w:t>Withholding; Taxes</w:t>
      </w:r>
      <w:r>
        <w:rPr>
          <w:rFonts w:ascii="Times New Roman;sans-serif" w:hAnsi="Times New Roman;sans-serif"/>
          <w:b w:val="false"/>
          <w:color w:val="000000"/>
          <w:sz w:val="24"/>
        </w:rPr>
        <w:t>. The Company may deduct and withhold from any amounts payable under this Agreement such Federal, state, local, non-U.S. or other taxes as are required or permitted to be withheld pursuant to any applicable law or regulation. Executive shall be responsible for all taxes (including self-employment taxes) in connection with Executive’s status as a member of the Company for U.S. federal income tax purposes.</w:t>
      </w:r>
    </w:p>
    <w:p>
      <w:pPr>
        <w:pStyle w:val="TextBody"/>
        <w:spacing w:before="0" w:after="0"/>
        <w:rPr/>
      </w:pPr>
      <w:r>
        <w:rPr/>
      </w:r>
    </w:p>
    <w:p>
      <w:pPr>
        <w:pStyle w:val="TextBody"/>
        <w:spacing w:lineRule="auto" w:line="288" w:before="0" w:after="0"/>
        <w:ind w:left="0" w:right="0" w:firstLine="360"/>
        <w:jc w:val="both"/>
        <w:rPr/>
      </w:pPr>
      <w:r>
        <w:rPr>
          <w:rFonts w:ascii="Times New Roman;sans-serif" w:hAnsi="Times New Roman;sans-serif"/>
          <w:b w:val="false"/>
          <w:color w:val="000000"/>
          <w:sz w:val="24"/>
        </w:rPr>
        <w:t>16.    </w:t>
      </w:r>
      <w:r>
        <w:rPr>
          <w:rFonts w:ascii="Times New Roman;sans-serif" w:hAnsi="Times New Roman;sans-serif"/>
          <w:b w:val="false"/>
          <w:color w:val="000000"/>
          <w:sz w:val="24"/>
          <w:u w:val="single"/>
        </w:rPr>
        <w:t>Assignment</w:t>
      </w:r>
      <w:r>
        <w:rPr>
          <w:rFonts w:ascii="Times New Roman;sans-serif" w:hAnsi="Times New Roman;sans-serif"/>
          <w:b w:val="false"/>
          <w:color w:val="000000"/>
          <w:sz w:val="24"/>
        </w:rPr>
        <w:t xml:space="preserve">. </w:t>
      </w:r>
    </w:p>
    <w:p>
      <w:pPr>
        <w:pStyle w:val="TextBody"/>
        <w:spacing w:before="0" w:after="0"/>
        <w:rPr/>
      </w:pPr>
      <w:r>
        <w:rPr/>
      </w:r>
    </w:p>
    <w:p>
      <w:pPr>
        <w:pStyle w:val="TextBody"/>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This Agreement is personal to Executive and without the prior written consent of the Board shall not be assignable by Executive, and any assignment in violation of this Agreement shall be void.</w:t>
      </w:r>
    </w:p>
    <w:p>
      <w:pPr>
        <w:pStyle w:val="TextBody"/>
        <w:spacing w:before="0" w:after="0"/>
        <w:jc w:val="both"/>
        <w:rPr/>
      </w:pPr>
      <w:r>
        <w:rPr/>
      </w:r>
    </w:p>
    <w:p>
      <w:pPr>
        <w:pStyle w:val="TextBody"/>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This Agreement shall be binding on, and shall inure to the benefit of, the parties to it and their respective heirs, legal representatives, successors and permitted assigns (including, without limitation, successors by merger, consolidation, sale or similar transaction and in the event of Executive’s death, Executive’s estate and heirs in the case of any payments due to Executive hereunder).</w:t>
      </w:r>
    </w:p>
    <w:p>
      <w:pPr>
        <w:pStyle w:val="TextBody"/>
        <w:spacing w:before="0" w:after="0"/>
        <w:jc w:val="both"/>
        <w:rPr/>
      </w:pPr>
      <w:r>
        <w:rPr/>
      </w:r>
    </w:p>
    <w:p>
      <w:pPr>
        <w:pStyle w:val="TextBody"/>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Executive acknowledges and agrees that all of Executive’s covenants and obligations to the Company, as well as the rights of the Company hereunder, shall run in favor of and shall be enforceable by the Company and any successor or assign to all or substantially all of the Company’s business or assets.</w:t>
      </w:r>
    </w:p>
    <w:p>
      <w:pPr>
        <w:pStyle w:val="TextBody"/>
        <w:spacing w:before="0" w:after="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4"/>
        </w:rPr>
        <w:t>17.    </w:t>
      </w:r>
      <w:r>
        <w:rPr>
          <w:rFonts w:ascii="Times New Roman;sans-serif" w:hAnsi="Times New Roman;sans-serif"/>
          <w:b w:val="false"/>
          <w:color w:val="000000"/>
          <w:sz w:val="24"/>
          <w:u w:val="single"/>
        </w:rPr>
        <w:t>Governing Law; No Construction Against Drafter</w:t>
      </w:r>
      <w:r>
        <w:rPr>
          <w:rFonts w:ascii="Times New Roman;sans-serif" w:hAnsi="Times New Roman;sans-serif"/>
          <w:b w:val="false"/>
          <w:color w:val="000000"/>
          <w:sz w:val="24"/>
        </w:rPr>
        <w:t>. This Agreement shall be deemed to be made in New York, and the validity, interpretation, construction, and performance of this Agreement in all respects (except as provided below) shall be governed by the laws of New York without regard to its principles of conflicts of law. No provision of this Agreement or any related document will be construed against or interpreted to the disadvantage of any party hereto by any court or other governmental or judicial authority by reason of such party having or being deemed to have structured or drafted such provision.</w:t>
      </w:r>
    </w:p>
    <w:p>
      <w:pPr>
        <w:pStyle w:val="TextBody"/>
        <w:spacing w:before="0" w:after="0"/>
        <w:jc w:val="both"/>
        <w:rPr/>
      </w:pPr>
      <w:r>
        <w:rPr/>
      </w:r>
    </w:p>
    <w:p>
      <w:pPr>
        <w:pStyle w:val="TextBody"/>
        <w:spacing w:lineRule="auto" w:line="288"/>
        <w:ind w:left="0" w:right="0" w:firstLine="360"/>
        <w:jc w:val="both"/>
        <w:rPr/>
      </w:pPr>
      <w:r>
        <w:rPr>
          <w:rFonts w:ascii="Times New Roman;sans-serif" w:hAnsi="Times New Roman;sans-serif"/>
          <w:b w:val="false"/>
          <w:color w:val="000000"/>
          <w:sz w:val="24"/>
        </w:rPr>
        <w:t>18.    </w:t>
      </w:r>
      <w:r>
        <w:rPr>
          <w:rFonts w:ascii="Times New Roman;sans-serif" w:hAnsi="Times New Roman;sans-serif"/>
          <w:b w:val="false"/>
          <w:color w:val="000000"/>
          <w:sz w:val="24"/>
          <w:u w:val="single"/>
        </w:rPr>
        <w:t>Dispute Resolution and Arbitration</w:t>
      </w:r>
      <w:r>
        <w:rPr>
          <w:rFonts w:ascii="Times New Roman;sans-serif" w:hAnsi="Times New Roman;sans-serif"/>
          <w:b w:val="false"/>
          <w:color w:val="000000"/>
          <w:sz w:val="24"/>
        </w:rPr>
        <w:t xml:space="preserve">. Except as otherwise provided in this Dispute Resolution and Arbitration provision (“Arbitration Agreement”), any dispute, controversy or other claim, past, present, or future, between Executive and the Company that otherwise would be subject to resolution in court by a judge and/or jury shall be resolved solely by final and binding arbitration and not by way of court or jury trial, except for claims for temporary, interim and/or preliminary injunctive relief pursuant to Sections 7, 8, 9, and/or 10 of this Agreement, which may be sought from a court of competent jurisdiction at any time and shall be subject to modification or dissolution as part of the final arbitration award, and/or claims for workers’ compensation, state disability, or unemployment insurance benefits. This arbitration commitment extends to, but is not limited to, any and all claims, disputes or controversies (i) arising out of or relating to this Agreement and/or any aspect of Executive’s employment with the Company, including those that the Company may assert against Executive and those that Executive may assert against the Company, its clients or related entities, and/or any of its or their </w:t>
      </w:r>
      <w:r>
        <w:br w:type="page"/>
      </w:r>
    </w:p>
    <w:p>
      <w:pPr>
        <w:pStyle w:val="TextBody"/>
        <w:spacing w:before="0" w:after="0"/>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both"/>
        <w:rPr/>
      </w:pPr>
      <w:r>
        <w:rPr>
          <w:rFonts w:ascii="Times New Roman;sans-serif" w:hAnsi="Times New Roman;sans-serif"/>
          <w:b w:val="false"/>
          <w:color w:val="000000"/>
          <w:sz w:val="24"/>
        </w:rPr>
        <w:t>respective members, shareholders, owners, directors, officers, employees, agents and representatives, and (ii) arising out of, relating to, or concerning the validity, enforceability, applicability, scope, or alleged breach of this Arbitration Agreement, including whether or not a dispute must be arbitrated. All such claims, disputes and controversies brought by Executive shall be subject to resolution in arbitration on an individual basis only, and not on a class or collective basis on behalf of, or in concert with, any persons not party to this Agreement. There will be no right or authority for any such claim, dispute or controversy to be brought, heard or arbitrated as a class, collective or multi-plaintiff action, and Executive agrees to not serve as a member in any class or collective action against the Company or any other party to whom Executive’s arbitration commitment extends. This arbitration commitment will continue throughout Executive’s employment with the Company and after that employment ends, for any reason, however, nothing in this Agreement prevents Executive from making a report to or filing a claim or charge with a government agency, including without limitation, the Equal Employment Opportunity Commission, U.S. Department of Labor, U.S. Securities and Exchange Commission, or the Office of Federal Contract Compliance Programs. This Arbitration Agreement also does not prevent or prohibit Executive in any way from reporting, communicating about, or disclosing claims for discrimination, harassment, retaliation, or sexual abuse. This Arbitration Agreement does not cover disputes that an applicable federal statute expressly states cannot be arbitrated or subject to a pre-dispute arbitration agreement. Arbitration shall be conducted in New York County, New York, before a single arbitrator, who shall be a lawyer admitted to the New York bar and has at least 15 years’ experience in employment law or a retired state or federal judge, in accordance with the Employment Arbitration Rules of the American Arbitration Association for disputes arising out of individually-negotiated employment agreements and contracts (“</w:t>
      </w:r>
      <w:r>
        <w:rPr>
          <w:rFonts w:ascii="Times New Roman;sans-serif" w:hAnsi="Times New Roman;sans-serif"/>
          <w:b/>
          <w:color w:val="000000"/>
          <w:sz w:val="24"/>
        </w:rPr>
        <w:t>AAA</w:t>
      </w:r>
      <w:r>
        <w:rPr>
          <w:color w:val="000000"/>
        </w:rPr>
        <w:t>”</w:t>
      </w:r>
      <w:r>
        <w:rPr>
          <w:rFonts w:ascii="Times New Roman;sans-serif" w:hAnsi="Times New Roman;sans-serif"/>
          <w:b w:val="false"/>
          <w:color w:val="000000"/>
          <w:sz w:val="24"/>
        </w:rPr>
        <w:t>). Unless prohibited by applicable law, all fees and expenses of the AAA and the arbitrator shall be borne equally by the parties. This Arbitration Agreement shall be governed by the Federal Arbitration Act, 9 U.S.C. §§ 1 et seq. (“</w:t>
      </w:r>
      <w:r>
        <w:rPr>
          <w:rFonts w:ascii="Times New Roman;sans-serif" w:hAnsi="Times New Roman;sans-serif"/>
          <w:b/>
          <w:color w:val="000000"/>
          <w:sz w:val="24"/>
        </w:rPr>
        <w:t>FAA</w:t>
      </w:r>
      <w:r>
        <w:rPr>
          <w:color w:val="000000"/>
        </w:rPr>
        <w:t>”</w:t>
      </w:r>
      <w:r>
        <w:rPr>
          <w:rFonts w:ascii="Times New Roman;sans-serif" w:hAnsi="Times New Roman;sans-serif"/>
          <w:b w:val="false"/>
          <w:color w:val="000000"/>
          <w:sz w:val="24"/>
        </w:rPr>
        <w:t>) and, to the extent not preempted by the FAA, the applicable provisions of New York law. In making the decision and award, the arbitrator shall apply applicable substantive law and, on issues of state law, the substantive law of New York, without regard to choice of law rules, shall control. Judgment upon the arbitrator’s award may be entered in any court having jurisdiction thereof.</w:t>
      </w:r>
    </w:p>
    <w:p>
      <w:pPr>
        <w:pStyle w:val="TextBody"/>
        <w:spacing w:before="0" w:after="0"/>
        <w:rPr/>
      </w:pPr>
      <w:r>
        <w:rPr/>
      </w:r>
    </w:p>
    <w:p>
      <w:pPr>
        <w:pStyle w:val="TextBody"/>
        <w:spacing w:lineRule="auto" w:line="288" w:before="0" w:after="0"/>
        <w:ind w:left="0" w:right="0" w:firstLine="360"/>
        <w:jc w:val="both"/>
        <w:rPr/>
      </w:pPr>
      <w:r>
        <w:rPr>
          <w:rFonts w:ascii="Times New Roman;sans-serif" w:hAnsi="Times New Roman;sans-serif"/>
          <w:b w:val="false"/>
          <w:color w:val="000000"/>
          <w:sz w:val="24"/>
        </w:rPr>
        <w:t>19.    </w:t>
      </w:r>
      <w:r>
        <w:rPr>
          <w:rFonts w:ascii="Times New Roman;sans-serif" w:hAnsi="Times New Roman;sans-serif"/>
          <w:b w:val="false"/>
          <w:color w:val="000000"/>
          <w:sz w:val="24"/>
          <w:u w:val="single"/>
        </w:rPr>
        <w:t>Amendment; No Waiver; 409A</w:t>
      </w:r>
      <w:r>
        <w:rPr>
          <w:rFonts w:ascii="Times New Roman;sans-serif" w:hAnsi="Times New Roman;sans-serif"/>
          <w:b w:val="false"/>
          <w:color w:val="000000"/>
          <w:sz w:val="24"/>
        </w:rPr>
        <w:t xml:space="preserve">. </w:t>
      </w:r>
    </w:p>
    <w:p>
      <w:pPr>
        <w:pStyle w:val="TextBody"/>
        <w:spacing w:before="0" w:after="0"/>
        <w:rPr/>
      </w:pPr>
      <w:r>
        <w:rPr/>
      </w:r>
    </w:p>
    <w:p>
      <w:pPr>
        <w:pStyle w:val="TextBody"/>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No provisions of this Agreement may be amended, modified, waived or discharged except by a written document signed by Executive and a duly authorized officer of the Company (other than Executive).</w:t>
      </w:r>
    </w:p>
    <w:p>
      <w:pPr>
        <w:pStyle w:val="TextBody"/>
        <w:spacing w:before="0" w:after="0"/>
        <w:jc w:val="both"/>
        <w:rPr/>
      </w:pPr>
      <w:r>
        <w:rPr/>
      </w:r>
    </w:p>
    <w:p>
      <w:pPr>
        <w:pStyle w:val="TextBody"/>
        <w:spacing w:lineRule="auto" w:line="288"/>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 No failure or delay by either party in exercising any right or power hereunder will operate as a waiver thereof, nor will any single or partial exercise of any such right or power, or any abandonment of any steps to enforce such a right or power, preclude any other or further exercise thereof or the exercise of any other right or power.</w:t>
      </w:r>
      <w:r>
        <w:br w:type="page"/>
      </w:r>
    </w:p>
    <w:p>
      <w:pPr>
        <w:pStyle w:val="TextBody"/>
        <w:spacing w:before="0" w:after="0"/>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jc w:val="both"/>
        <w:rPr/>
      </w:pPr>
      <w:r>
        <w:rPr/>
      </w:r>
    </w:p>
    <w:p>
      <w:pPr>
        <w:pStyle w:val="TextBody"/>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It is the intention of the Company and Executive that this Agreement comply with the requirements of Section 409A, and this Agreement will be interpreted in a manner intended to comply with or be exempt from Section 409A. The Company and Executive agree to negotiate in good faith to make amendments to this Agreement as the parties mutually agree are necessary or desirable to avoid the imposition of taxes or penalties under Section 409A. Notwithstanding the foregoing, Executive shall be solely responsible and liable for the satisfaction of all taxes and penalties that may be imposed on or for the account of Executive in connection with this Agreement (including any taxes and penalties under Section 409A), and neither the Company nor any Affiliate shall have any obligation to indemnify or otherwise hold Executive (or any beneficiary) harmless from any or all of such taxes or penalties.</w:t>
      </w:r>
    </w:p>
    <w:p>
      <w:pPr>
        <w:pStyle w:val="TextBody"/>
        <w:spacing w:before="0" w:after="0"/>
        <w:jc w:val="both"/>
        <w:rPr/>
      </w:pPr>
      <w:r>
        <w:rPr/>
      </w:r>
    </w:p>
    <w:p>
      <w:pPr>
        <w:pStyle w:val="TextBody"/>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Notwithstanding anything in this Agreement to the contrary, in the event that Executive is deemed to be a “specified employee” within the meaning of Section 409A(a)(2)(B)(i), no payments hereunder that are “deferred compensation” subject to Section 409A shall be made to Executive prior to the date that is six (6) months after the date of Executive’s “separation from service” (as defined in Treasury Regulation Section 1.409A-1(h)) or, if earlier, Executive’s date of death. Following any applicable six (6) month delay, all such delayed payments will be paid in a single lump sum on the earliest permissible payment date. For purposes of Section 409A, each of the payments that may be made under this Agreement are designated as separate payments.</w:t>
      </w:r>
    </w:p>
    <w:p>
      <w:pPr>
        <w:pStyle w:val="TextBody"/>
        <w:spacing w:before="0" w:after="0"/>
        <w:jc w:val="both"/>
        <w:rPr/>
      </w:pPr>
      <w:r>
        <w:rPr/>
      </w:r>
    </w:p>
    <w:p>
      <w:pPr>
        <w:pStyle w:val="TextBody"/>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For purposes of this Agreement, with respect to payments of any amounts that are considered to be “deferred compensation” subject to Section 409A, references to “termination of employment” (and substantially similar phrases) shall be interpreted and applied in a manner that is consistent with the requirements of Section 409A relating to “separation from service”.</w:t>
      </w:r>
    </w:p>
    <w:p>
      <w:pPr>
        <w:pStyle w:val="TextBody"/>
        <w:spacing w:before="0" w:after="0"/>
        <w:jc w:val="both"/>
        <w:rPr/>
      </w:pPr>
      <w:r>
        <w:rPr/>
      </w:r>
    </w:p>
    <w:p>
      <w:pPr>
        <w:pStyle w:val="TextBody"/>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    To the extent that any reimbursements pursuant to Section 4(g) or 14 are taxable to Executive, any such reimbursement payment due to Executive shall be paid to Executive as promptly as practicable, and in all events on or before the last day of Executive’s taxable year following the taxable year in which the related expense was incurred. The reimbursements pursuant to Section 4(g) and 14 are not subject to liquidation or exchange for another benefit and the amount of such benefits and reimbursements that Executive receives in one taxable year shall not affect the amount of such benefits or reimbursements that Executive receives in any other taxable year.</w:t>
      </w:r>
    </w:p>
    <w:p>
      <w:pPr>
        <w:pStyle w:val="TextBody"/>
        <w:spacing w:before="0" w:after="0"/>
        <w:rPr/>
      </w:pPr>
      <w:r>
        <w:rPr/>
      </w:r>
    </w:p>
    <w:p>
      <w:pPr>
        <w:pStyle w:val="TextBody"/>
        <w:spacing w:lineRule="auto" w:line="288"/>
        <w:ind w:left="0" w:right="0" w:firstLine="360"/>
        <w:jc w:val="both"/>
        <w:rPr/>
      </w:pPr>
      <w:r>
        <w:rPr>
          <w:rFonts w:ascii="Times New Roman;sans-serif" w:hAnsi="Times New Roman;sans-serif"/>
          <w:b w:val="false"/>
          <w:color w:val="000000"/>
          <w:sz w:val="24"/>
        </w:rPr>
        <w:t>20.    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xml:space="preserve">. If any provision or any part thereof of this Agreement, including Sections 7, 8, 9 and 10 hereof, as applied to either party or to any circumstances, shall be adjudged by a court of competent jurisdiction to be invalid or unenforceable, the same shall in no way affect any other provision or remaining part thereof of this Agreement, which shall be given full effect without regard to the invalid or unenforceable provision or part thereof, or the validity or enforceability of this Agreement. Upon such determination that any term or other provision is invalid, illegal or incapable of being enforced, the parties hereto shall negotiate in good faith to modify this Agreement so as to effect the original intent of the parties as closely as possible in a </w:t>
      </w:r>
      <w:r>
        <w:br w:type="page"/>
      </w:r>
    </w:p>
    <w:p>
      <w:pPr>
        <w:pStyle w:val="TextBody"/>
        <w:spacing w:before="0" w:after="0"/>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mutually acceptable manner in order that the transactions contemplated hereby be consummated as originally contemplated to the fullest extent possible.</w:t>
      </w:r>
    </w:p>
    <w:p>
      <w:pPr>
        <w:pStyle w:val="TextBody"/>
        <w:spacing w:before="0" w:after="0"/>
        <w:rPr/>
      </w:pPr>
      <w:r>
        <w:rPr/>
      </w:r>
    </w:p>
    <w:p>
      <w:pPr>
        <w:pStyle w:val="TextBody"/>
        <w:spacing w:lineRule="auto" w:line="288" w:before="0" w:after="0"/>
        <w:ind w:left="0" w:right="0" w:firstLine="360"/>
        <w:jc w:val="both"/>
        <w:rPr/>
      </w:pPr>
      <w:r>
        <w:rPr>
          <w:rFonts w:ascii="Times New Roman;sans-serif" w:hAnsi="Times New Roman;sans-serif"/>
          <w:b w:val="false"/>
          <w:color w:val="000000"/>
          <w:sz w:val="24"/>
        </w:rPr>
        <w:t>21.    </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Agreement constitutes the entire agreement and understanding between the Company and Executive with respect to the subject matter hereof and supersedes all prior agreements and understandings (whether written or oral), between Executive and the Company, relating to such subject matter. None of the parties shall be liable or bound to any other party in any manner by any representations and warranties or covenants relating to such subject matter except as specifically set forth herein.</w:t>
      </w:r>
    </w:p>
    <w:p>
      <w:pPr>
        <w:pStyle w:val="TextBody"/>
        <w:spacing w:before="0" w:after="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4"/>
        </w:rPr>
        <w:t>22.    </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The rights and obligations of the parties under the provisions of this Agreement (including without limitation, Sections 7 through 12 and Sections 14 and 18) shall survive, and remain binding and enforceable, notwithstanding the expiration of the Term, the termination of this Agreement, the termination of Executive’s employment hereunder or any settlement of the financial rights and obligations arising from Executive’s employment hereunder, to the extent necessary to preserve the intended benefits of such provisions.</w:t>
      </w:r>
    </w:p>
    <w:p>
      <w:pPr>
        <w:pStyle w:val="TextBody"/>
        <w:spacing w:before="0" w:after="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4"/>
        </w:rPr>
        <w:t>23.    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All notices or other communications required or permitted to be given hereunder shall be in writing and shall be delivered by hand or sent by facsimile or sent, postage prepaid, by registered, certified or express mail or overnight courier service and shall be deemed given when so delivered by hand or facsimile, or if mailed, three days after mailing (one business day in the case of express mail or overnight courier service) to the parties at the following addresses or facsimiles (or at such other address for a party as shall be specified by like notice):</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If to the Company: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ExlService Holdings, Inc. </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320 Park Avenue, 29th Floor </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New York, NY 10022 </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Attn: [____________]</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Email: [____________]</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With a copy to: </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ExlService Holdings, Inc.</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320 Park Avenue, 29th Floor</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New York, NY 10022</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Attn: [____________]</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Fax: [____________]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If to Executive: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[____________]</w:t>
      </w:r>
    </w:p>
    <w:p>
      <w:pPr>
        <w:pStyle w:val="TextBody"/>
        <w:spacing w:lineRule="auto" w:line="288"/>
        <w:rPr>
          <w:rFonts w:ascii="Times New Roman;sans-serif" w:hAnsi="Times New Roman;sans-serif"/>
          <w:b w:val="false"/>
          <w:color w:val="000000"/>
          <w:sz w:val="24"/>
        </w:rPr>
      </w:pPr>
      <w:r>
        <w:rPr>
          <w:rFonts w:ascii="Times New Roman;sans-serif" w:hAnsi="Times New Roman;sans-serif"/>
          <w:b w:val="false"/>
          <w:color w:val="000000"/>
          <w:sz w:val="24"/>
        </w:rPr>
        <w:t>[______________ ]</w:t>
      </w:r>
      <w:r>
        <w:br w:type="page"/>
      </w:r>
    </w:p>
    <w:p>
      <w:pPr>
        <w:pStyle w:val="TextBody"/>
        <w:spacing w:before="0" w:after="0"/>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[______________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Notices delivered by electronic mail shall have the same legal effect as if such notice had been delivered in person.</w:t>
      </w:r>
    </w:p>
    <w:p>
      <w:pPr>
        <w:pStyle w:val="TextBody"/>
        <w:spacing w:before="0" w:after="0"/>
        <w:rPr/>
      </w:pPr>
      <w:r>
        <w:rPr/>
      </w:r>
    </w:p>
    <w:p>
      <w:pPr>
        <w:pStyle w:val="TextBody"/>
        <w:spacing w:lineRule="auto" w:line="288" w:before="0" w:after="0"/>
        <w:ind w:left="0" w:right="0" w:firstLine="360"/>
        <w:jc w:val="both"/>
        <w:rPr/>
      </w:pPr>
      <w:r>
        <w:rPr>
          <w:rFonts w:ascii="Times New Roman;sans-serif" w:hAnsi="Times New Roman;sans-serif"/>
          <w:b w:val="false"/>
          <w:color w:val="000000"/>
          <w:sz w:val="24"/>
        </w:rPr>
        <w:t>24.    Headings</w:t>
      </w:r>
      <w:r>
        <w:rPr>
          <w:color w:val="000000"/>
          <w:u w:val="single"/>
        </w:rPr>
        <w:t xml:space="preserve"> </w:t>
      </w:r>
      <w:r>
        <w:rPr>
          <w:rFonts w:ascii="Times New Roman;sans-serif" w:hAnsi="Times New Roman;sans-serif"/>
          <w:b w:val="false"/>
          <w:color w:val="000000"/>
          <w:sz w:val="24"/>
          <w:u w:val="single"/>
        </w:rPr>
        <w:t>and References</w:t>
      </w:r>
      <w:r>
        <w:rPr>
          <w:rFonts w:ascii="Times New Roman;sans-serif" w:hAnsi="Times New Roman;sans-serif"/>
          <w:b w:val="false"/>
          <w:color w:val="000000"/>
          <w:sz w:val="24"/>
        </w:rPr>
        <w:t>. The headings of this Agreement are inserted for convenience only and neither constitute a part of this Agreement nor affect in any way the meaning or interpretation of this Agreement. When a reference in this Agreement is made to a Section, such reference shall be to a Section of this Agreement unless otherwise indicated.</w:t>
      </w:r>
    </w:p>
    <w:p>
      <w:pPr>
        <w:pStyle w:val="TextBody"/>
        <w:spacing w:before="0" w:after="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4"/>
        </w:rPr>
        <w:t>25.    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xml:space="preserve">. This Agreement may be executed simultaneously in two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party. Copies and facsimile or scanned copies of this Agreement, and the signatures contained therein, shall be as effective as the original Agreement and signatures. </w: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pStyle w:val="TextBody"/>
        <w:spacing w:lineRule="auto" w:line="288" w:before="0" w:after="0"/>
        <w:rPr>
          <w:color w:val="000000"/>
        </w:rPr>
      </w:pPr>
      <w:r>
        <w:rPr>
          <w:color w:val="000000"/>
        </w:rPr>
        <w:t>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this Agreement has been duly executed by the parties as of the date set forth below.</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EXLSERVICE HOLDINGS, INC.</w:t>
      </w:r>
    </w:p>
    <w:p>
      <w:pPr>
        <w:pStyle w:val="TextBody"/>
        <w:spacing w:before="0" w:after="0"/>
        <w:rPr/>
      </w:pPr>
      <w:r>
        <w:rPr/>
      </w:r>
    </w:p>
    <w:p>
      <w:pPr>
        <w:pStyle w:val="TextBody"/>
        <w:spacing w:before="0" w:after="0"/>
        <w:rPr/>
      </w:pPr>
      <w:r>
        <w:rPr/>
      </w:r>
    </w:p>
    <w:p>
      <w:pPr>
        <w:pStyle w:val="TextBody"/>
        <w:spacing w:lineRule="auto" w:line="432" w:before="0" w:after="0"/>
        <w:rPr>
          <w:rFonts w:ascii="Times New Roman;sans-serif" w:hAnsi="Times New Roman;sans-serif"/>
          <w:b w:val="false"/>
          <w:color w:val="000000"/>
          <w:sz w:val="24"/>
        </w:rPr>
      </w:pPr>
      <w:r>
        <w:rPr>
          <w:rFonts w:ascii="Times New Roman;sans-serif" w:hAnsi="Times New Roman;sans-serif"/>
          <w:b w:val="false"/>
          <w:color w:val="000000"/>
          <w:sz w:val="24"/>
        </w:rPr>
        <w:t>By:___________________________</w:t>
      </w:r>
    </w:p>
    <w:p>
      <w:pPr>
        <w:pStyle w:val="TextBody"/>
        <w:spacing w:lineRule="auto" w:line="432"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Name: </w:t>
      </w:r>
    </w:p>
    <w:p>
      <w:pPr>
        <w:pStyle w:val="TextBody"/>
        <w:spacing w:lineRule="auto" w:line="432"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w:t>
      </w:r>
    </w:p>
    <w:p>
      <w:pPr>
        <w:pStyle w:val="TextBody"/>
        <w:spacing w:lineRule="auto" w:line="432" w:before="0" w:after="0"/>
        <w:rPr>
          <w:rFonts w:ascii="Times New Roman;sans-serif" w:hAnsi="Times New Roman;sans-serif"/>
          <w:b w:val="false"/>
          <w:color w:val="000000"/>
          <w:sz w:val="24"/>
        </w:rPr>
      </w:pPr>
      <w:r>
        <w:rPr>
          <w:rFonts w:ascii="Times New Roman;sans-serif" w:hAnsi="Times New Roman;sans-serif"/>
          <w:b w:val="false"/>
          <w:color w:val="000000"/>
          <w:sz w:val="24"/>
        </w:rPr>
        <w:t>Date:</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[NAME OF EMPLOYEE]</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Date: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Termination Certification</w:t>
      </w:r>
    </w:p>
    <w:p>
      <w:pPr>
        <w:pStyle w:val="TextBody"/>
        <w:spacing w:before="0" w:after="0"/>
        <w:jc w:val="center"/>
        <w:rPr/>
      </w:pPr>
      <w:r>
        <w:rPr/>
      </w:r>
    </w:p>
    <w:p>
      <w:pPr>
        <w:pStyle w:val="TextBody"/>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is to certify that I do not have in my possession, nor have I failed to return or securely destroy, any Confidential Information (as defined in my confidentiality or non- disclosure agreement with the Company (the “Agreement”) or copies of such information in electronic or any other form, or any other non-confidential documents, materials, equipment or other property belonging to the Company. Upon request, I will make any personal devices used for company correspondence available for inspection to ensure that no company confidential information is retained on such devices. If I have any questions about how to securely destroy electronic data, I will seek advice from the Company’s information technology group. I understand that these obligations apply to information and data in any form, regardless of whether the storage device is owned by me or the Company, including without limitation paper, laptops, home computers, personal devices (e.g., smart phones and tablets, such as iphones, ipads and blackberries), cloud storage for personal devices, cloud storage of personal email (e.g., gmail, hotmail or yahoo mail), portable storage devices (e.g., USBs and flash drives), or any similar or new device or storage mechanism.</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further certify that I have complied with and will continue to comply with all of the terms of the Agreement, including the reporting and provision of any information or documentation regarding any Inventions (as defined in the Agreement) conceived or made by me that are covered by the Agreement.</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further agree that, in compliance with the Agreement, I will preserve as confidential and not use any Confidential Information (as defined in the Agreement), Inventions or other information that has or could have commercial value or other utility in the business in which the Company is engaged or in which it contemplates engaging. I will not participate in the unauthorized disclosure or use of information that could be detrimental to the interests of the Company, whether or not such information is identified as Confidential Information by the Company.</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[Employee]</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Dated:_________________ _______ </w:t>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240"/>
        <w:jc w:val="right"/>
        <w:rPr>
          <w:rFonts w:ascii="Times New Roman;sans-serif" w:hAnsi="Times New Roman;sans-serif"/>
          <w:b/>
          <w:color w:val="000000"/>
          <w:sz w:val="22"/>
        </w:rPr>
      </w:pPr>
      <w:r>
        <w:rPr>
          <w:rFonts w:ascii="Times New Roman;sans-serif" w:hAnsi="Times New Roman;sans-serif"/>
          <w:b/>
          <w:color w:val="000000"/>
          <w:sz w:val="22"/>
        </w:rPr>
        <w:t>Exhibit 10.5</w:t>
      </w:r>
    </w:p>
    <w:p>
      <w:pPr>
        <w:pStyle w:val="TextBody"/>
        <w:spacing w:lineRule="auto" w:line="264" w:before="0" w:after="2"/>
        <w:jc w:val="center"/>
        <w:rPr>
          <w:rFonts w:ascii="Times New Roman;sans-serif" w:hAnsi="Times New Roman;sans-serif"/>
          <w:b/>
          <w:color w:val="000000"/>
          <w:sz w:val="24"/>
        </w:rPr>
      </w:pPr>
      <w:r>
        <w:rPr>
          <w:rFonts w:ascii="Times New Roman;sans-serif" w:hAnsi="Times New Roman;sans-serif"/>
          <w:b/>
          <w:color w:val="000000"/>
          <w:sz w:val="24"/>
        </w:rPr>
        <w:t>EMPLOYMENT AGREEMENT</w:t>
      </w:r>
    </w:p>
    <w:p>
      <w:pPr>
        <w:pStyle w:val="TextBody"/>
        <w:spacing w:before="0" w:after="0"/>
        <w:rPr/>
      </w:pPr>
      <w:r>
        <w:rPr/>
      </w:r>
    </w:p>
    <w:p>
      <w:pPr>
        <w:pStyle w:val="TextBody"/>
        <w:spacing w:before="0" w:after="0"/>
        <w:jc w:val="center"/>
        <w:rPr/>
      </w:pPr>
      <w:r>
        <w:rPr/>
      </w:r>
    </w:p>
    <w:p>
      <w:pPr>
        <w:pStyle w:val="TextBody"/>
        <w:spacing w:lineRule="auto" w:line="268" w:before="0" w:after="0"/>
        <w:ind w:left="0" w:right="0" w:firstLine="720"/>
        <w:jc w:val="both"/>
        <w:rPr/>
      </w:pPr>
      <w:r>
        <w:rPr>
          <w:rFonts w:ascii="Times New Roman;sans-serif" w:hAnsi="Times New Roman;sans-serif"/>
          <w:b w:val="false"/>
          <w:color w:val="000000"/>
          <w:sz w:val="22"/>
        </w:rPr>
        <w:t>THIS EMPLOYMENT AGREEMENT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2"/>
        </w:rPr>
        <w:t>), is entered into by and between exl Service.com (India) Private Limited, a company registered</w:t>
      </w:r>
      <w:r>
        <w:rPr>
          <w:color w:val="000000"/>
        </w:rPr>
        <w:t xml:space="preserve"> </w:t>
      </w:r>
      <w:r>
        <w:rPr>
          <w:rFonts w:ascii="Times New Roman;sans-serif" w:hAnsi="Times New Roman;sans-serif"/>
          <w:b w:val="false"/>
          <w:color w:val="000000"/>
          <w:sz w:val="22"/>
        </w:rPr>
        <w:t>under the Companies Act, 1956 and having its registered office at 414, 4th Floor, DLF Jasola Tower B, Plot No. 10 &amp; 11 DDA District Centre, Jasola, New Delhi-110044, India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2"/>
        </w:rPr>
        <w:t>), and Vikas Bhalla</w:t>
      </w:r>
      <w:r>
        <w:rPr>
          <w:rFonts w:ascii="Times New Roman;sans-serif" w:hAnsi="Times New Roman;sans-serif"/>
          <w:b w:val="false"/>
          <w:color w:val="000000"/>
          <w:sz w:val="24"/>
        </w:rPr>
        <w:t xml:space="preserve">, </w:t>
      </w:r>
      <w:r>
        <w:rPr>
          <w:rFonts w:ascii="Times New Roman;sans-serif" w:hAnsi="Times New Roman;sans-serif"/>
          <w:b w:val="false"/>
          <w:color w:val="000000"/>
          <w:sz w:val="22"/>
        </w:rPr>
        <w:t>an Indian citizen, presently residing at [**REDACTED FOR PRIVACY**] (“</w:t>
      </w:r>
      <w:r>
        <w:rPr>
          <w:rFonts w:ascii="Times New Roman;sans-serif" w:hAnsi="Times New Roman;sans-serif"/>
          <w:b/>
          <w:color w:val="000000"/>
          <w:sz w:val="24"/>
        </w:rPr>
        <w:t>Executive</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4"/>
        </w:rPr>
        <w:t>You</w:t>
      </w:r>
      <w:r>
        <w:rPr>
          <w:color w:val="000000"/>
        </w:rPr>
        <w:t>”</w:t>
      </w:r>
      <w:r>
        <w:rPr>
          <w:rFonts w:ascii="Times New Roman;sans-serif" w:hAnsi="Times New Roman;sans-serif"/>
          <w:b w:val="false"/>
          <w:color w:val="000000"/>
          <w:sz w:val="22"/>
        </w:rPr>
        <w:t>) and shall be effective as of the Effective Date as defined below.</w:t>
      </w:r>
    </w:p>
    <w:p>
      <w:pPr>
        <w:pStyle w:val="TextBody"/>
        <w:spacing w:before="0" w:after="0"/>
        <w:rPr/>
      </w:pPr>
      <w:r>
        <w:rPr/>
      </w:r>
    </w:p>
    <w:p>
      <w:pPr>
        <w:pStyle w:val="TextBody"/>
        <w:spacing w:lineRule="auto" w:line="268" w:before="0" w:after="0"/>
        <w:ind w:left="0" w:right="0" w:firstLine="1560"/>
        <w:jc w:val="both"/>
        <w:rPr>
          <w:rFonts w:ascii="Times New Roman;sans-serif" w:hAnsi="Times New Roman;sans-serif"/>
          <w:b w:val="false"/>
          <w:color w:val="000000"/>
          <w:sz w:val="22"/>
        </w:rPr>
      </w:pPr>
      <w:r>
        <w:rPr>
          <w:rFonts w:ascii="Times New Roman;sans-serif" w:hAnsi="Times New Roman;sans-serif"/>
          <w:b w:val="false"/>
          <w:color w:val="000000"/>
          <w:sz w:val="22"/>
        </w:rPr>
        <w:t>WHEREAS, Executive has offered to serve the Company, and the Company desires to employ Executive, subject to the terms and conditions set forth herein.</w:t>
      </w:r>
    </w:p>
    <w:p>
      <w:pPr>
        <w:pStyle w:val="TextBody"/>
        <w:spacing w:before="0" w:after="0"/>
        <w:rPr/>
      </w:pPr>
      <w:r>
        <w:rPr/>
      </w:r>
    </w:p>
    <w:p>
      <w:pPr>
        <w:pStyle w:val="TextBody"/>
        <w:spacing w:lineRule="auto" w:line="268" w:before="0" w:after="0"/>
        <w:ind w:left="0" w:right="0" w:firstLine="156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mutual agreements, provisions and covenants contained herein, and intending to be legally bound hereby, the parties hereto agree as set forth below:</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Term; Effectiveness</w:t>
      </w:r>
    </w:p>
    <w:p>
      <w:pPr>
        <w:pStyle w:val="TextBody"/>
        <w:spacing w:before="0" w:after="0"/>
        <w:rPr/>
      </w:pPr>
      <w:r>
        <w:rPr/>
      </w:r>
    </w:p>
    <w:p>
      <w:pPr>
        <w:pStyle w:val="TextBody"/>
        <w:spacing w:lineRule="auto" w:line="268" w:before="0" w:after="120"/>
        <w:ind w:left="0" w:right="0" w:firstLine="1530"/>
        <w:jc w:val="both"/>
        <w:rPr/>
      </w:pPr>
      <w:r>
        <w:rPr>
          <w:rFonts w:ascii="Times New Roman;sans-serif" w:hAnsi="Times New Roman;sans-serif"/>
          <w:b w:val="false"/>
          <w:color w:val="000000"/>
          <w:sz w:val="24"/>
        </w:rPr>
        <w:t>(a)</w:t>
      </w:r>
      <w:r>
        <w:rPr>
          <w:rFonts w:ascii="Times New Roman;sans-serif" w:hAnsi="Times New Roman;sans-serif"/>
          <w:b w:val="false"/>
          <w:color w:val="000000"/>
          <w:sz w:val="22"/>
        </w:rPr>
        <w:t>The term</w:t>
      </w:r>
      <w:r>
        <w:rPr>
          <w:color w:val="000000"/>
        </w:rPr>
        <w:t xml:space="preserve"> </w:t>
      </w:r>
      <w:r>
        <w:rPr>
          <w:rFonts w:ascii="Times New Roman;sans-serif" w:hAnsi="Times New Roman;sans-serif"/>
          <w:b w:val="false"/>
          <w:color w:val="000000"/>
          <w:sz w:val="22"/>
        </w:rPr>
        <w:t>of</w:t>
      </w:r>
      <w:r>
        <w:rPr>
          <w:color w:val="000000"/>
        </w:rPr>
        <w:t xml:space="preserve"> </w:t>
      </w:r>
      <w:r>
        <w:rPr>
          <w:rFonts w:ascii="Times New Roman;sans-serif" w:hAnsi="Times New Roman;sans-serif"/>
          <w:b w:val="false"/>
          <w:color w:val="000000"/>
          <w:sz w:val="22"/>
        </w:rPr>
        <w:t>Executive’s</w:t>
      </w:r>
      <w:r>
        <w:rPr>
          <w:color w:val="000000"/>
        </w:rPr>
        <w:t xml:space="preserve"> </w:t>
      </w:r>
      <w:r>
        <w:rPr>
          <w:rFonts w:ascii="Times New Roman;sans-serif" w:hAnsi="Times New Roman;sans-serif"/>
          <w:b w:val="false"/>
          <w:color w:val="000000"/>
          <w:sz w:val="22"/>
        </w:rPr>
        <w:t>employment under this Agreement shall commence as of November 1, 2021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2"/>
        </w:rPr>
        <w:t>) and shall continue until Executive’s employment under this Agreement is terminated pursuant to the provisions of Section 5 hereof. The period of time from the Effective Date through the termination of Executive’s employment hereunder is herein referred to as the “</w:t>
      </w:r>
      <w:r>
        <w:rPr>
          <w:rFonts w:ascii="Times New Roman;sans-serif" w:hAnsi="Times New Roman;sans-serif"/>
          <w:b/>
          <w:color w:val="000000"/>
          <w:sz w:val="24"/>
        </w:rPr>
        <w:t>Term</w:t>
      </w:r>
      <w:r>
        <w:rPr>
          <w:rFonts w:ascii="Times New Roman;sans-serif" w:hAnsi="Times New Roman;sans-serif"/>
          <w:b w:val="false"/>
          <w:color w:val="000000"/>
          <w:sz w:val="22"/>
        </w:rPr>
        <w:t>.” Executive and the Company hereby agree that, as of the Effective Date, any existing employment agreements or arrangements are hereby terminated in their entireties.</w:t>
      </w:r>
    </w:p>
    <w:p>
      <w:pPr>
        <w:pStyle w:val="TextBody"/>
        <w:spacing w:lineRule="auto" w:line="268" w:before="0" w:after="120"/>
        <w:ind w:left="0" w:right="0" w:firstLine="153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Company may require the Executive to undergo a medical examination from time to time and submit a medical report certifying the Executive's fitness in performing his/her duties and obligations under this Agreement.</w:t>
      </w:r>
    </w:p>
    <w:p>
      <w:pPr>
        <w:pStyle w:val="TextBody"/>
        <w:spacing w:lineRule="auto" w:line="268" w:before="0" w:after="120"/>
        <w:ind w:left="0" w:right="0" w:firstLine="153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This Agreement shall be binding upon the parties upon the execution hereof.</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2.</w:t>
      </w:r>
      <w:r>
        <w:rPr>
          <w:rFonts w:ascii="Times New Roman;sans-serif" w:hAnsi="Times New Roman;sans-serif"/>
          <w:b w:val="false"/>
          <w:color w:val="000000"/>
          <w:sz w:val="22"/>
          <w:u w:val="single"/>
        </w:rPr>
        <w:t>Definitions</w:t>
      </w:r>
      <w:r>
        <w:rPr>
          <w:rFonts w:ascii="Times New Roman;sans-serif" w:hAnsi="Times New Roman;sans-serif"/>
          <w:b w:val="false"/>
          <w:i/>
          <w:color w:val="000000"/>
          <w:sz w:val="22"/>
        </w:rPr>
        <w:t xml:space="preserve">. </w:t>
      </w:r>
      <w:r>
        <w:rPr>
          <w:rFonts w:ascii="Times New Roman;sans-serif" w:hAnsi="Times New Roman;sans-serif"/>
          <w:b w:val="false"/>
          <w:color w:val="000000"/>
          <w:sz w:val="22"/>
        </w:rPr>
        <w:t>For purposes of this Agreement, the following terms, as used herein, shall have the definitions set forth below.</w:t>
      </w:r>
    </w:p>
    <w:p>
      <w:pPr>
        <w:pStyle w:val="TextBody"/>
        <w:spacing w:before="0" w:after="0"/>
        <w:rPr/>
      </w:pPr>
      <w:r>
        <w:rPr/>
      </w:r>
    </w:p>
    <w:p>
      <w:pPr>
        <w:pStyle w:val="TextBody"/>
        <w:spacing w:lineRule="auto" w:line="268" w:before="0" w:after="120"/>
        <w:ind w:left="0" w:right="0" w:firstLine="1530"/>
        <w:jc w:val="both"/>
        <w:rPr/>
      </w:pPr>
      <w:r>
        <w:rPr>
          <w:rFonts w:ascii="Times New Roman;sans-serif" w:hAnsi="Times New Roman;sans-serif"/>
          <w:b w:val="false"/>
          <w:color w:val="000000"/>
          <w:sz w:val="24"/>
        </w:rPr>
        <w:t>(a)</w:t>
      </w:r>
      <w:r>
        <w:rPr>
          <w:color w:val="000000"/>
        </w:rPr>
        <w:t>“</w:t>
      </w:r>
      <w:r>
        <w:rPr>
          <w:rFonts w:ascii="Times New Roman;sans-serif" w:hAnsi="Times New Roman;sans-serif"/>
          <w:b/>
          <w:color w:val="000000"/>
          <w:sz w:val="24"/>
        </w:rPr>
        <w:t>Affiliate</w:t>
      </w:r>
      <w:r>
        <w:rPr>
          <w:color w:val="000000"/>
        </w:rPr>
        <w:t xml:space="preserve">” </w:t>
      </w:r>
      <w:r>
        <w:rPr>
          <w:rFonts w:ascii="Times New Roman;sans-serif" w:hAnsi="Times New Roman;sans-serif"/>
          <w:b w:val="false"/>
          <w:color w:val="000000"/>
          <w:sz w:val="22"/>
        </w:rPr>
        <w:t>means, with respect to any specified Person, any other Person that directly or indirectly, through one or more intermediaries, Controls, is Controlled by, or is under common Control with, such specified Person, provided that, in any event, any business in which the Company has any direct or indirect ownership interest shall be treated as an Affiliate of the Company.</w:t>
      </w:r>
    </w:p>
    <w:p>
      <w:pPr>
        <w:pStyle w:val="TextBody"/>
        <w:spacing w:lineRule="auto" w:line="268" w:before="0" w:after="120"/>
        <w:ind w:left="0" w:right="0" w:firstLine="1530"/>
        <w:jc w:val="both"/>
        <w:rPr/>
      </w:pPr>
      <w:r>
        <w:rPr>
          <w:rFonts w:ascii="Times New Roman;sans-serif" w:hAnsi="Times New Roman;sans-serif"/>
          <w:b w:val="false"/>
          <w:color w:val="000000"/>
          <w:sz w:val="22"/>
        </w:rPr>
        <w:t>(b)</w:t>
      </w:r>
      <w:r>
        <w:rPr>
          <w:color w:val="000000"/>
        </w:rPr>
        <w:t>“</w:t>
      </w:r>
      <w:r>
        <w:rPr>
          <w:rFonts w:ascii="Times New Roman;sans-serif" w:hAnsi="Times New Roman;sans-serif"/>
          <w:b/>
          <w:color w:val="000000"/>
          <w:sz w:val="24"/>
        </w:rPr>
        <w:t>Control</w:t>
      </w:r>
      <w:r>
        <w:rPr>
          <w:color w:val="000000"/>
        </w:rPr>
        <w:t xml:space="preserve">” </w:t>
      </w:r>
      <w:r>
        <w:rPr>
          <w:rFonts w:ascii="Times New Roman;sans-serif" w:hAnsi="Times New Roman;sans-serif"/>
          <w:b w:val="false"/>
          <w:color w:val="000000"/>
          <w:sz w:val="22"/>
        </w:rPr>
        <w:t>means, the possession, direct or indirect, of the power to direct or cause the direction of the management and policies of a Person, whether through the ownership of voting securities, by contract or otherwise.</w:t>
      </w:r>
    </w:p>
    <w:p>
      <w:pPr>
        <w:pStyle w:val="TextBody"/>
        <w:spacing w:lineRule="auto" w:line="268" w:before="0" w:after="120"/>
        <w:ind w:left="0" w:right="0" w:firstLine="1530"/>
        <w:jc w:val="both"/>
        <w:rPr/>
      </w:pPr>
      <w:r>
        <w:rPr>
          <w:rFonts w:ascii="Times New Roman;sans-serif" w:hAnsi="Times New Roman;sans-serif"/>
          <w:b w:val="false"/>
          <w:color w:val="000000"/>
          <w:sz w:val="22"/>
        </w:rPr>
        <w:t>(c)</w:t>
      </w:r>
      <w:r>
        <w:rPr>
          <w:color w:val="000000"/>
        </w:rPr>
        <w:t>“</w:t>
      </w:r>
      <w:r>
        <w:rPr>
          <w:rFonts w:ascii="Times New Roman;sans-serif" w:hAnsi="Times New Roman;sans-serif"/>
          <w:b/>
          <w:color w:val="000000"/>
          <w:sz w:val="24"/>
        </w:rPr>
        <w:t>Person</w:t>
      </w:r>
      <w:r>
        <w:rPr>
          <w:color w:val="000000"/>
        </w:rPr>
        <w:t xml:space="preserve">” </w:t>
      </w:r>
      <w:r>
        <w:rPr>
          <w:rFonts w:ascii="Times New Roman;sans-serif" w:hAnsi="Times New Roman;sans-serif"/>
          <w:b w:val="false"/>
          <w:color w:val="000000"/>
          <w:sz w:val="22"/>
        </w:rPr>
        <w:t>means any individual, corporation, partnership, limited liability company, firm, joint venture, association, joint-stock company, trust, unincorporated organization, governmental or regulatory body or other entity.</w:t>
      </w:r>
    </w:p>
    <w:p>
      <w:pPr>
        <w:pStyle w:val="TextBody"/>
        <w:spacing w:lineRule="auto" w:line="268" w:before="0" w:after="120"/>
        <w:ind w:left="0" w:right="0" w:firstLine="1530"/>
        <w:jc w:val="both"/>
        <w:rPr/>
      </w:pPr>
      <w:r>
        <w:rPr>
          <w:rFonts w:ascii="Times New Roman;sans-serif" w:hAnsi="Times New Roman;sans-serif"/>
          <w:b w:val="false"/>
          <w:color w:val="000000"/>
          <w:sz w:val="22"/>
        </w:rPr>
        <w:t>(d)</w:t>
      </w:r>
      <w:r>
        <w:rPr>
          <w:color w:val="000000"/>
        </w:rPr>
        <w:t>“</w:t>
      </w:r>
      <w:r>
        <w:rPr>
          <w:rFonts w:ascii="Times New Roman;sans-serif" w:hAnsi="Times New Roman;sans-serif"/>
          <w:b/>
          <w:color w:val="000000"/>
          <w:sz w:val="24"/>
        </w:rPr>
        <w:t>Subsidiary</w:t>
      </w:r>
      <w:r>
        <w:rPr>
          <w:color w:val="000000"/>
        </w:rPr>
        <w:t xml:space="preserve">” </w:t>
      </w:r>
      <w:r>
        <w:rPr>
          <w:rFonts w:ascii="Times New Roman;sans-serif" w:hAnsi="Times New Roman;sans-serif"/>
          <w:b w:val="false"/>
          <w:color w:val="000000"/>
          <w:sz w:val="22"/>
        </w:rPr>
        <w:t xml:space="preserve">means, with respect to any Person, (i) any corporation of which at least a majority of the voting power with respect to the capital stock is owned, directly or indirectly, by </w:t>
      </w:r>
      <w:r>
        <w:br w:type="page"/>
      </w:r>
    </w:p>
    <w:p>
      <w:pPr>
        <w:pStyle w:val="TextBody"/>
        <w:spacing w:before="0" w:after="0"/>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6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such Person, any of its other Subsidiaries or any combination thereof or (ii) any Person other than a corporation in which such Person, any of its other Subsidiaries or any combination thereof has, directly or indirectly, at least a majority of the total equity or other ownership interest therein.</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3.</w:t>
      </w:r>
      <w:r>
        <w:rPr>
          <w:rFonts w:ascii="Times New Roman;sans-serif" w:hAnsi="Times New Roman;sans-serif"/>
          <w:b w:val="false"/>
          <w:color w:val="000000"/>
          <w:sz w:val="22"/>
          <w:u w:val="single"/>
        </w:rPr>
        <w:t>Duties and Responsibilities</w:t>
      </w:r>
      <w:r>
        <w:rPr>
          <w:rFonts w:ascii="Times New Roman;sans-serif" w:hAnsi="Times New Roman;sans-serif"/>
          <w:b w:val="false"/>
          <w:color w:val="000000"/>
          <w:sz w:val="22"/>
        </w:rPr>
        <w:t xml:space="preserve">. </w:t>
      </w:r>
    </w:p>
    <w:p>
      <w:pPr>
        <w:pStyle w:val="TextBody"/>
        <w:spacing w:before="0" w:after="0"/>
        <w:rPr/>
      </w:pPr>
      <w:r>
        <w:rPr/>
      </w:r>
    </w:p>
    <w:p>
      <w:pPr>
        <w:pStyle w:val="TextBody"/>
        <w:spacing w:lineRule="auto" w:line="268" w:before="0" w:after="120"/>
        <w:ind w:left="0" w:right="0" w:firstLine="153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Executive agrees to be employed by the Company and be actively engaged on a full-time basis in the business and activities of the Company and its Affiliates for the entirety of the Term, and, subject to Section 3(b), to devote substantially all of Executive’s working time and attention to the Company and its Affiliates and the promotion of its business and interests and the performance of Executive’s duties and responsibilities hereunder.</w:t>
      </w:r>
      <w:r>
        <w:rPr>
          <w:color w:val="000000"/>
        </w:rPr>
        <w:t xml:space="preserve"> </w:t>
      </w:r>
      <w:r>
        <w:rPr>
          <w:rFonts w:ascii="Times New Roman;sans-serif" w:hAnsi="Times New Roman;sans-serif"/>
          <w:b w:val="false"/>
          <w:color w:val="000000"/>
          <w:sz w:val="22"/>
        </w:rPr>
        <w:t>During the Term, Executive agrees to use Executive’s reasonable best efforts to ensure that the business and activities of the Company and its Subsidiaries, that are under Executive’s direction, are conducted in accordance with the Company’s practices and/or applicable laws, rules and regulations in all material respects and as such are interpreted by the Company’s law department and compliance professionals.</w:t>
      </w:r>
      <w:r>
        <w:rPr>
          <w:color w:val="000000"/>
        </w:rPr>
        <w:t xml:space="preserve"> </w:t>
      </w:r>
      <w:r>
        <w:rPr>
          <w:rFonts w:ascii="Times New Roman;sans-serif" w:hAnsi="Times New Roman;sans-serif"/>
          <w:b w:val="false"/>
          <w:color w:val="000000"/>
          <w:sz w:val="22"/>
        </w:rPr>
        <w:t>The Executive shall not have the right or the authority to make any representation, contract or commitment for or on behalf of the Company without obtaining the prior written permission of the Company in this regard. Except as may be authorized by the Board, the Executive shall have no authority, implied or otherwise, to pledge the credit of the Company. In the event the Company is held liable for any damage, loss, claim or action arising directly or indirectly from any action of the Executive in violation of this Clause, the Executive shall indemnify the Company to the maximum extent permissible under the laws for the time being in force in India. Executive shall be employed hereunder as Executive Vice President, Head of Insurance, or such other title as agreed to between Executive and the Chief Executive Officer of the Company’s parent company, ExlService Holdings, Inc. (“</w:t>
      </w:r>
      <w:r>
        <w:rPr>
          <w:rFonts w:ascii="Times New Roman;sans-serif" w:hAnsi="Times New Roman;sans-serif"/>
          <w:b/>
          <w:color w:val="000000"/>
          <w:sz w:val="24"/>
        </w:rPr>
        <w:t>Holdings</w:t>
      </w:r>
      <w:r>
        <w:rPr>
          <w:color w:val="000000"/>
        </w:rPr>
        <w:t>”</w:t>
      </w:r>
      <w:r>
        <w:rPr>
          <w:rFonts w:ascii="Times New Roman;sans-serif" w:hAnsi="Times New Roman;sans-serif"/>
          <w:b w:val="false"/>
          <w:color w:val="000000"/>
          <w:sz w:val="22"/>
        </w:rPr>
        <w:t>) with such duties and responsibilities customary for companies of comparable size to the Company in the Company’s industry and commensurate with Executive’s status and position hereunder and as directed from time to time by the Chief Executive Officer of Holdings. Executive shall report directly to the Chief Executive Officer of Holdings.</w:t>
      </w:r>
    </w:p>
    <w:p>
      <w:pPr>
        <w:pStyle w:val="TextBody"/>
        <w:spacing w:lineRule="auto" w:line="268" w:before="0" w:after="120"/>
        <w:ind w:left="0" w:right="0" w:firstLine="153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During the Term, Executive shall use Executive’s reasonable best efforts to faithfully and diligently serve the Company and shall not act in any capacity that is in conflict with Executive’s duties and responsibilities hereunder. For the avoidance of doubt, during the Term, Executive shall not be permitted to become employed by, engaged in or to render services for any Person other than the Company and its Affiliates, shall not be permitted to be a member of the board of directors of any Person (other than charitable or nonprofit organizations), in any case without the consent of the Board of Directors of Holdings (the “</w:t>
      </w:r>
      <w:r>
        <w:rPr>
          <w:rFonts w:ascii="Times New Roman;sans-serif" w:hAnsi="Times New Roman;sans-serif"/>
          <w:b/>
          <w:color w:val="000000"/>
          <w:sz w:val="24"/>
        </w:rPr>
        <w:t>Board</w:t>
      </w:r>
      <w:r>
        <w:rPr>
          <w:color w:val="000000"/>
        </w:rPr>
        <w:t>”</w:t>
      </w:r>
      <w:r>
        <w:rPr>
          <w:rFonts w:ascii="Times New Roman;sans-serif" w:hAnsi="Times New Roman;sans-serif"/>
          <w:b w:val="false"/>
          <w:color w:val="000000"/>
          <w:sz w:val="22"/>
        </w:rPr>
        <w:t>), and shall not be directly or indirectly materially engaged, or concerned or interested in any business activity, trade or occupation (other than employment with the Company and its Affiliates as contemplated by this Agreement); provided that nothing herein shall preclude Executive from engaging in charitable or community affairs and managing Executive’s personal investments to the extent that such other activities do not inhibit or, subject to Section 7, conflict in any material way with the performance of Executive’s duties hereunder.</w:t>
      </w:r>
    </w:p>
    <w:p>
      <w:pPr>
        <w:pStyle w:val="TextBody"/>
        <w:spacing w:lineRule="auto" w:line="268" w:before="0" w:after="120"/>
        <w:ind w:left="0" w:right="0" w:firstLine="153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Your principal office location is at the Company’s offices in Noida, India, but You will be required to work from or to travel to other locations both within and outside India, from time to time, on a temporary basis, to perform Your duties. You shall, at all times, be subject to and bound by the policies, rules and regulations of the Company as may be updated from time to time unilaterally by the Company or as may be brought to Your notice by the Company.</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4.</w:t>
      </w:r>
      <w:r>
        <w:rPr>
          <w:rFonts w:ascii="Times New Roman;sans-serif" w:hAnsi="Times New Roman;sans-serif"/>
          <w:b w:val="false"/>
          <w:color w:val="000000"/>
          <w:sz w:val="22"/>
          <w:u w:val="single"/>
        </w:rPr>
        <w:t>Compensation and Related Matters</w:t>
      </w:r>
      <w:r>
        <w:rPr>
          <w:rFonts w:ascii="Times New Roman;sans-serif" w:hAnsi="Times New Roman;sans-serif"/>
          <w:b w:val="false"/>
          <w:color w:val="000000"/>
          <w:sz w:val="22"/>
        </w:rPr>
        <w:t xml:space="preserve">. </w:t>
      </w:r>
    </w:p>
    <w:p>
      <w:pPr>
        <w:pStyle w:val="TextBody"/>
        <w:spacing w:before="0" w:after="0"/>
        <w:rPr/>
      </w:pPr>
      <w:r>
        <w:rPr/>
      </w:r>
    </w:p>
    <w:p>
      <w:pPr>
        <w:pStyle w:val="TextBody"/>
        <w:spacing w:lineRule="auto" w:line="268" w:before="0" w:after="120"/>
        <w:ind w:left="0" w:right="0" w:firstLine="153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Base Compensation</w:t>
      </w:r>
      <w:r>
        <w:rPr>
          <w:rFonts w:ascii="Times New Roman;sans-serif" w:hAnsi="Times New Roman;sans-serif"/>
          <w:b w:val="false"/>
          <w:color w:val="000000"/>
          <w:sz w:val="22"/>
        </w:rPr>
        <w:t>. During the Term, for all services rendered under this Agreement, Executive shall receive an aggregate annualized base salary (“</w:t>
      </w:r>
      <w:r>
        <w:rPr>
          <w:rFonts w:ascii="Times New Roman;sans-serif" w:hAnsi="Times New Roman;sans-serif"/>
          <w:b/>
          <w:color w:val="000000"/>
          <w:sz w:val="24"/>
        </w:rPr>
        <w:t>Base Salary</w:t>
      </w:r>
      <w:r>
        <w:rPr>
          <w:color w:val="000000"/>
        </w:rPr>
        <w:t>”</w:t>
      </w:r>
      <w:r>
        <w:rPr>
          <w:rFonts w:ascii="Times New Roman;sans-serif" w:hAnsi="Times New Roman;sans-serif"/>
          <w:b w:val="false"/>
          <w:color w:val="000000"/>
          <w:sz w:val="22"/>
        </w:rPr>
        <w:t xml:space="preserve">) at a rate of INR </w:t>
      </w:r>
      <w:r>
        <w:br w:type="page"/>
      </w:r>
    </w:p>
    <w:p>
      <w:pPr>
        <w:pStyle w:val="TextBody"/>
        <w:spacing w:before="0" w:after="0"/>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68" w:before="0" w:after="120"/>
        <w:jc w:val="both"/>
        <w:rPr/>
      </w:pPr>
      <w:r>
        <w:rPr>
          <w:rFonts w:ascii="Times New Roman;sans-serif" w:hAnsi="Times New Roman;sans-serif"/>
          <w:b w:val="false"/>
          <w:color w:val="000000"/>
          <w:sz w:val="22"/>
        </w:rPr>
        <w:t>24,500,000 per annum, payable in accordance with the Company’s applicable payroll practices. A detailed break-up of the compensation is more particularly described under Schedule I of this Agreement. This compensation is subject to deductions for tax and other statutory contributions. The Base Salary shall be reviewed no less frequently than annually during the Term for increase, if any, in the sole discretion of the Compensation Committee of the Board (“</w:t>
      </w:r>
      <w:r>
        <w:rPr>
          <w:rFonts w:ascii="Times New Roman;sans-serif" w:hAnsi="Times New Roman;sans-serif"/>
          <w:b/>
          <w:color w:val="000000"/>
          <w:sz w:val="24"/>
        </w:rPr>
        <w:t>Compensation Committee</w:t>
      </w:r>
      <w:r>
        <w:rPr>
          <w:color w:val="000000"/>
        </w:rPr>
        <w: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Company makes no assurances that the Executive’s compensation has been structured in the most tax efficient manner or tax treatment applicable to certain emoluments, allowances or benefits will continue for the entire term of employment. The breakdown of the compensation may need to be revised from time to time in keeping with regulatory developments or otherwise, and the Company will not be liable for any additional tax liability the Executive may face due to such revisions.</w:t>
      </w:r>
    </w:p>
    <w:p>
      <w:pPr>
        <w:pStyle w:val="TextBody"/>
        <w:spacing w:lineRule="auto" w:line="268" w:before="0" w:after="120"/>
        <w:ind w:left="0" w:right="0" w:firstLine="153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Annual Bonus</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During the Term, Executive shall have the opportunity to earn a discretionary annual target bonus equivalent to 75% of Executive’s Base Salary at target (the “</w:t>
      </w:r>
      <w:r>
        <w:rPr>
          <w:rFonts w:ascii="Times New Roman;sans-serif" w:hAnsi="Times New Roman;sans-serif"/>
          <w:b/>
          <w:color w:val="000000"/>
          <w:sz w:val="24"/>
        </w:rPr>
        <w:t>Annual Bonus</w:t>
      </w:r>
      <w:r>
        <w:rPr>
          <w:color w:val="000000"/>
        </w:rPr>
        <w:t>”</w:t>
      </w:r>
      <w:r>
        <w:rPr>
          <w:rFonts w:ascii="Times New Roman;sans-serif" w:hAnsi="Times New Roman;sans-serif"/>
          <w:b w:val="false"/>
          <w:color w:val="000000"/>
          <w:sz w:val="22"/>
        </w:rPr>
        <w:t>). The actual amount of the Annual Bonus earned by Executive shall be determined in accordance with the terms of the Company’s executive bonus plan which is administered by the Compensation Committee.</w:t>
      </w:r>
      <w:r>
        <w:rPr>
          <w:color w:val="000000"/>
        </w:rPr>
        <w:t xml:space="preserve"> </w:t>
      </w:r>
      <w:r>
        <w:rPr>
          <w:rFonts w:ascii="Times New Roman;sans-serif" w:hAnsi="Times New Roman;sans-serif"/>
          <w:b w:val="false"/>
          <w:color w:val="000000"/>
          <w:sz w:val="22"/>
        </w:rPr>
        <w:t>Any Annual Bonus due to Executive shall be paid in March for Executive’s performance during the preceding fiscal year. Subject to the terms of the Company’s bonus policy as in effect from time to time, in order to receive an Annual Bonus, Executive must (A) be actively employed by the Company, (B) not be serving any notice period relating to the anticipated termination of the employment relationship, and (C) be performing Executive’s duties in good faith on the date such Annual Bonus is paid.</w:t>
      </w:r>
      <w:r>
        <w:rPr>
          <w:color w:val="000000"/>
        </w:rPr>
        <w:t xml:space="preserve"> </w:t>
      </w:r>
      <w:r>
        <w:rPr>
          <w:rFonts w:ascii="Times New Roman;sans-serif" w:hAnsi="Times New Roman;sans-serif"/>
          <w:b w:val="false"/>
          <w:color w:val="000000"/>
          <w:sz w:val="22"/>
        </w:rPr>
        <w:t>The Compensation Committee shall, in its sole discretion, determine the Company-wide objectives upon which the Annual Bonus shall be based and the Chief Executive Officer of the Company shall, in his or her sole discretion, determine the personal objectives upon which the Annual Bonus shall be based.</w:t>
      </w:r>
    </w:p>
    <w:p>
      <w:pPr>
        <w:pStyle w:val="TextBody"/>
        <w:spacing w:lineRule="auto" w:line="268" w:before="0" w:after="120"/>
        <w:ind w:left="0" w:right="0" w:firstLine="153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Equity Incentive Awards</w:t>
      </w:r>
      <w:r>
        <w:rPr>
          <w:rFonts w:ascii="Times New Roman;sans-serif" w:hAnsi="Times New Roman;sans-serif"/>
          <w:b w:val="false"/>
          <w:color w:val="000000"/>
          <w:sz w:val="22"/>
        </w:rPr>
        <w:t xml:space="preserve">. </w:t>
      </w:r>
      <w:r>
        <w:rPr>
          <w:rFonts w:ascii="Times New Roman;sans-serif" w:hAnsi="Times New Roman;sans-serif"/>
          <w:b w:val="false"/>
          <w:color w:val="000000"/>
          <w:sz w:val="24"/>
        </w:rPr>
        <w:t xml:space="preserve">Executive will also be eligible during the Term, subject to performance and other conditions considered by the Compensation Committee in its sole discretion, to receive an annual target equity award. </w:t>
      </w:r>
      <w:r>
        <w:rPr>
          <w:rFonts w:ascii="Times New Roman;sans-serif" w:hAnsi="Times New Roman;sans-serif"/>
          <w:b w:val="false"/>
          <w:color w:val="000000"/>
          <w:sz w:val="22"/>
        </w:rPr>
        <w:t>Such grants will be governed by the terms and conditions of Holdings’ 2018 Omnibus Incentive Plan (as amended) (the “</w:t>
      </w:r>
      <w:r>
        <w:rPr>
          <w:rFonts w:ascii="Times New Roman;sans-serif" w:hAnsi="Times New Roman;sans-serif"/>
          <w:b/>
          <w:color w:val="000000"/>
          <w:sz w:val="24"/>
        </w:rPr>
        <w:t>Plan</w:t>
      </w:r>
      <w:r>
        <w:rPr>
          <w:color w:val="000000"/>
        </w:rPr>
        <w:t>”</w:t>
      </w:r>
      <w:r>
        <w:rPr>
          <w:rFonts w:ascii="Times New Roman;sans-serif" w:hAnsi="Times New Roman;sans-serif"/>
          <w:b w:val="false"/>
          <w:color w:val="000000"/>
          <w:sz w:val="22"/>
        </w:rPr>
        <w:t>)) and an RSU award agreement consistent with the terms of the Plan. Annual equity grants may be allocated between performance based restricted stock units of common stock (“</w:t>
      </w:r>
      <w:r>
        <w:rPr>
          <w:rFonts w:ascii="Times New Roman;sans-serif" w:hAnsi="Times New Roman;sans-serif"/>
          <w:b/>
          <w:color w:val="000000"/>
          <w:sz w:val="24"/>
        </w:rPr>
        <w:t>RSUs</w:t>
      </w:r>
      <w:r>
        <w:rPr>
          <w:color w:val="000000"/>
        </w:rPr>
        <w:t>”</w:t>
      </w:r>
      <w:r>
        <w:rPr>
          <w:rFonts w:ascii="Times New Roman;sans-serif" w:hAnsi="Times New Roman;sans-serif"/>
          <w:b w:val="false"/>
          <w:color w:val="000000"/>
          <w:sz w:val="22"/>
        </w:rPr>
        <w:t xml:space="preserve">) of Holdings and time based vesting RSUs as determined by the Compensation Committee for each fiscal year. </w:t>
      </w:r>
    </w:p>
    <w:p>
      <w:pPr>
        <w:pStyle w:val="TextBody"/>
        <w:spacing w:lineRule="auto" w:line="268" w:before="0" w:after="120"/>
        <w:ind w:left="0" w:right="0" w:firstLine="153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Change in Control</w:t>
      </w:r>
      <w:r>
        <w:rPr>
          <w:rFonts w:ascii="Times New Roman;sans-serif" w:hAnsi="Times New Roman;sans-serif"/>
          <w:b w:val="false"/>
          <w:color w:val="000000"/>
          <w:sz w:val="22"/>
        </w:rPr>
        <w:t>. In the event that a Change in Control (as defined in the Plan) occurs at a time when any portion of restricted stock units or a stock option granted to Executive remains unvested, then effective upon the consummation of the Change in Control, the vesting of the portion of the restricted stock units or stock option which is not then fully vested shall accelerate such that any portion of the restricted stock units or stock option which would have become vested during the one-year period following the Change in Control shall become vested effective as of the consummation of the Change in Control. In the event that (i) Executive’s employment with the Company is terminated without Cause (A) at any time following a Change in Control or (B) in specific contemplation of a Change in Control or (ii) Executive resigns with Good Reason at any time following a Change of Control, Executive shall, upon and subject to Executive’s execution of the release referenced in Section 5(c)(ii) below that has become effective in accordance with its terms, be entitled, in addition to the severance specified in Section 5(c)(i), to immediate full vesting as of the termination date of any portion of restricted stock units or a stock option which is unvested as of the termination date.</w:t>
      </w:r>
    </w:p>
    <w:p>
      <w:pPr>
        <w:pStyle w:val="TextBody"/>
        <w:spacing w:lineRule="auto" w:line="268" w:before="0" w:after="120"/>
        <w:ind w:left="0" w:right="0" w:firstLine="153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 xml:space="preserve">Benefits and Perquisites. </w:t>
      </w:r>
      <w:r>
        <w:rPr>
          <w:rFonts w:ascii="Times New Roman;sans-serif" w:hAnsi="Times New Roman;sans-serif"/>
          <w:b w:val="false"/>
          <w:color w:val="000000"/>
          <w:sz w:val="22"/>
        </w:rPr>
        <w:t>During the Term, Executive shall be entitled to participate in the benefit plans and programs commensurate with Executive’s position that are provided by the Company from time to time for its senior executives generally, subject to the terms and conditions of such plans.</w:t>
      </w:r>
    </w:p>
    <w:p>
      <w:pPr>
        <w:pStyle w:val="TextBody"/>
        <w:spacing w:lineRule="auto" w:line="268" w:before="0" w:after="120"/>
        <w:ind w:left="0" w:right="0" w:firstLine="153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Business Expense Reimbursements</w:t>
      </w:r>
      <w:r>
        <w:rPr>
          <w:rFonts w:ascii="Times New Roman;sans-serif" w:hAnsi="Times New Roman;sans-serif"/>
          <w:b w:val="false"/>
          <w:i/>
          <w:color w:val="000000"/>
          <w:sz w:val="22"/>
        </w:rPr>
        <w:t xml:space="preserve">. </w:t>
      </w:r>
      <w:r>
        <w:rPr>
          <w:rFonts w:ascii="Times New Roman;sans-serif" w:hAnsi="Times New Roman;sans-serif"/>
          <w:b w:val="false"/>
          <w:color w:val="000000"/>
          <w:sz w:val="22"/>
        </w:rPr>
        <w:t xml:space="preserve">During the Term, the Company shall reimburse Executive for reasonable and properly documented business expenses </w:t>
      </w:r>
      <w:r>
        <w:rPr>
          <w:rFonts w:ascii="Times New Roman;sans-serif" w:hAnsi="Times New Roman;sans-serif"/>
          <w:b w:val="false"/>
          <w:color w:val="000000"/>
          <w:sz w:val="24"/>
        </w:rPr>
        <w:t>in accordance with the Company’s then-prevailing policies and procedures for expense reimbursement.</w:t>
      </w:r>
      <w:r>
        <w:rPr>
          <w:color w:val="000000"/>
        </w:rPr>
        <w:t xml:space="preserve"> </w:t>
      </w:r>
      <w:r>
        <w:rPr>
          <w:rFonts w:ascii="Times New Roman;sans-serif" w:hAnsi="Times New Roman;sans-serif"/>
          <w:b w:val="false"/>
          <w:color w:val="000000"/>
          <w:sz w:val="22"/>
        </w:rPr>
        <w:t xml:space="preserve">The Company </w:t>
      </w:r>
      <w:r>
        <w:br w:type="page"/>
      </w:r>
    </w:p>
    <w:p>
      <w:pPr>
        <w:pStyle w:val="TextBody"/>
        <w:spacing w:before="0" w:after="0"/>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6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shall pay or reimburse such expenses to the extent the Executive submits vouchers or other documentation in accordance with the Company's policy. No personal expenses of the Executive shall be borne or reimbursed by the Company.</w:t>
      </w:r>
    </w:p>
    <w:p>
      <w:pPr>
        <w:pStyle w:val="TextBody"/>
        <w:spacing w:lineRule="auto" w:line="268" w:before="0" w:after="120"/>
        <w:ind w:left="0" w:right="0" w:firstLine="153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Vacation</w:t>
      </w:r>
      <w:r>
        <w:rPr>
          <w:rFonts w:ascii="Times New Roman;sans-serif" w:hAnsi="Times New Roman;sans-serif"/>
          <w:b w:val="false"/>
          <w:color w:val="000000"/>
          <w:sz w:val="22"/>
        </w:rPr>
        <w:t>. During the Term, Executive shall be entitled to leaves in accordance with Company policy.</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5.</w:t>
      </w:r>
      <w:r>
        <w:rPr>
          <w:rFonts w:ascii="Times New Roman;sans-serif" w:hAnsi="Times New Roman;sans-serif"/>
          <w:b w:val="false"/>
          <w:color w:val="000000"/>
          <w:sz w:val="22"/>
          <w:u w:val="single"/>
        </w:rPr>
        <w:t>Termination of the Term</w:t>
      </w:r>
      <w:r>
        <w:rPr>
          <w:rFonts w:ascii="Times New Roman;sans-serif" w:hAnsi="Times New Roman;sans-serif"/>
          <w:b w:val="false"/>
          <w:color w:val="000000"/>
          <w:sz w:val="22"/>
        </w:rPr>
        <w:t>.</w:t>
      </w:r>
    </w:p>
    <w:p>
      <w:pPr>
        <w:pStyle w:val="TextBody"/>
        <w:spacing w:before="0" w:after="0"/>
        <w:rPr/>
      </w:pPr>
      <w:r>
        <w:rPr/>
      </w:r>
    </w:p>
    <w:p>
      <w:pPr>
        <w:pStyle w:val="TextBody"/>
        <w:spacing w:lineRule="auto" w:line="268" w:before="0" w:after="120"/>
        <w:ind w:left="0" w:right="0" w:firstLine="153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Executive’s employment may be terminated by either party at any time and for any reason; provided, however, that (i) the Company shall be required to give Executive at least 30 days advanced written notice or payment in lieu thereof if the termination is </w:t>
      </w:r>
      <w:r>
        <w:rPr>
          <w:rFonts w:ascii="Times New Roman;sans-serif" w:hAnsi="Times New Roman;sans-serif"/>
          <w:b w:val="false"/>
          <w:color w:val="000000"/>
          <w:sz w:val="24"/>
          <w:u w:val="single"/>
        </w:rPr>
        <w:t xml:space="preserve">without </w:t>
      </w:r>
      <w:r>
        <w:rPr>
          <w:rFonts w:ascii="Times New Roman;sans-serif" w:hAnsi="Times New Roman;sans-serif"/>
          <w:b w:val="false"/>
          <w:color w:val="000000"/>
          <w:sz w:val="22"/>
        </w:rPr>
        <w:t>Cause and (ii) Executive shall be required to give the Company at least 90 days advance written notice of any resignation of Executive’s employment hereunder. The Company may at its sole discretion waive all or part of the notice or allow the Executive to pay in lieu of the notice. Any resignation would have to be accepted by the Company to become effective. Once accepted, the resignation cannot be withdrawn by the Executive without the express consent of the Company. For the avoidance of doubt, the Company shall not be required to give Executive any notice or payment in lieu of such notice if the termination is for Cause. The Employment terminates at the end of the applicable notice period, if any. During the notice period, the Company reserves the right, in its sole discretion, to (x) alter, reduce, or eliminate any of the Executive’s duties, (y) require the Executive to remain away from the Company’s premises (and/or restrict the Executive’s access to the Company’s network, computers and email systems), and/or (z) take any such other action as may be necessary to facilitate the transition process associated with the termination of the Executive’s employment. During the notice period, the Executive acknowledges and agrees that Executive will remain employed by the Company and, as a Company employee, shall continue to act in a manner consistent with the Executive’s contractual, common law and other legal obligations to the Company, including adhering to the Company’s policies and, if requested to do so by the Company, shall assist in the transition of Executive’s duties as reasonably requested by the Company. Notwithstanding the foregoing, Executive’s employment shall automatically terminate upon Executive’s death.</w:t>
      </w:r>
    </w:p>
    <w:p>
      <w:pPr>
        <w:pStyle w:val="TextBody"/>
        <w:spacing w:lineRule="auto" w:line="268" w:before="0" w:after="120"/>
        <w:ind w:left="0" w:right="0" w:firstLine="153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Following any termination of Executive’s employment, notwithstanding any provision to the contrary in this Agreement, the obligations of the Company to pay or provide Executive with compensation and benefits under Section 4 shall cease, and the Company shall have no further obligations to provide compensation or benefits to Executive hereunder except (i) for payment of any accrued but unpaid Base Salary and vacation time and for payment of any accrued obligations and unreimbursed expenses under Section 4(f) accrued or incurred through the date of termination of employment, (ii) as explicitly set forth in any other benefit plans, programs or arrangements applicable to terminated employees in which Executive participates, other than severance plans or policies and (iii) as otherwise expressly required by applicable statute. For the avoidance of doubt, (x) any unpaid Annual Bonus is forfeited if Executive’s employment is terminated for any reason and (y) the date of termination shall mean the last date of actual and active employment, whether such day is selected by mutual agreement with the Executive or unilaterally by the Company and whether with or without advance notice.</w:t>
      </w:r>
    </w:p>
    <w:p>
      <w:pPr>
        <w:pStyle w:val="TextBody"/>
        <w:spacing w:lineRule="auto" w:line="268" w:before="0" w:after="120"/>
        <w:ind w:left="0" w:right="0" w:firstLine="153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(i)</w:t>
      </w:r>
      <w:r>
        <w:rPr>
          <w:color w:val="000000"/>
        </w:rPr>
        <w:t xml:space="preserve"> </w:t>
      </w:r>
      <w:r>
        <w:rPr>
          <w:rFonts w:ascii="Times New Roman;sans-serif" w:hAnsi="Times New Roman;sans-serif"/>
          <w:b w:val="false"/>
          <w:color w:val="000000"/>
          <w:sz w:val="22"/>
        </w:rPr>
        <w:t xml:space="preserve">If Executive’s employment is terminated by the Company without Cause (other than due to death or Disability), or by Executive for Good Reason, Executive shall be entitled to receive severance payments in an aggregate amount equal to 12 months Base Salary, payable as follows: (A) a lump sum payment equal to three months’ Base Salary shall be paid in the first payroll that is as least 10 days after the termination date, and (B) a continuing payment (per the Company’s payroll policies and practices) of Executive’s Base Salary for a consecutive nine-month period commencing on the third month following the termination date. The amounts payable under this Section 5(c)(i) are inclusive of any statutory notice, pay in lieu of notice and statutory severance entitlements, if any, and any </w:t>
      </w:r>
      <w:r>
        <w:br w:type="page"/>
      </w:r>
    </w:p>
    <w:p>
      <w:pPr>
        <w:pStyle w:val="TextBody"/>
        <w:spacing w:before="0" w:after="0"/>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6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amounts required to be paid to Executive in the event a court of competent jurisdiction determines Executive has been constructively dismissed from employment.</w:t>
      </w:r>
    </w:p>
    <w:p>
      <w:pPr>
        <w:pStyle w:val="TextBody"/>
        <w:spacing w:before="0" w:after="0"/>
        <w:rPr/>
      </w:pPr>
      <w:r>
        <w:rPr/>
      </w:r>
    </w:p>
    <w:p>
      <w:pPr>
        <w:pStyle w:val="TextBody"/>
        <w:spacing w:lineRule="auto" w:line="268" w:before="0" w:after="0"/>
        <w:ind w:left="0" w:right="0" w:firstLine="1560"/>
        <w:jc w:val="both"/>
        <w:rPr/>
      </w:pPr>
      <w:r>
        <w:rPr>
          <w:rFonts w:ascii="Times New Roman;sans-serif" w:hAnsi="Times New Roman;sans-serif"/>
          <w:b w:val="false"/>
          <w:color w:val="000000"/>
          <w:sz w:val="22"/>
        </w:rPr>
        <w:t>(ii) Any severance payments or benefits under Section 5(b)(ii) and 5(c)(i) shall be (A) conditioned upon Executive having provided within 30 days following Executive’s separation from service an irrevocable waiver and general release of claims in favor of the Company and its respective Affiliates, their respective predecessors and successors, and all of the respective current or former directors, officers, employees, shareholders, partners, members, agents or representatives of any of the foregoing (collectively, the “</w:t>
      </w:r>
      <w:r>
        <w:rPr>
          <w:rFonts w:ascii="Times New Roman;sans-serif" w:hAnsi="Times New Roman;sans-serif"/>
          <w:b/>
          <w:color w:val="000000"/>
          <w:sz w:val="24"/>
        </w:rPr>
        <w:t>Released Parties</w:t>
      </w:r>
      <w:r>
        <w:rPr>
          <w:color w:val="000000"/>
        </w:rPr>
        <w:t>”</w:t>
      </w:r>
      <w:r>
        <w:rPr>
          <w:rFonts w:ascii="Times New Roman;sans-serif" w:hAnsi="Times New Roman;sans-serif"/>
          <w:b w:val="false"/>
          <w:color w:val="000000"/>
          <w:sz w:val="22"/>
        </w:rPr>
        <w:t xml:space="preserve">), in a form reasonably satisfactory to the Company, that has become effective in accordance with its terms, (B) subject to Executive’s continued compliance with the terms of the restrictive covenants in Sections 8, 9, 10 and 11 of this Agreement. </w:t>
      </w:r>
    </w:p>
    <w:p>
      <w:pPr>
        <w:pStyle w:val="TextBody"/>
        <w:spacing w:before="0" w:after="0"/>
        <w:rPr/>
      </w:pPr>
      <w:r>
        <w:rPr/>
      </w:r>
    </w:p>
    <w:p>
      <w:pPr>
        <w:pStyle w:val="TextBody"/>
        <w:spacing w:lineRule="auto" w:line="268" w:before="0" w:after="0"/>
        <w:ind w:left="0" w:right="0" w:firstLine="1560"/>
        <w:jc w:val="both"/>
        <w:rPr/>
      </w:pPr>
      <w:r>
        <w:rPr>
          <w:rFonts w:ascii="Times New Roman;sans-serif" w:hAnsi="Times New Roman;sans-serif"/>
          <w:b w:val="false"/>
          <w:color w:val="000000"/>
          <w:sz w:val="22"/>
        </w:rPr>
        <w:t>(iii) For purposes of this Agreement, “</w:t>
      </w:r>
      <w:r>
        <w:rPr>
          <w:rFonts w:ascii="Times New Roman;sans-serif" w:hAnsi="Times New Roman;sans-serif"/>
          <w:b/>
          <w:color w:val="000000"/>
          <w:sz w:val="24"/>
        </w:rPr>
        <w:t>Cause</w:t>
      </w:r>
      <w:r>
        <w:rPr>
          <w:color w:val="000000"/>
        </w:rPr>
        <w:t xml:space="preserve">” </w:t>
      </w:r>
      <w:r>
        <w:rPr>
          <w:rFonts w:ascii="Times New Roman;sans-serif" w:hAnsi="Times New Roman;sans-serif"/>
          <w:b w:val="false"/>
          <w:color w:val="000000"/>
          <w:sz w:val="22"/>
        </w:rPr>
        <w:t>means: (A) a final non-appealable conviction of, or a pleading of no contest to, (x) a crime of moral turpitude which causes serious economic injury or serious injury to the Company’s reputation or (y) a felony; (B) fraud, embezzlement, gross negligence, self-dealing, dishonesty or other gross and willful misconduct which has caused serious and demonstrable injury to the Company; (C) material violation by Executive of any material Company policy applicable to Executive; (D) willful and continuing failure to substantially perform Executive’s duties (other than for reason of physical or mental incapacity) which failure to perform continues beyond fifteen (15) days after a written demand for substantial improvement in Executive’s performance, identifying specifically and in detail the manner in which improvement is sought, is delivered to Executive by the Company; provided that a failure to achieve performance objectives shall not by itself constitute Cause and no act or failure to act by Executive shall be considered “willful” unless done or failed to be done by Executive in bad faith and without a reasonable belief that Executive’s actions or omission was in the best interest of the Company; (E) Executive’s failure to reasonably cooperate in an investigation involving the Company by any governmental authority; (F) Executive’s material, knowing and intentional failure to comply with applicable laws with respect to the execution of the Company’s business operations, including, without limitation, a knowing and intentional failure to comply with the Prevention of Corruption Act of India, 1988, or the United States Foreign Corrupt Practices Act of 1977, as amended; provided, that, if all of the following conditions exist, there will be a presumption that Executive have acted in accordance with such applicable laws: Executive is following, in good faith, the written advice of counsel, such counsel having been approved by the Board as outside counsel to the Company for regulatory and compliance matters, in the form of a legal memorandum or a written legal opinion, and Executive has, in good faith, provided to such counsel all accurate and truthful facts necessary for such counsel to render such legal memorandum or written legal opinion; (G) Executive’s failure to follow the lawful directives of Executive’s supervisor which is not remedied within fifteen (15) days after Executive’s receipt of written notice from the Company specifying such failure; or (H) Executive’s use of alcohol or drugs which materially interferes with the performance of Executive’s duties; or (I) habitual unauthorized absence or unauthorized absence for a period exceeding eight (8) days; or (J) any form of harassment, including sexual harassment, by the Executive, while being employed in the Company.</w:t>
      </w:r>
    </w:p>
    <w:p>
      <w:pPr>
        <w:pStyle w:val="TextBody"/>
        <w:spacing w:before="0" w:after="0"/>
        <w:rPr/>
      </w:pPr>
      <w:r>
        <w:rPr/>
      </w:r>
    </w:p>
    <w:p>
      <w:pPr>
        <w:pStyle w:val="TextBody"/>
        <w:spacing w:lineRule="auto" w:line="268"/>
        <w:ind w:left="0" w:right="0" w:firstLine="1560"/>
        <w:jc w:val="both"/>
        <w:rPr/>
      </w:pPr>
      <w:r>
        <w:rPr>
          <w:rFonts w:ascii="Times New Roman;sans-serif" w:hAnsi="Times New Roman;sans-serif"/>
          <w:b w:val="false"/>
          <w:color w:val="000000"/>
          <w:sz w:val="22"/>
        </w:rPr>
        <w:t>(iv) “</w:t>
      </w:r>
      <w:r>
        <w:rPr>
          <w:rFonts w:ascii="Times New Roman;sans-serif" w:hAnsi="Times New Roman;sans-serif"/>
          <w:b/>
          <w:color w:val="000000"/>
          <w:sz w:val="24"/>
        </w:rPr>
        <w:t>Good Reason</w:t>
      </w:r>
      <w:r>
        <w:rPr>
          <w:color w:val="000000"/>
        </w:rPr>
        <w:t xml:space="preserve">” </w:t>
      </w:r>
      <w:r>
        <w:rPr>
          <w:rFonts w:ascii="Times New Roman;sans-serif" w:hAnsi="Times New Roman;sans-serif"/>
          <w:b w:val="false"/>
          <w:color w:val="000000"/>
          <w:sz w:val="22"/>
        </w:rPr>
        <w:t xml:space="preserve">shall mean the occurrence, without Executive’s prior written consent, of any of the following events: (A) a substantial reduction of Executive’s duties or responsibilities or change in reporting relationship to anyone other than the Board or the Chief Executive Officer; (B) Executive’s job title and authority as an officer of the Company is adversely changed, provided that if there is a “Change of Control” (as defined in the Plan) and Executive retains similar title and similar authority with the Company or any entity that acquires the Company (or any affiliate or subsidiary of such entity) following such Change of Control, the parties agree that any change in Executive’s title shall not constitute a significant reduction of Executive’s duties and authorities hereunder; (C) a change in the office or location where Executive is based of more than one hundred </w:t>
      </w:r>
      <w:r>
        <w:br w:type="page"/>
      </w:r>
    </w:p>
    <w:p>
      <w:pPr>
        <w:pStyle w:val="TextBody"/>
        <w:spacing w:before="0" w:after="0"/>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(100) kilometers from Noida, India; (D) a breach by the Company of any material term of this Agreement; provided that, a termination by Executive with Good Reason shall be effective only if, within 30 days following Executive’s first becoming aware of the circumstances giving rise to Good Reason, Executive delivers a “Notice of Termination” for Good Reason by Executive to the Company, and the Company within 30 days following its receipt of such notification has failed to cure the circumstances giving rise to Good Reason.</w:t>
      </w:r>
    </w:p>
    <w:p>
      <w:pPr>
        <w:pStyle w:val="TextBody"/>
        <w:spacing w:before="0" w:after="0"/>
        <w:rPr/>
      </w:pPr>
      <w:r>
        <w:rPr/>
      </w:r>
    </w:p>
    <w:p>
      <w:pPr>
        <w:pStyle w:val="TextBody"/>
        <w:spacing w:lineRule="auto" w:line="268" w:before="0" w:after="0"/>
        <w:ind w:left="0" w:right="0" w:firstLine="1560"/>
        <w:jc w:val="both"/>
        <w:rPr/>
      </w:pPr>
      <w:r>
        <w:rPr>
          <w:rFonts w:ascii="Times New Roman;sans-serif" w:hAnsi="Times New Roman;sans-serif"/>
          <w:b w:val="false"/>
          <w:color w:val="000000"/>
          <w:sz w:val="22"/>
        </w:rPr>
        <w:t>(v) For purposes of this Agreement, “</w:t>
      </w:r>
      <w:r>
        <w:rPr>
          <w:rFonts w:ascii="Times New Roman;sans-serif" w:hAnsi="Times New Roman;sans-serif"/>
          <w:b/>
          <w:color w:val="000000"/>
          <w:sz w:val="24"/>
        </w:rPr>
        <w:t>Disability</w:t>
      </w:r>
      <w:r>
        <w:rPr>
          <w:color w:val="000000"/>
        </w:rPr>
        <w:t xml:space="preserve">” </w:t>
      </w:r>
      <w:r>
        <w:rPr>
          <w:rFonts w:ascii="Times New Roman;sans-serif" w:hAnsi="Times New Roman;sans-serif"/>
          <w:b w:val="false"/>
          <w:color w:val="000000"/>
          <w:sz w:val="22"/>
        </w:rPr>
        <w:t>means Executive’s incapacity, due to mental, physical or emotional injury or illness, such that Executive is substantially unable to perform Executive’s duties hereunder for a period of six (6) consecutive months.</w:t>
      </w:r>
    </w:p>
    <w:p>
      <w:pPr>
        <w:pStyle w:val="TextBody"/>
        <w:spacing w:before="0" w:after="0"/>
        <w:rPr/>
      </w:pPr>
      <w:r>
        <w:rPr/>
      </w:r>
    </w:p>
    <w:p>
      <w:pPr>
        <w:pStyle w:val="TextBody"/>
        <w:spacing w:lineRule="auto" w:line="268" w:before="0" w:after="120"/>
        <w:ind w:left="0" w:right="0" w:firstLine="153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Upon termination of Executive’s employment for any reason, and regardless of whether Executive continues as a consultant to the Company, upon the Company’s request Executive agrees to resign, as of the date of such termination of employment or such other date requested, from any applicable board of directors (and any committees thereof) of any Affiliate of the Company to the extent Executive is then serving thereon.</w:t>
      </w:r>
    </w:p>
    <w:p>
      <w:pPr>
        <w:pStyle w:val="TextBody"/>
        <w:spacing w:lineRule="auto" w:line="268" w:before="0" w:after="120"/>
        <w:ind w:left="0" w:right="0" w:firstLine="153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The payment of any amounts accrued under any benefit plan, program or arrangement in which Executive participates shall be subject to the terms of the applicable plan, program or arrangement, and any elections Executive has made thereunder. Subject to Section 19, the Company may offset any amounts due and payable by Executive to the Company or its Subsidiaries against any amounts the Company owes Executive hereunder.</w:t>
      </w:r>
    </w:p>
    <w:p>
      <w:pPr>
        <w:pStyle w:val="TextBody"/>
        <w:spacing w:lineRule="auto" w:line="268" w:before="0" w:after="120"/>
        <w:ind w:left="0" w:right="0" w:firstLine="153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The Company may also terminate the employment contemplated under this Agreement with immediate effect if the Executive ceases to be a director on the Board of the Company for any reason including, without limitation, resignation, removal, disqualification or vacation of office pursuant to any provision of the Companies Act, 2013 or the articles of association of the Company.</w:t>
      </w:r>
    </w:p>
    <w:p>
      <w:pPr>
        <w:pStyle w:val="TextBody"/>
        <w:spacing w:lineRule="auto" w:line="268" w:before="0" w:after="120"/>
        <w:ind w:left="0" w:right="0" w:firstLine="153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Without prejudice to anything contained in this Agreement, the Board, the shareholders or such person duly authorized by them will jointly and severally have the power to terminate the Executive's appointment as Director.</w:t>
      </w:r>
    </w:p>
    <w:p>
      <w:pPr>
        <w:pStyle w:val="TextBody"/>
        <w:spacing w:lineRule="auto" w:line="268" w:before="0" w:after="120"/>
        <w:ind w:left="0" w:right="0" w:firstLine="153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Termination of this Agreement for any reason shall not entitle the Executive to any compensation for loss of office under Section 202 of the Companies Act, 2013 and he shall only be entitled to such dues as may be contractually or statutorily payable in terms of this Agreement.</w:t>
      </w:r>
    </w:p>
    <w:p>
      <w:pPr>
        <w:pStyle w:val="TextBody"/>
        <w:spacing w:lineRule="auto" w:line="268" w:before="0" w:after="120"/>
        <w:ind w:left="0" w:right="0" w:firstLine="153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In addition to the provisions of Section 167(1)(h) of the Companies Act, 2013, since the Executive has been appointed as a Director on the Board by virtue of his employment with the Company under this Agreement, upon cessation of the employment under this Agreement for any reason (either by way of retirement, voluntary resignation by the Executive or termination at the behest of the Company), the Executive shall automatically cease to be a director on the Board of the Company. The termination of this Agreement shall also forthwith terminate any other position which the Executive may have been appointed to, during the term of his employment with the Company.</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6.</w:t>
      </w:r>
      <w:r>
        <w:rPr>
          <w:rFonts w:ascii="Times New Roman;sans-serif" w:hAnsi="Times New Roman;sans-serif"/>
          <w:b w:val="false"/>
          <w:color w:val="000000"/>
          <w:sz w:val="22"/>
          <w:u w:val="single"/>
        </w:rPr>
        <w:t>Employee Surveillance</w:t>
      </w:r>
    </w:p>
    <w:p>
      <w:pPr>
        <w:pStyle w:val="TextBody"/>
        <w:spacing w:before="0" w:after="0"/>
        <w:rPr/>
      </w:pPr>
      <w:r>
        <w:rPr/>
      </w:r>
    </w:p>
    <w:p>
      <w:pPr>
        <w:pStyle w:val="TextBody"/>
        <w:spacing w:lineRule="auto" w:line="268" w:before="0" w:after="120"/>
        <w:ind w:left="0" w:right="0" w:firstLine="153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The Executive agrees and understands that the Company may use various modes to ensure that the internet, email facilities and other communication systems provided by the Company are used in an appropriate manner. These may include the scanning, reading, inspection, scrutiny of emails sent and received, and web sites visited or created by the Executive. The Executive acknowledges that he does not have any expectation of privacy when using the Company's resources. For the avoidance of doubt, and for the limited purpose of safeguarding the Company's confidential and proprietary information, the Company shall have the right to monitor any personal e-mail or social media forum that </w:t>
      </w:r>
      <w:r>
        <w:br w:type="page"/>
      </w:r>
    </w:p>
    <w:p>
      <w:pPr>
        <w:pStyle w:val="TextBody"/>
        <w:spacing w:before="0" w:after="0"/>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6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may be accessible to the Executive from the Company including G-mail, Outlook, Yahoo, Facebook, Instagram, MySpace, Twitter, etc. </w:t>
      </w:r>
    </w:p>
    <w:p>
      <w:pPr>
        <w:pStyle w:val="TextBody"/>
        <w:spacing w:lineRule="auto" w:line="268" w:before="0" w:after="120"/>
        <w:ind w:left="0" w:right="0" w:firstLine="153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Company also reserves the right to monitor its employees using various security measures including closed circuit television systems. These may be installed on the Company's premises overtly or covertly to ensure that the employees do not participate or propagate any activities which are or could be prejudicial to the Company's business interests or which could bring it into disrepute.</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7.</w:t>
      </w:r>
      <w:r>
        <w:rPr>
          <w:rFonts w:ascii="Times New Roman;sans-serif" w:hAnsi="Times New Roman;sans-serif"/>
          <w:b w:val="false"/>
          <w:color w:val="000000"/>
          <w:sz w:val="22"/>
          <w:u w:val="single"/>
        </w:rPr>
        <w:t>Acknowledgments</w:t>
      </w:r>
      <w:r>
        <w:rPr>
          <w:rFonts w:ascii="Times New Roman;sans-serif" w:hAnsi="Times New Roman;sans-serif"/>
          <w:b w:val="false"/>
          <w:color w:val="000000"/>
          <w:sz w:val="22"/>
        </w:rPr>
        <w:t xml:space="preserve">. </w:t>
      </w:r>
    </w:p>
    <w:p>
      <w:pPr>
        <w:pStyle w:val="TextBody"/>
        <w:spacing w:before="0" w:after="0"/>
        <w:rPr/>
      </w:pPr>
      <w:r>
        <w:rPr/>
      </w:r>
    </w:p>
    <w:p>
      <w:pPr>
        <w:pStyle w:val="TextBody"/>
        <w:spacing w:lineRule="auto" w:line="268" w:before="0" w:after="120"/>
        <w:ind w:left="0" w:right="0" w:firstLine="153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Executive acknowledges that the Company has expended and shall continue to expend substantial amounts of time, money and effort to develop business strategies, employee and customer relationships and goodwill and build an effective organization. Executive acknowledges that Executive is and shall become familiar with the Company’s Confidential Information (as defined below), including trade secrets, and that Executive’s services are of special, unique and extraordinary value to the Company, its Subsidiaries and Affiliates. Executive acknowledges that the Company has a legitimate business interest and right in protecting its Confidential Information, business strategies, employee and customer relationships and goodwill, and that the Company would be seriously damaged by the disclosure of Confidential Information and the loss or deterioration of its business strategies, employee and customer relationships and goodwill. Executive acknowledges that Executive’s agreement to enter into this Agreement and be bound by the service commitments set forth herein and the restrictive covenants and agreements set forth in Sections</w:t>
      </w:r>
      <w:r>
        <w:rPr>
          <w:color w:val="000000"/>
        </w:rPr>
        <w:t xml:space="preserve"> </w:t>
      </w:r>
      <w:r>
        <w:rPr>
          <w:rFonts w:ascii="Times New Roman;sans-serif" w:hAnsi="Times New Roman;sans-serif"/>
          <w:b w:val="false"/>
          <w:color w:val="000000"/>
          <w:sz w:val="22"/>
        </w:rPr>
        <w:t>8, 9, 10 and 11 hereof, is a material inducement to the Company’s willingness to enter into this Agreement, and the Company would not otherwise enter into this Agreement if Executive did not agree to be bound by the commitments set forth herein and the restrictive covenants and agreements set forth in Sections</w:t>
      </w:r>
      <w:r>
        <w:rPr>
          <w:color w:val="000000"/>
        </w:rPr>
        <w:t xml:space="preserve"> </w:t>
      </w:r>
      <w:r>
        <w:rPr>
          <w:rFonts w:ascii="Times New Roman;sans-serif" w:hAnsi="Times New Roman;sans-serif"/>
          <w:b w:val="false"/>
          <w:color w:val="000000"/>
          <w:sz w:val="22"/>
        </w:rPr>
        <w:t>8, 9, 10 and 11 hereof, and make the commitments to the Company set forth herein.</w:t>
      </w:r>
    </w:p>
    <w:p>
      <w:pPr>
        <w:pStyle w:val="TextBody"/>
        <w:spacing w:lineRule="auto" w:line="268" w:before="0" w:after="120"/>
        <w:ind w:left="0" w:right="0" w:firstLine="153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Executive acknowledges (i) that the business of the Company and its Affiliates is global in scope, without geographical limitation, and capable of being performed from anywhere in the world, and (ii) notwithstanding the jurisdiction of formation or principal office of the Company, or the location of any of their respective executives or employees (including, without limitation, Executive), the Company and its Affiliates have business activities and have valuable business relationships within their respective industries throughout the world.</w:t>
      </w:r>
    </w:p>
    <w:p>
      <w:pPr>
        <w:pStyle w:val="TextBody"/>
        <w:spacing w:lineRule="auto" w:line="268" w:before="0" w:after="120"/>
        <w:ind w:left="0" w:right="0" w:firstLine="153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Executive acknowledges that Executive has carefully read this Agreement and has given careful consideration to the restraints imposed upon Executive by this Agreement, and is in full accord as to the necessity of such restraints for the reasonable and proper protection of the Confidential Information, business strategies, employee and customer relationships and goodwill of the Company and its Affiliates now existing or to be developed in the future. Executive expressly acknowledges and agrees that each and every commitment and restraint imposed by this Agreement is reasonable with respect to subject matter, time period and geographical area, in light of (i) the scope of the business of the Company and its Affiliates, (ii) the importance of Executive to the business of the Company and its Affiliates, (iii) Executive’s status as an officer of the Company business, (iv) Executive’s knowledge of the business of the Company and its Affiliates and (v) Executive’s relationships with the Company’s clients or customers. Accordingly, Executive agrees (x) to be bound by the provisions of Sections</w:t>
      </w:r>
      <w:r>
        <w:rPr>
          <w:color w:val="000000"/>
        </w:rPr>
        <w:t xml:space="preserve"> </w:t>
      </w:r>
      <w:r>
        <w:rPr>
          <w:rFonts w:ascii="Times New Roman;sans-serif" w:hAnsi="Times New Roman;sans-serif"/>
          <w:b w:val="false"/>
          <w:color w:val="000000"/>
          <w:sz w:val="22"/>
        </w:rPr>
        <w:t>8, 9, 10 and 11, it being the intent and spirit that such provisions be valid and enforceable in all respects and (y) acknowledges and agrees that Executive shall not object to the Company, or any of its successors in interest enforcing Sections</w:t>
      </w:r>
      <w:r>
        <w:rPr>
          <w:color w:val="000000"/>
        </w:rPr>
        <w:t xml:space="preserve"> </w:t>
      </w:r>
      <w:r>
        <w:rPr>
          <w:rFonts w:ascii="Times New Roman;sans-serif" w:hAnsi="Times New Roman;sans-serif"/>
          <w:b w:val="false"/>
          <w:color w:val="000000"/>
          <w:sz w:val="22"/>
        </w:rPr>
        <w:t>8, 9, 10 and 11 of this Agreement. Executive further acknowledges that although Executive’s compliance with the covenants contained in Sections</w:t>
      </w:r>
      <w:r>
        <w:rPr>
          <w:color w:val="000000"/>
        </w:rPr>
        <w:t xml:space="preserve"> </w:t>
      </w:r>
      <w:r>
        <w:rPr>
          <w:rFonts w:ascii="Times New Roman;sans-serif" w:hAnsi="Times New Roman;sans-serif"/>
          <w:b w:val="false"/>
          <w:color w:val="000000"/>
          <w:sz w:val="22"/>
        </w:rPr>
        <w:t>8, 9, 10 and 11 may prevent Executive from earning a livelihood in a business similar to the business of the Company, Executive’s experience and capabilities are such that Executive has other opportunities to earn a livelihood and adequate means of support for Executive and Executive’s dependents.</w:t>
      </w:r>
      <w:r>
        <w:br w:type="page"/>
      </w:r>
    </w:p>
    <w:p>
      <w:pPr>
        <w:pStyle w:val="TextBody"/>
        <w:spacing w:before="0" w:after="0"/>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8.</w:t>
      </w:r>
      <w:r>
        <w:rPr>
          <w:rFonts w:ascii="Times New Roman;sans-serif" w:hAnsi="Times New Roman;sans-serif"/>
          <w:b w:val="false"/>
          <w:color w:val="000000"/>
          <w:sz w:val="22"/>
          <w:u w:val="single"/>
        </w:rPr>
        <w:t>Non-competition and Non-solicitation</w:t>
      </w:r>
      <w:r>
        <w:rPr>
          <w:rFonts w:ascii="Times New Roman;sans-serif" w:hAnsi="Times New Roman;sans-serif"/>
          <w:b w:val="false"/>
          <w:color w:val="000000"/>
          <w:sz w:val="22"/>
        </w:rPr>
        <w:t xml:space="preserve">. </w:t>
      </w:r>
    </w:p>
    <w:p>
      <w:pPr>
        <w:pStyle w:val="TextBody"/>
        <w:spacing w:before="0" w:after="0"/>
        <w:rPr/>
      </w:pPr>
      <w:r>
        <w:rPr/>
      </w:r>
    </w:p>
    <w:p>
      <w:pPr>
        <w:pStyle w:val="TextBody"/>
        <w:spacing w:lineRule="auto" w:line="268" w:before="0" w:after="120"/>
        <w:ind w:left="0" w:right="0" w:firstLine="153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Executive acknowledges that the services Executive are to render to the Company are of a special and unusual character, with a unique value to the Company, the loss of which cannot adequately be compensated by damages or an action at law. In view of the unique value to the Company, its Subsidiaries and Affiliates (collectively, the “</w:t>
      </w:r>
      <w:r>
        <w:rPr>
          <w:rFonts w:ascii="Times New Roman;sans-serif" w:hAnsi="Times New Roman;sans-serif"/>
          <w:b/>
          <w:color w:val="000000"/>
          <w:sz w:val="24"/>
        </w:rPr>
        <w:t>Group</w:t>
      </w:r>
      <w:r>
        <w:rPr>
          <w:color w:val="000000"/>
        </w:rPr>
        <w:t>”</w:t>
      </w:r>
      <w:r>
        <w:rPr>
          <w:rFonts w:ascii="Times New Roman;sans-serif" w:hAnsi="Times New Roman;sans-serif"/>
          <w:b w:val="false"/>
          <w:color w:val="000000"/>
          <w:sz w:val="22"/>
        </w:rPr>
        <w:t>) of the services of Executive for which the Company has contracted hereunder, because of the confidential information to be obtained by, or disclosed to, Executive as herein above set forth, Executive covenants and agrees that during Executive’s employment and during the Non-Competition Period (as defined below) Executive shall not, directly or indirectly, enter into the employment of, tender consulting or other services to, acquire any interest in (whether for Executive’s own account as an individual proprietor, or as a partner, associate, stockholder, officer, director, trustee or otherwise), or otherwise participate in any business that competes, directly or indirectly, with any member of the Group (i) in the same lines of business in the business process outsourcing industry that the members of the Group are engaged in at the time Executive’s employment is terminated, or if Executive is an employee of any member of the Group, at the time Executive is accused of being in competition with any of the Group pursuant to this Agreement; (ii) in the provision of the business processes provided by the Group at the time Executive’s employment is terminated, or if Executive is an employee of any member of the Group, at the time Executive is accused of being in competition with any member of the Group pursuant to this Agreement; (iii) in the provision of business processes that any of the Group has taken substantial steps to provide to customers at the time Executive’s employment is terminated, or if Executive is an employee of any of the Group, at the time Executive is accused of being in competition with any of the Group pursuant to this Agreement; or (iv) in the provision of business processes that any of the Group are in the process of marketing to existing or potential clients that any of the Group are taking measures to retain as clients of the Group, at the time Executive’s employment is terminated, or if Executive are an employee of any of the Group, at the time Executive is accused of being in competition with any of the Group pursuant to this Agreement, during Executive’s employment with the Group. Executive and the Company acknowledge that clauses (ii), (iii) and (iv) in the immediately preceding sentence shall not be deemed or interpreted to narrow or otherwise limit the scope of clause (i) of such sentence. For purposes of this Agreement, the “</w:t>
      </w:r>
      <w:r>
        <w:rPr>
          <w:rFonts w:ascii="Times New Roman;sans-serif" w:hAnsi="Times New Roman;sans-serif"/>
          <w:b/>
          <w:color w:val="000000"/>
          <w:sz w:val="24"/>
        </w:rPr>
        <w:t>Non-Competition Period</w:t>
      </w:r>
      <w:r>
        <w:rPr>
          <w:color w:val="000000"/>
        </w:rPr>
        <w:t xml:space="preserve">” </w:t>
      </w:r>
      <w:r>
        <w:rPr>
          <w:rFonts w:ascii="Times New Roman;sans-serif" w:hAnsi="Times New Roman;sans-serif"/>
          <w:b w:val="false"/>
          <w:color w:val="000000"/>
          <w:sz w:val="22"/>
        </w:rPr>
        <w:t>shall be the one year period following Executive’s termination of employment for any reason.</w:t>
      </w:r>
    </w:p>
    <w:p>
      <w:pPr>
        <w:pStyle w:val="TextBody"/>
        <w:spacing w:lineRule="auto" w:line="268" w:before="0" w:after="120"/>
        <w:ind w:left="0" w:right="0" w:firstLine="153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nothing in this Agreement shall prevent (A) the purchase or ownership by Executive of up to two percent (2%) in the aggregate of any class of securities of any entity if such securities (i) are listed on a national securities exchange of any country or (ii) are registered under Section 12(g) of the U.S. Securities Exchange Act of 1934; or (B) the direct or indirect ownership of securities of a private company; provided that, Executive is only a passive investor in such company (having no role, duty or responsibility whatsoever in the management, operations or direction of such company) and owns no more than five percent (5%) in the aggregate of any securities of such company. If Executive’s employment with the Company is terminated for any reason, and after such termination Executive wish to take any action, including without limitation, taking a position with another company, which action could potentially be deemed a violation of this Agreement, Executive shall have the right, after providing the Board with all relevant information, to request a consent to such action from the Board which consent shall not be unreasonably withheld. The Board shall respond to Executive’s request by granting or denying such consent within not more than 30 calendar days from the date the Company receives written notice of such request from Executive.</w:t>
      </w:r>
    </w:p>
    <w:p>
      <w:pPr>
        <w:pStyle w:val="TextBody"/>
        <w:spacing w:lineRule="auto" w:line="268" w:before="0" w:after="120"/>
        <w:ind w:left="0" w:right="0" w:firstLine="153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During Executive’s employment with the Group and for a period of one year thereafter Executive shall make no unfavorable, disparaging or negative comment, remark or statement, whether written or oral (a “</w:t>
      </w:r>
      <w:r>
        <w:rPr>
          <w:rFonts w:ascii="Times New Roman;sans-serif" w:hAnsi="Times New Roman;sans-serif"/>
          <w:b/>
          <w:color w:val="000000"/>
          <w:sz w:val="24"/>
        </w:rPr>
        <w:t>Disparaging Statement</w:t>
      </w:r>
      <w:r>
        <w:rPr>
          <w:color w:val="000000"/>
        </w:rPr>
        <w:t>”</w:t>
      </w:r>
      <w:r>
        <w:rPr>
          <w:rFonts w:ascii="Times New Roman;sans-serif" w:hAnsi="Times New Roman;sans-serif"/>
          <w:b w:val="false"/>
          <w:color w:val="000000"/>
          <w:sz w:val="22"/>
        </w:rPr>
        <w:t xml:space="preserve">), about the Company or any of its affiliates, officers, directors, shareholders, consultants, or employees; provided that, Executive may give truthful testimony before a court, governmental agency, arbitration panel, or similar person or body with apparent jurisdiction and may discuss such matters in confidence with Executive’s attorney(s) and other </w:t>
      </w:r>
      <w:r>
        <w:br w:type="page"/>
      </w:r>
    </w:p>
    <w:p>
      <w:pPr>
        <w:pStyle w:val="TextBody"/>
        <w:spacing w:before="0" w:after="0"/>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6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professional advisors. Similarly, during the foregoing period, the Company and its officers and directors (acting in their capacity as officers and directors of the Company) shall make no disparaging statement about Executive; provided that, any officer or director may give truthful testimony before a court, governmental agency, arbitration panel, or similar person or body with apparent jurisdiction and may discuss such matters in confidence with their or the Company’s attorney(s) and other professional advisors. On and after the date hereof, during Executive’s employment and for one year following termination of Executive’s employment, Executive may not directly or indirectly (i) solicit, encourage, or induce or attempt to solicit, encourage, or induce any (A) current employee, marketing agent, or consultant of any of the Group to terminate his or her employment, agency, or consultancy with any member of the Group or (B) prospective employee with whom the Company has had discussions or negotiations within six months prior to Executive’s termination of employment not to establish a relationship with any of the Group, (ii) induce or attempt to induce any current customer to terminate its relationship with any of the Group, or (iii) induce any potential customer with whom the Company has had discussions or negotiations within six months prior to Executive’s termination of employment not to establish a relationship with any of the Group.</w:t>
      </w:r>
    </w:p>
    <w:p>
      <w:pPr>
        <w:pStyle w:val="TextBody"/>
        <w:spacing w:lineRule="auto" w:line="268" w:before="0" w:after="120"/>
        <w:ind w:left="0" w:right="0" w:firstLine="153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If a final and non-appealable judicial determination is made by a court of competent jurisdiction that any of the provisions of this Section 7 constitutes an unreasonable or otherwise unenforceable restriction against Executive, the provisions of this Section 7 will not be rendered void but will be deemed to be modified to the minimum extent necessary to remain in force and effect for the longest period and largest geographic area that would not constitute such an unreasonable or unenforceable restriction (and such court shall have the power to reduce the duration or restrict or redefine the geographic scope of such provision and to enforce such provision as so reduced, restricted or redefined).</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9.</w:t>
      </w:r>
      <w:r>
        <w:rPr>
          <w:rFonts w:ascii="Times New Roman;sans-serif" w:hAnsi="Times New Roman;sans-serif"/>
          <w:b w:val="false"/>
          <w:color w:val="000000"/>
          <w:sz w:val="22"/>
          <w:u w:val="single"/>
        </w:rPr>
        <w:t>Confidential Information and Trade Secrets</w:t>
      </w:r>
      <w:r>
        <w:rPr>
          <w:rFonts w:ascii="Times New Roman;sans-serif" w:hAnsi="Times New Roman;sans-serif"/>
          <w:b w:val="false"/>
          <w:color w:val="000000"/>
          <w:sz w:val="22"/>
        </w:rPr>
        <w:t>.</w:t>
      </w:r>
    </w:p>
    <w:p>
      <w:pPr>
        <w:pStyle w:val="TextBody"/>
        <w:spacing w:before="0" w:after="0"/>
        <w:rPr/>
      </w:pPr>
      <w:r>
        <w:rPr/>
      </w:r>
    </w:p>
    <w:p>
      <w:pPr>
        <w:pStyle w:val="TextBody"/>
        <w:spacing w:lineRule="auto" w:line="268" w:before="0" w:after="120"/>
        <w:ind w:left="0" w:right="0" w:firstLine="153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Access to Confidential Information and Trade Secrets. You understand and acknowledge that as an employee of the Company, You will learn or have access to, or may assist in the development of, highly confidential and sensitive information and trade secrets about the Company, its operations and its clients or prospective clients. “</w:t>
      </w:r>
      <w:r>
        <w:rPr>
          <w:rFonts w:ascii="Times New Roman;sans-serif" w:hAnsi="Times New Roman;sans-serif"/>
          <w:b/>
          <w:color w:val="000000"/>
          <w:sz w:val="24"/>
        </w:rPr>
        <w:t>Confidential Information</w:t>
      </w:r>
      <w:r>
        <w:rPr>
          <w:color w:val="000000"/>
        </w:rPr>
        <w:t xml:space="preserve">” </w:t>
      </w:r>
      <w:r>
        <w:rPr>
          <w:rFonts w:ascii="Times New Roman;sans-serif" w:hAnsi="Times New Roman;sans-serif"/>
          <w:b w:val="false"/>
          <w:color w:val="000000"/>
          <w:sz w:val="22"/>
        </w:rPr>
        <w:t>includes without limitation: (i) financial and business information relating to the Company, such as information with respect to costs, commissions, fees, profits, sales, markets, mailing lists, strategies and plans for future business, new business, product or other development, potential acquisitions or divestitures, and new marketing ideas; (ii) product and technical information relating to the Company, such as product and service formulations, new and innovative product and service ideas, methods, procedures, devices, machines, equipment, data</w:t>
      </w:r>
      <w:r>
        <w:rPr>
          <w:color w:val="000000"/>
        </w:rPr>
        <w:t xml:space="preserve"> </w:t>
      </w:r>
      <w:r>
        <w:rPr>
          <w:rFonts w:ascii="Times New Roman;sans-serif" w:hAnsi="Times New Roman;sans-serif"/>
          <w:b w:val="false"/>
          <w:color w:val="000000"/>
          <w:sz w:val="22"/>
        </w:rPr>
        <w:t>processing</w:t>
      </w:r>
      <w:r>
        <w:rPr>
          <w:color w:val="000000"/>
        </w:rPr>
        <w:t xml:space="preserve"> </w:t>
      </w:r>
      <w:r>
        <w:rPr>
          <w:rFonts w:ascii="Times New Roman;sans-serif" w:hAnsi="Times New Roman;sans-serif"/>
          <w:b w:val="false"/>
          <w:color w:val="000000"/>
          <w:sz w:val="22"/>
        </w:rPr>
        <w:t>programs,</w:t>
      </w:r>
      <w:r>
        <w:rPr>
          <w:color w:val="000000"/>
        </w:rPr>
        <w:t xml:space="preserve"> </w:t>
      </w:r>
      <w:r>
        <w:rPr>
          <w:rFonts w:ascii="Times New Roman;sans-serif" w:hAnsi="Times New Roman;sans-serif"/>
          <w:b w:val="false"/>
          <w:color w:val="000000"/>
          <w:sz w:val="22"/>
        </w:rPr>
        <w:t>software,</w:t>
      </w:r>
      <w:r>
        <w:rPr>
          <w:color w:val="000000"/>
        </w:rPr>
        <w:t xml:space="preserve"> </w:t>
      </w:r>
      <w:r>
        <w:rPr>
          <w:rFonts w:ascii="Times New Roman;sans-serif" w:hAnsi="Times New Roman;sans-serif"/>
          <w:b w:val="false"/>
          <w:color w:val="000000"/>
          <w:sz w:val="22"/>
        </w:rPr>
        <w:t>software</w:t>
      </w:r>
      <w:r>
        <w:rPr>
          <w:color w:val="000000"/>
        </w:rPr>
        <w:t xml:space="preserve"> </w:t>
      </w:r>
      <w:r>
        <w:rPr>
          <w:rFonts w:ascii="Times New Roman;sans-serif" w:hAnsi="Times New Roman;sans-serif"/>
          <w:b w:val="false"/>
          <w:color w:val="000000"/>
          <w:sz w:val="22"/>
        </w:rPr>
        <w:t>codes,</w:t>
      </w:r>
      <w:r>
        <w:rPr>
          <w:color w:val="000000"/>
        </w:rPr>
        <w:t xml:space="preserve"> </w:t>
      </w:r>
      <w:r>
        <w:rPr>
          <w:rFonts w:ascii="Times New Roman;sans-serif" w:hAnsi="Times New Roman;sans-serif"/>
          <w:b w:val="false"/>
          <w:color w:val="000000"/>
          <w:sz w:val="22"/>
        </w:rPr>
        <w:t>know-how, computer</w:t>
      </w:r>
      <w:r>
        <w:rPr>
          <w:color w:val="000000"/>
        </w:rPr>
        <w:t xml:space="preserve"> </w:t>
      </w:r>
      <w:r>
        <w:rPr>
          <w:rFonts w:ascii="Times New Roman;sans-serif" w:hAnsi="Times New Roman;sans-serif"/>
          <w:b w:val="false"/>
          <w:color w:val="000000"/>
          <w:sz w:val="22"/>
        </w:rPr>
        <w:t>models,</w:t>
      </w:r>
      <w:r>
        <w:rPr>
          <w:color w:val="000000"/>
        </w:rPr>
        <w:t xml:space="preserve"> </w:t>
      </w:r>
      <w:r>
        <w:rPr>
          <w:rFonts w:ascii="Times New Roman;sans-serif" w:hAnsi="Times New Roman;sans-serif"/>
          <w:b w:val="false"/>
          <w:color w:val="000000"/>
          <w:sz w:val="22"/>
        </w:rPr>
        <w:t>and</w:t>
      </w:r>
      <w:r>
        <w:rPr>
          <w:color w:val="000000"/>
        </w:rPr>
        <w:t xml:space="preserve"> </w:t>
      </w:r>
      <w:r>
        <w:rPr>
          <w:rFonts w:ascii="Times New Roman;sans-serif" w:hAnsi="Times New Roman;sans-serif"/>
          <w:b w:val="false"/>
          <w:color w:val="000000"/>
          <w:sz w:val="22"/>
        </w:rPr>
        <w:t>research</w:t>
      </w:r>
      <w:r>
        <w:rPr>
          <w:color w:val="000000"/>
        </w:rPr>
        <w:t xml:space="preserve"> </w:t>
      </w:r>
      <w:r>
        <w:rPr>
          <w:rFonts w:ascii="Times New Roman;sans-serif" w:hAnsi="Times New Roman;sans-serif"/>
          <w:b w:val="false"/>
          <w:color w:val="000000"/>
          <w:sz w:val="22"/>
        </w:rPr>
        <w:t>and development projects; (iii) client information, such as the identity of the Company’s clients, the names of representatives of the Company’s clients responsible for entering into contracts with the Company, the amounts paid by such clients to the Company, specific client needs and requirements; (iv) information regarding prospective clients, such as the identity of prospective clients, the names of representatives of the prospective clients responsible for entering into contracts with the Company, the amounts proposed to paid by such prospective clients to the Company, specific needs and requirements of such prospective clients; (v)</w:t>
      </w:r>
      <w:r>
        <w:rPr>
          <w:color w:val="000000"/>
        </w:rPr>
        <w:t xml:space="preserve"> </w:t>
      </w:r>
      <w:r>
        <w:rPr>
          <w:rFonts w:ascii="Times New Roman;sans-serif" w:hAnsi="Times New Roman;sans-serif"/>
          <w:b w:val="false"/>
          <w:color w:val="000000"/>
          <w:sz w:val="22"/>
        </w:rPr>
        <w:t>details of company policies and personnel information, such as the identity and number of the Company’s other employees, their salaries, bonuses, benefits, skills, qualifications, and abilities; (vi) any and all information in whatever form relating to any client or prospective client of the Company, including without limitation its business, employees, operations, systems, assets, liabilities, finances, products, and marketing, selling and operating practices; (vii) any information which You know or should know is subject to a restriction on disclosure or which You know or should know is considered by the Company or the Company’s clients or prospective clients to be confidential, sensitive, proprietary, a trade secret or is not readily available to the public; and (viii) intellectual property, including inventions and copyrightable works. You also may have access to “</w:t>
      </w:r>
      <w:r>
        <w:rPr>
          <w:rFonts w:ascii="Times New Roman;sans-serif" w:hAnsi="Times New Roman;sans-serif"/>
          <w:b/>
          <w:color w:val="000000"/>
          <w:sz w:val="24"/>
        </w:rPr>
        <w:t xml:space="preserve">Trade </w:t>
      </w:r>
      <w:r>
        <w:br w:type="page"/>
      </w:r>
    </w:p>
    <w:p>
      <w:pPr>
        <w:pStyle w:val="TextBody"/>
        <w:spacing w:before="0" w:after="0"/>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68" w:before="0" w:after="120"/>
        <w:jc w:val="both"/>
        <w:rPr/>
      </w:pPr>
      <w:r>
        <w:rPr>
          <w:rFonts w:ascii="Times New Roman;sans-serif" w:hAnsi="Times New Roman;sans-serif"/>
          <w:b/>
          <w:color w:val="000000"/>
          <w:sz w:val="24"/>
        </w:rPr>
        <w:t>Secrets</w:t>
      </w:r>
      <w:r>
        <w:rPr>
          <w:color w:val="000000"/>
        </w:rPr>
        <w:t xml:space="preserve">” </w:t>
      </w:r>
      <w:r>
        <w:rPr>
          <w:rFonts w:ascii="Times New Roman;sans-serif" w:hAnsi="Times New Roman;sans-serif"/>
          <w:b w:val="false"/>
          <w:color w:val="000000"/>
          <w:sz w:val="22"/>
        </w:rPr>
        <w:t>which are items of Confidential Information which meet the definition of trade secrets under applicable law. Confidential Information and Trade Secrets are not generally known or available to the general public, but have been developed, compiled or acquired by the Company at its great effort and expense. Confidential Information and Trade Secrets can be in any form: oral, written or machine readable, including electronic files, and stored in any media whatsoever or the unaided human memory.</w:t>
      </w:r>
    </w:p>
    <w:p>
      <w:pPr>
        <w:pStyle w:val="TextBody"/>
        <w:spacing w:lineRule="auto" w:line="268" w:before="0" w:after="120"/>
        <w:ind w:left="0" w:right="0" w:firstLine="153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You acknowledge and agree that the Company is engaged in a highly competitive business and that its competitive position depends upon its ability to maintain the confidentiality of the Confidential Information and Trade Secrets which were developed, compiled and acquired by the Company at its great effort and expense. You further acknowledge and agree that any disclosing, divulging, revealing, or using of any of the Confidential Information and Trade Secrets, other than in connection with the Company’s business or as specifically authorized by the Company, will be highly detrimental to the Company and cause it to suffer serious loss of business and pecuniary damage. Accordingly, You agree that during Your employment with the Company and following the termination of such employment for any reason, You shall not directly or indirectly divulge or make use of any Confidential Information outside of Your employment with the Company (so long as the information remains confidential) without the prior written consent of an authorized representative of the Company. You shall not directly or indirectly misappropriate, divulge, or make use of Trade Secrets for an indefinite period of time, so long as the information remains a Trade Secret as defined under any applicable trade secrets or other applicable law. You also agree at all times to exercise discretion in discussing with others the affairs of clients, including avoiding unnecessary identification of names, places, and other specifics, and to take reasonable precautions to make sure that such discussions cannot be overheard and electronic communications cannot be intercepted either by client’s employees or outside persons.</w:t>
      </w:r>
    </w:p>
    <w:p>
      <w:pPr>
        <w:pStyle w:val="TextBody"/>
        <w:spacing w:lineRule="auto" w:line="268" w:before="0" w:after="120"/>
        <w:ind w:left="0" w:right="0" w:firstLine="153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You further agree that if You are questioned about information subject to this Agreement by any person or entity not authorized to receive such information, You will, except to the extent prohibited by law, notify the Company within twenty-four (24) hours.</w:t>
      </w:r>
    </w:p>
    <w:p>
      <w:pPr>
        <w:pStyle w:val="TextBody"/>
        <w:spacing w:lineRule="auto" w:line="268" w:before="0" w:after="120"/>
        <w:ind w:left="0" w:right="0" w:firstLine="153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You acknowledge and agree that Holdings is a public company and that You may receive or have access to material non-public information that is restricted from use and disclosure by U.S. federal and state and other international statutes and laws. You agree that other than to benefit the Company in compliance with applicable laws, You will not use for any purposes any “insider information” that may come to Your attention in connection with Your employment with the Company and that You will not disclose such information to anyone outside or the inside the Company who is not an authorized recipient with a need to know such information, The term “use” includes, but is not limited to, purchase or sale of securities influenced by such inside information.</w:t>
      </w:r>
    </w:p>
    <w:p>
      <w:pPr>
        <w:pStyle w:val="TextBody"/>
        <w:spacing w:before="0" w:after="0"/>
        <w:rPr/>
      </w:pPr>
      <w:r>
        <w:rPr/>
      </w:r>
    </w:p>
    <w:p>
      <w:pPr>
        <w:pStyle w:val="TextBody"/>
        <w:spacing w:lineRule="auto" w:line="268" w:before="0" w:after="120"/>
        <w:ind w:left="0" w:right="0" w:firstLine="1530"/>
        <w:jc w:val="both"/>
        <w:rPr/>
      </w:pPr>
      <w:r>
        <w:rPr>
          <w:rFonts w:ascii="Times New Roman;sans-serif" w:hAnsi="Times New Roman;sans-serif"/>
          <w:b w:val="false"/>
          <w:color w:val="000000"/>
          <w:sz w:val="22"/>
        </w:rPr>
        <w:t>10.</w:t>
      </w:r>
      <w:r>
        <w:rPr>
          <w:rFonts w:ascii="Times New Roman;sans-serif" w:hAnsi="Times New Roman;sans-serif"/>
          <w:b w:val="false"/>
          <w:color w:val="000000"/>
          <w:sz w:val="22"/>
          <w:u w:val="single"/>
        </w:rPr>
        <w:t>Return of Confidential Information and Company Property</w:t>
      </w:r>
      <w:r>
        <w:rPr>
          <w:rFonts w:ascii="Times New Roman;sans-serif" w:hAnsi="Times New Roman;sans-serif"/>
          <w:b w:val="false"/>
          <w:color w:val="000000"/>
          <w:sz w:val="22"/>
        </w:rPr>
        <w:t>. You agree to return all Confidential Information and/or Trade Secrets immediately upon termination of your employment for any reason and at any time requested by the Company. To the extent that You maintain Confidential Information and/or Trade Secrets in electronic form on any computers or other electronic devices owned by You, You agree to immediately and irretrievably delete all such information, and certify the deletion of such material. You also agree to return all property in Your possession at the time of the termination of the employment with the Company, including without limitation all documents, records, electronic recordings, and other media of every kind and description relating to the Business of the Company and its Clients or Prospective Clients (as such terms are defined elsewhere in this Agreement), and any copies, in whole or in part, whether or not prepared by You, all of which shall remain the sole and exclusive property of the Company. You further agree upon termination of your employment for any reason to execute and provide the information reasonably requested by the Company. In addition, upon request of the Company, You shall provide a copy of this Agreement to any subsequent employer.</w:t>
      </w:r>
    </w:p>
    <w:p>
      <w:pPr>
        <w:pStyle w:val="TextBody"/>
        <w:spacing w:before="0" w:after="0"/>
        <w:rPr/>
      </w:pPr>
      <w:r>
        <w:rPr/>
      </w:r>
    </w:p>
    <w:p>
      <w:pPr>
        <w:pStyle w:val="TextBody"/>
        <w:spacing w:lineRule="auto" w:line="268"/>
        <w:ind w:left="0" w:right="0" w:hanging="360"/>
        <w:jc w:val="both"/>
        <w:rPr/>
      </w:pPr>
      <w:r>
        <w:rPr>
          <w:rFonts w:ascii="Times New Roman;sans-serif" w:hAnsi="Times New Roman;sans-serif"/>
          <w:b w:val="false"/>
          <w:color w:val="000000"/>
          <w:sz w:val="24"/>
        </w:rPr>
        <w:t>11.</w:t>
      </w:r>
      <w:r>
        <w:rPr>
          <w:rFonts w:ascii="Times New Roman;sans-serif" w:hAnsi="Times New Roman;sans-serif"/>
          <w:b w:val="false"/>
          <w:color w:val="000000"/>
          <w:sz w:val="22"/>
          <w:u w:val="single"/>
        </w:rPr>
        <w:t>Intellectual Property Rights</w:t>
      </w:r>
      <w:r>
        <w:rPr>
          <w:rFonts w:ascii="Times New Roman;sans-serif" w:hAnsi="Times New Roman;sans-serif"/>
          <w:b w:val="false"/>
          <w:color w:val="000000"/>
          <w:sz w:val="22"/>
        </w:rPr>
        <w:t xml:space="preserve">. </w:t>
      </w:r>
      <w:r>
        <w:br w:type="page"/>
      </w:r>
    </w:p>
    <w:p>
      <w:pPr>
        <w:pStyle w:val="TextBody"/>
        <w:spacing w:before="0" w:after="0"/>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68" w:before="0" w:after="120"/>
        <w:ind w:left="0" w:right="0" w:firstLine="153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Executive agrees that the results and proceeds of Executive’s employment by the Company or its Subsidiaries or Affiliates (including, but not limited to, any trade secrets, products, services, processes, know-how, track record, designs, developments, innovations, analyses, drawings, reports, techniques, formulas, methods, developmental or experimental work, improvements, discoveries, inventions, ideas, source and object codes, programs, matters of a literary, musical, dramatic or otherwise creative nature, writings and other works of authorship) resulting from services performed while employed hereunder by the Company and any works in progress, whether or not patentable or registrable under copyright or similar statutes, that were made, developed, conceived or reduced to practice or learned by Executive, either alone or jointly with others (collectively, “</w:t>
      </w:r>
      <w:r>
        <w:rPr>
          <w:rFonts w:ascii="Times New Roman;sans-serif" w:hAnsi="Times New Roman;sans-serif"/>
          <w:b/>
          <w:color w:val="000000"/>
          <w:sz w:val="24"/>
        </w:rPr>
        <w:t>Inventions</w:t>
      </w:r>
      <w:r>
        <w:rPr>
          <w:color w:val="000000"/>
        </w:rPr>
        <w:t>”</w:t>
      </w:r>
      <w:r>
        <w:rPr>
          <w:rFonts w:ascii="Times New Roman;sans-serif" w:hAnsi="Times New Roman;sans-serif"/>
          <w:b w:val="false"/>
          <w:color w:val="000000"/>
          <w:sz w:val="22"/>
        </w:rPr>
        <w:t>), shall be works-made-for-hire and the Company (or, if applicable or as directed by the Board, any of its Subsidiaries or Affiliates) shall be deemed the sole owner throughout the universe of any and all trade secret, patent, copyright and other intellectual property rights (collectively, “</w:t>
      </w:r>
      <w:r>
        <w:rPr>
          <w:rFonts w:ascii="Times New Roman;sans-serif" w:hAnsi="Times New Roman;sans-serif"/>
          <w:b/>
          <w:color w:val="000000"/>
          <w:sz w:val="24"/>
        </w:rPr>
        <w:t>Proprietary Rights</w:t>
      </w:r>
      <w:r>
        <w:rPr>
          <w:color w:val="000000"/>
        </w:rPr>
        <w:t>”</w:t>
      </w:r>
      <w:r>
        <w:rPr>
          <w:rFonts w:ascii="Times New Roman;sans-serif" w:hAnsi="Times New Roman;sans-serif"/>
          <w:b w:val="false"/>
          <w:color w:val="000000"/>
          <w:sz w:val="22"/>
        </w:rPr>
        <w:t>) of whatsoever nature therein, whether or not now or hereafter known, existing, contemplated, recognized or developed, with the right to use the same in perpetuity in any manner the Board determines in its sole discretion, without any further payment to Executive whatsoever. If, for any reason, any of such results and proceeds shall not legally be a work made-for-hire and/or there are any Proprietary Rights which do not accrue to the Company (or, as the case may be, any of its Subsidiaries or Affiliates) under the immediately preceding sentence, then Executive hereby irrevocably, absolutely and perpetually assigns and agrees to assign any and all of Executive’s right, title and interest thereto, including any and all Proprietary Rights of whatsoever nature therein, whether or not now or hereafter known, existing, contemplated, recognized or developed, to the Company (or, if applicable or as directed by the Board, any of its Subsidiaries or Affiliates), and the Company or such Subsidiaries or Affiliates shall have the right to use the same in perpetuity throughout the universe in any manner determined by the Board or such Subsidiaries or Affiliates without any further payment to Executive whatsoever. Notwithstanding the provisions of Section 19(4) of the Copyright Act, 1957, such assignment in so far as it relates to copyrightable material shall not lapse nor the rights transferred therein revert to the Employee, even if the Company does not exercise the rights under the assignment within a period of one year from the date of assignment. The Employee further acknowledges and agrees that he/she shall waive any right to and shall not raise any objection or claims to the Copyright Board with respect to the assignment, pursuant to Section 19A of the Copyright Act, 1957. The Employee also agrees to assist and cooperate with the Company in perfecting the Company's rights in the Intellectual Property. As to any Invention that Executive is required to assign, Executive shall promptly and fully disclose to the Company all information known to Executive concerning such Invention.</w:t>
      </w:r>
    </w:p>
    <w:p>
      <w:pPr>
        <w:pStyle w:val="TextBody"/>
        <w:spacing w:lineRule="auto" w:line="268" w:before="0" w:after="120"/>
        <w:ind w:left="0" w:right="0" w:firstLine="153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Executive agrees that, from time to time, as may be requested by the Board and at the Company’s sole cost and expense, Executive shall do any and all reasonable and lawful things that the Board may reasonably deem useful or desirable to establish or document the Company’s exclusive ownership throughout the United States of America or India or any other country of any and all Proprietary Rights in any such Inventions, including the execution of appropriate copyright and/or patent applications or assignments. To the extent Executive has any Proprietary Rights in the Inventions that cannot be assigned in the manner described above, Executive unconditionally and irrevocably waives the enforcement of such Proprietary Rights. This Section 10(b) is subject to and shall not be deemed to limit, restrict or constitute any waiver by the Company of any Proprietary Rights of ownership to which the Company may be entitled by operation of law by virtue of Executive’s employment by the Company. Executive further agrees that, from time to time, as may be requested by the Board and at the Company’s sole cost and expense, Executive shall assist the Company in every reasonable, proper and lawful way to obtain and from time to time enforce Proprietary Rights relating to Inventions in any and all countries. To this end, Executive shall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Executive shall execute, verify, and deliver assignments of such Proprietary Rights to </w:t>
      </w:r>
      <w:r>
        <w:br w:type="page"/>
      </w:r>
    </w:p>
    <w:p>
      <w:pPr>
        <w:pStyle w:val="TextBody"/>
        <w:spacing w:before="0" w:after="0"/>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6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or its designees. Executive’s obligation to provide reasonable assistance to the Company with respect to Proprietary Rights relating to such Inventions in any and all countries shall continue beyond the termination of the Term.</w:t>
      </w:r>
    </w:p>
    <w:p>
      <w:pPr>
        <w:pStyle w:val="TextBody"/>
        <w:spacing w:lineRule="auto" w:line="268" w:before="0" w:after="120"/>
        <w:ind w:left="0" w:right="0" w:firstLine="153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Executive hereby waives and quit claims to the Company any and all claims, of any nature whatsoever, that Executive now or may hereafter have for infringement of any Proprietary Rights assigned hereunder to the Company.</w:t>
      </w:r>
    </w:p>
    <w:p>
      <w:pPr>
        <w:pStyle w:val="TextBody"/>
        <w:spacing w:before="0" w:after="0"/>
        <w:rPr/>
      </w:pPr>
      <w:r>
        <w:rPr/>
      </w:r>
    </w:p>
    <w:p>
      <w:pPr>
        <w:pStyle w:val="TextBody"/>
        <w:spacing w:lineRule="auto" w:line="268" w:before="0" w:after="120"/>
        <w:ind w:left="0" w:right="0" w:firstLine="1530"/>
        <w:jc w:val="both"/>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Notification of Employment or Service Provider Relationship</w:t>
      </w:r>
      <w:r>
        <w:rPr>
          <w:rFonts w:ascii="Times New Roman;sans-serif" w:hAnsi="Times New Roman;sans-serif"/>
          <w:b w:val="false"/>
          <w:color w:val="000000"/>
          <w:sz w:val="22"/>
        </w:rPr>
        <w:t>. Executive hereby agrees that as soon as practical, upon Executive’s consideration of accepting employment with, or agreeing to provide services to, any other Person during any period which Executive remains subject to any of the covenants set forth in Section 7, Executive shall advise Executive’s prospective employer of this Agreement and, to the extent necessary, shall provide such prospective employer with a copy of Section 7 of this Agreement. provided, however, that if and to the extent this Agreement has been publicly filed in connection the Company’s filings with the Securities and Exchange Commission or related corporate, public company filings, Executive may provide Executive’s prospective employer with a copy of the filed version of this Agreement. Promptly after receiving an offer of employment from any other Person, Executive will provide written notice to the Company of Executive’s new employer as soon as possible.</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13.</w:t>
      </w:r>
      <w:r>
        <w:rPr>
          <w:rFonts w:ascii="Times New Roman;sans-serif" w:hAnsi="Times New Roman;sans-serif"/>
          <w:b w:val="false"/>
          <w:color w:val="000000"/>
          <w:sz w:val="22"/>
          <w:u w:val="single"/>
        </w:rPr>
        <w:t>Data Protection</w:t>
      </w:r>
      <w:r>
        <w:rPr>
          <w:rFonts w:ascii="Times New Roman;sans-serif" w:hAnsi="Times New Roman;sans-serif"/>
          <w:b w:val="false"/>
          <w:color w:val="000000"/>
          <w:sz w:val="22"/>
        </w:rPr>
        <w:t>.</w:t>
      </w:r>
    </w:p>
    <w:p>
      <w:pPr>
        <w:pStyle w:val="TextBody"/>
        <w:spacing w:before="0" w:after="0"/>
        <w:rPr/>
      </w:pPr>
      <w:r>
        <w:rPr/>
      </w:r>
    </w:p>
    <w:p>
      <w:pPr>
        <w:pStyle w:val="TextBody"/>
        <w:spacing w:lineRule="auto" w:line="268" w:before="0" w:after="120"/>
        <w:ind w:left="0" w:right="0" w:firstLine="153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Executive hereby confirms that he has read and understood the Company's data protection policy and that he shall comply with the data protection policy when processing personal data in the course of employment including personal data relating to any employee, personnel, research assistant, customer, client, supplier or agent of the Company or any group entity.</w:t>
      </w:r>
    </w:p>
    <w:p>
      <w:pPr>
        <w:pStyle w:val="TextBody"/>
        <w:spacing w:lineRule="auto" w:line="268" w:before="0" w:after="120"/>
        <w:ind w:left="0" w:right="0" w:firstLine="153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Executive consents to the Company collecting, processing and handling data, including personal and sensitive personal data, relating to him for legal, personnel, administrative and management purposes. The Executive further agrees that the Company may transfer such data to its affiliates or service providers for legitimate business reasons, including but not limited to payroll processing, insurance benefits, etc.</w:t>
      </w:r>
      <w:r>
        <w:rPr>
          <w:color w:val="000000"/>
        </w:rPr>
        <w:t xml:space="preserve"> </w:t>
      </w:r>
    </w:p>
    <w:p>
      <w:pPr>
        <w:pStyle w:val="TextBody"/>
        <w:spacing w:before="0" w:after="0"/>
        <w:rPr/>
      </w:pPr>
      <w:r>
        <w:rPr/>
      </w:r>
    </w:p>
    <w:p>
      <w:pPr>
        <w:pStyle w:val="TextBody"/>
        <w:spacing w:lineRule="auto" w:line="268" w:before="0" w:after="120"/>
        <w:ind w:left="0" w:right="0" w:firstLine="1530"/>
        <w:jc w:val="both"/>
        <w:rPr/>
      </w:pPr>
      <w:r>
        <w:rPr>
          <w:rFonts w:ascii="Times New Roman;sans-serif" w:hAnsi="Times New Roman;sans-serif"/>
          <w:b w:val="false"/>
          <w:color w:val="000000"/>
          <w:sz w:val="22"/>
        </w:rPr>
        <w:t>14.</w:t>
      </w:r>
      <w:r>
        <w:rPr>
          <w:rFonts w:ascii="Times New Roman;sans-serif" w:hAnsi="Times New Roman;sans-serif"/>
          <w:b w:val="false"/>
          <w:color w:val="000000"/>
          <w:sz w:val="22"/>
          <w:u w:val="single"/>
        </w:rPr>
        <w:t>Remedies and Injunctive Relief</w:t>
      </w:r>
      <w:r>
        <w:rPr>
          <w:rFonts w:ascii="Times New Roman;sans-serif" w:hAnsi="Times New Roman;sans-serif"/>
          <w:b w:val="false"/>
          <w:color w:val="000000"/>
          <w:sz w:val="22"/>
        </w:rPr>
        <w:t>. Executive acknowledges that a violation by Executive of any of the covenants contained in Section</w:t>
      </w:r>
      <w:r>
        <w:rPr>
          <w:color w:val="000000"/>
        </w:rPr>
        <w:t xml:space="preserve"> </w:t>
      </w:r>
      <w:r>
        <w:rPr>
          <w:rFonts w:ascii="Times New Roman;sans-serif" w:hAnsi="Times New Roman;sans-serif"/>
          <w:b w:val="false"/>
          <w:color w:val="000000"/>
          <w:sz w:val="22"/>
        </w:rPr>
        <w:t xml:space="preserve">8, 9, 10 or 11 would cause irreparable damage to the Company in an amount that would be material but not readily ascertainable, and that any remedy at law (including the payment of damages) would be inadequate. Accordingly, Executive agrees that, notwithstanding any provision of this Agreement to the contrary, the Company shall be entitled (without the necessity of showing economic loss or other actual damage) to preliminary or interim injunctive relief (including temporary restraining orders and preliminary injunctions) in courts located in Delhi, India, for any actual or threatened breach of any of the covenants set forth in Section 8, 9, 10 or 11 in addition to any other legal or equitable remedies it may have. The preceding sentences shall not be construed as a waiver of the rights that the Company and/or Employee may have to recover in arbitration pursuant to Section 20 any damages available to it under this Agreement or otherwise, and all of the Company’s rights shall be unrestricted. </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15.</w:t>
      </w:r>
      <w:r>
        <w:rPr>
          <w:rFonts w:ascii="Times New Roman;sans-serif" w:hAnsi="Times New Roman;sans-serif"/>
          <w:b w:val="false"/>
          <w:color w:val="000000"/>
          <w:sz w:val="22"/>
          <w:u w:val="single"/>
        </w:rPr>
        <w:t>Representations of Executive and Company; Advice of Counsel</w:t>
      </w:r>
      <w:r>
        <w:rPr>
          <w:rFonts w:ascii="Times New Roman;sans-serif" w:hAnsi="Times New Roman;sans-serif"/>
          <w:b w:val="false"/>
          <w:color w:val="000000"/>
          <w:sz w:val="22"/>
        </w:rPr>
        <w:t>.</w:t>
      </w:r>
    </w:p>
    <w:p>
      <w:pPr>
        <w:pStyle w:val="TextBody"/>
        <w:spacing w:before="0" w:after="0"/>
        <w:rPr/>
      </w:pPr>
      <w:r>
        <w:rPr/>
      </w:r>
    </w:p>
    <w:p>
      <w:pPr>
        <w:pStyle w:val="TextBody"/>
        <w:spacing w:lineRule="auto" w:line="268" w:before="0" w:after="120"/>
        <w:ind w:left="0" w:right="0" w:firstLine="153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Executive represents, warrants and covenants that as of the date hereof: (i) Executive has the full right, authority and capacity to enter into this Agreement and perform Executive’s </w:t>
      </w:r>
      <w:r>
        <w:br w:type="page"/>
      </w:r>
    </w:p>
    <w:p>
      <w:pPr>
        <w:pStyle w:val="TextBody"/>
        <w:spacing w:before="0" w:after="0"/>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68" w:before="0" w:after="120"/>
        <w:jc w:val="both"/>
        <w:rPr/>
      </w:pPr>
      <w:r>
        <w:rPr>
          <w:rFonts w:ascii="Times New Roman;sans-serif" w:hAnsi="Times New Roman;sans-serif"/>
          <w:b w:val="false"/>
          <w:color w:val="000000"/>
          <w:sz w:val="22"/>
        </w:rPr>
        <w:t>obligations hereunder, (ii) has disclosed all applicable restrictive covenants or other obligations Executive has with any current or former employer, (iii) Executive is not bound by any agreement that conflicts with or prevents or restricts the full performance of Executive’s duties and obligations to the Company hereunder during or after the Term, (iv) the execution and delivery of this Agreement shall not result in any breach or violation of, or a default under, any existing obligation, commitment or agreement to which Executive is subject.</w:t>
      </w:r>
      <w:r>
        <w:rPr>
          <w:color w:val="000000"/>
        </w:rPr>
        <w:t xml:space="preserve"> </w:t>
      </w:r>
      <w:r>
        <w:rPr>
          <w:rFonts w:ascii="Times New Roman;sans-serif" w:hAnsi="Times New Roman;sans-serif"/>
          <w:b w:val="false"/>
          <w:color w:val="000000"/>
          <w:sz w:val="22"/>
        </w:rPr>
        <w:t>The Executive undertakes to indemnify the Company against any such claims, costs, damages, liabilities or expenses which the Company may incur if the Executive is in breach of any such obligations. (v) all the information submitted by the Executive which forms the basis for this employment is complete and correct. The Executive agrees and acknowledges that if it is found that the information submitted is false or incomplete or that the Executive has concealed certain material information which detrimentally impacts the employment with the Company, the Company may terminate employment without providing any notice or pay in lieu thereof and (vi) Executive has not engaged and will not engage in the future in any conduct that is in breach of any restrictive covenant to which Executive may be bound or any fiduciary duty that Executive owes to any employer. The Executive understands and acknowledges that Executive is not expected or permitted to possess, use or disclose any confidential information belonging to any current or former employer in the course of performing Executive’s duties for the Company.</w:t>
      </w:r>
    </w:p>
    <w:p>
      <w:pPr>
        <w:pStyle w:val="TextBody"/>
        <w:spacing w:lineRule="auto" w:line="268" w:before="0" w:after="120"/>
        <w:ind w:left="0" w:right="0" w:firstLine="153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Prior to execution of this Agreement, Executive was advised by the Company of Executive’s right to seek independent advice from an attorney of Executive’s own selection regarding this Agreement. Executive acknowledges that Executive has entered into this Agreement knowingly and voluntarily and with full knowledge and understanding of the provisions of this Agreement after being given the opportunity to consult with counsel. Executive further represents that in entering into this Agreement, Executive is not relying on any statements or representations made by any of the Company’s directors, officers, employees or agents which are not expressly set forth herein, and that Executive is relying only upon Executive’s own judgment and any advice provided by Executive’s attorney.</w:t>
      </w:r>
    </w:p>
    <w:p>
      <w:pPr>
        <w:pStyle w:val="TextBody"/>
        <w:spacing w:before="0" w:after="0"/>
        <w:rPr/>
      </w:pPr>
      <w:r>
        <w:rPr/>
      </w:r>
    </w:p>
    <w:p>
      <w:pPr>
        <w:pStyle w:val="TextBody"/>
        <w:spacing w:lineRule="auto" w:line="268" w:before="0" w:after="120"/>
        <w:ind w:left="0" w:right="0" w:firstLine="1530"/>
        <w:jc w:val="both"/>
        <w:rPr/>
      </w:pPr>
      <w:r>
        <w:rPr>
          <w:rFonts w:ascii="Times New Roman;sans-serif" w:hAnsi="Times New Roman;sans-serif"/>
          <w:b w:val="false"/>
          <w:color w:val="000000"/>
          <w:sz w:val="22"/>
        </w:rPr>
        <w:t>16.</w:t>
      </w:r>
      <w:r>
        <w:rPr>
          <w:rFonts w:ascii="Times New Roman;sans-serif" w:hAnsi="Times New Roman;sans-serif"/>
          <w:b w:val="false"/>
          <w:color w:val="000000"/>
          <w:sz w:val="22"/>
          <w:u w:val="single"/>
        </w:rPr>
        <w:t>Cooperation</w:t>
      </w:r>
      <w:r>
        <w:rPr>
          <w:rFonts w:ascii="Times New Roman;sans-serif" w:hAnsi="Times New Roman;sans-serif"/>
          <w:b w:val="false"/>
          <w:color w:val="000000"/>
          <w:sz w:val="22"/>
        </w:rPr>
        <w:t>. Executive agrees that, upon reasonable notice and without the necessity of the Company obtaining a court order, Executive shall provide reasonable cooperation in connection with any suit, action or proceeding (or any appeal from any suit, action or proceeding), or the decision to commence on behalf of the Company any suit, action or proceeding, and any investigation and/or defense of any claims asserted against any of the Company’s or its Affiliates’ current or former directors officers, employees, shareholders, partners, members, agents or representatives of any of the foregoing, which relates to events occurring during Executive’s employment hereunder by the Company as to which Executive may have relevant information (including but not limited to furnishing relevant information and materials to the Company or its designee and/or providing testimony at depositions and at trial), provided that with respect to such cooperation occurring following termination of the Term, the Company shall reimburse Executive for expenses reasonably incurred in connection therewith, including reasonable and necessary attorney fees where the attorney is engaged in consultation with the Company, and shall schedule such cooperation to the extent reasonably practicable so as not to unreasonably interfere with Executive’s business or personal affairs.</w:t>
      </w:r>
    </w:p>
    <w:p>
      <w:pPr>
        <w:pStyle w:val="TextBody"/>
        <w:spacing w:before="0" w:after="0"/>
        <w:rPr/>
      </w:pPr>
      <w:r>
        <w:rPr/>
      </w:r>
    </w:p>
    <w:p>
      <w:pPr>
        <w:pStyle w:val="TextBody"/>
        <w:spacing w:lineRule="auto" w:line="268" w:before="0" w:after="120"/>
        <w:ind w:left="0" w:right="0" w:firstLine="1530"/>
        <w:jc w:val="both"/>
        <w:rPr/>
      </w:pPr>
      <w:r>
        <w:rPr>
          <w:rFonts w:ascii="Times New Roman;sans-serif" w:hAnsi="Times New Roman;sans-serif"/>
          <w:b w:val="false"/>
          <w:color w:val="000000"/>
          <w:sz w:val="22"/>
        </w:rPr>
        <w:t>17.</w:t>
      </w:r>
      <w:r>
        <w:rPr>
          <w:rFonts w:ascii="Times New Roman;sans-serif" w:hAnsi="Times New Roman;sans-serif"/>
          <w:b w:val="false"/>
          <w:color w:val="000000"/>
          <w:sz w:val="22"/>
          <w:u w:val="single"/>
        </w:rPr>
        <w:t>Withholding; Taxes</w:t>
      </w:r>
      <w:r>
        <w:rPr>
          <w:rFonts w:ascii="Times New Roman;sans-serif" w:hAnsi="Times New Roman;sans-serif"/>
          <w:b w:val="false"/>
          <w:color w:val="000000"/>
          <w:sz w:val="22"/>
        </w:rPr>
        <w:t>. The Company may deduct and withhold from any amounts payable under this Agreement such taxes as are required or permitted to be withheld pursuant to any applicable law or regulation. The Executive shall be responsible for all taxes (including self-employment taxes) in connection with Executive’s status as a member of the Company for income tax purposes under the applicable law in India.</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18.</w:t>
      </w:r>
      <w:r>
        <w:rPr>
          <w:rFonts w:ascii="Times New Roman;sans-serif" w:hAnsi="Times New Roman;sans-serif"/>
          <w:b w:val="false"/>
          <w:color w:val="000000"/>
          <w:sz w:val="22"/>
          <w:u w:val="single"/>
        </w:rPr>
        <w:t>Assignment</w:t>
      </w:r>
      <w:r>
        <w:rPr>
          <w:rFonts w:ascii="Times New Roman;sans-serif" w:hAnsi="Times New Roman;sans-serif"/>
          <w:b w:val="false"/>
          <w:color w:val="000000"/>
          <w:sz w:val="22"/>
        </w:rPr>
        <w:t xml:space="preserve">.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68" w:before="0" w:after="120"/>
        <w:ind w:left="0" w:right="0" w:firstLine="153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This Agreement is personal to Executive and without the prior written consent of the Board shall not be assignable by Executive, and any assignment in violation of this Agreement shall be void.</w:t>
      </w:r>
    </w:p>
    <w:p>
      <w:pPr>
        <w:pStyle w:val="TextBody"/>
        <w:spacing w:lineRule="auto" w:line="268" w:before="0" w:after="120"/>
        <w:ind w:left="0" w:right="0" w:firstLine="153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This Agreement shall be binding on, and shall inure to the benefit of; the parties to it and their respective heirs, legal representatives, successors and permitted assigns (including, without limitation, successors by merger, consolidation, sale or similar transaction and in the event of Executive’s death, Executive’s estate and heirs in the case of any payments due to Executive hereunder).</w:t>
      </w:r>
    </w:p>
    <w:p>
      <w:pPr>
        <w:pStyle w:val="TextBody"/>
        <w:spacing w:lineRule="auto" w:line="268" w:before="0" w:after="120"/>
        <w:ind w:left="0" w:right="0" w:firstLine="153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Executive acknowledges and agrees that all of Executive’s covenants and obligations to the Company, as well as the rights of the Company hereunder, shall run in favor of and shall be enforceable by the Company and any successor or assign to all or substantially all of the Company’s business or assets.</w:t>
      </w:r>
    </w:p>
    <w:p>
      <w:pPr>
        <w:pStyle w:val="TextBody"/>
        <w:spacing w:before="0" w:after="0"/>
        <w:rPr/>
      </w:pPr>
      <w:r>
        <w:rPr/>
      </w:r>
    </w:p>
    <w:p>
      <w:pPr>
        <w:pStyle w:val="TextBody"/>
        <w:spacing w:lineRule="auto" w:line="268" w:before="0" w:after="120"/>
        <w:ind w:left="0" w:right="0" w:firstLine="1530"/>
        <w:jc w:val="both"/>
        <w:rPr/>
      </w:pPr>
      <w:r>
        <w:rPr>
          <w:rFonts w:ascii="Times New Roman;sans-serif" w:hAnsi="Times New Roman;sans-serif"/>
          <w:b w:val="false"/>
          <w:color w:val="000000"/>
          <w:sz w:val="22"/>
        </w:rPr>
        <w:t>19.</w:t>
      </w:r>
      <w:r>
        <w:rPr>
          <w:rFonts w:ascii="Times New Roman;sans-serif" w:hAnsi="Times New Roman;sans-serif"/>
          <w:b w:val="false"/>
          <w:color w:val="000000"/>
          <w:sz w:val="22"/>
          <w:u w:val="single"/>
        </w:rPr>
        <w:t>Governing Law; No Construction Against Drafter</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This Agreement shall be deemed to be made in India, and the validity, interpretation, construction, and performance of this Agreement in all respects (except as provided below) shall be governed by the laws of India without regard to its principles of conflicts of law. No provision of this Agreement or any related document will be construed against or interpreted to the disadvantage of any party hereto by any court or other governmental or judicial authority by reason of such party having or being deemed to have structured or drafted such provision.</w:t>
      </w:r>
    </w:p>
    <w:p>
      <w:pPr>
        <w:pStyle w:val="TextBody"/>
        <w:spacing w:before="0" w:after="0"/>
        <w:rPr/>
      </w:pPr>
      <w:r>
        <w:rPr/>
      </w:r>
    </w:p>
    <w:p>
      <w:pPr>
        <w:pStyle w:val="TextBody"/>
        <w:spacing w:lineRule="auto" w:line="268" w:before="0" w:after="120"/>
        <w:ind w:left="0" w:right="0" w:firstLine="1530"/>
        <w:jc w:val="both"/>
        <w:rPr/>
      </w:pPr>
      <w:r>
        <w:rPr>
          <w:rFonts w:ascii="Times New Roman;sans-serif" w:hAnsi="Times New Roman;sans-serif"/>
          <w:b w:val="false"/>
          <w:color w:val="000000"/>
          <w:sz w:val="22"/>
        </w:rPr>
        <w:t>20.</w:t>
      </w:r>
      <w:r>
        <w:rPr>
          <w:rFonts w:ascii="Times New Roman;sans-serif" w:hAnsi="Times New Roman;sans-serif"/>
          <w:b w:val="false"/>
          <w:color w:val="000000"/>
          <w:sz w:val="22"/>
          <w:u w:val="single"/>
        </w:rPr>
        <w:t>Dispute Resolution and Arbitration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Except as otherwise provided in this Dispute Resolution and Arbitration provision (“</w:t>
      </w:r>
      <w:r>
        <w:rPr>
          <w:rFonts w:ascii="Times New Roman;sans-serif" w:hAnsi="Times New Roman;sans-serif"/>
          <w:b/>
          <w:color w:val="000000"/>
          <w:sz w:val="24"/>
        </w:rPr>
        <w:t>Arbitration Agreement</w:t>
      </w:r>
      <w:r>
        <w:rPr>
          <w:color w:val="000000"/>
        </w:rPr>
        <w:t>”</w:t>
      </w:r>
      <w:r>
        <w:rPr>
          <w:rFonts w:ascii="Times New Roman;sans-serif" w:hAnsi="Times New Roman;sans-serif"/>
          <w:b w:val="false"/>
          <w:color w:val="000000"/>
          <w:sz w:val="22"/>
        </w:rPr>
        <w:t>), any dispute, controversy or other claim, past, present, or future, between Executive and the Company that otherwise would be subject to resolution in court by a judge shall be resolved solely by final and binding arbitration and not by way of court, except for claims for temporary, interim and/or preliminary injunctive relief pursuant to Sections</w:t>
      </w:r>
      <w:r>
        <w:rPr>
          <w:color w:val="000000"/>
        </w:rPr>
        <w:t xml:space="preserve"> </w:t>
      </w:r>
      <w:r>
        <w:rPr>
          <w:rFonts w:ascii="Times New Roman;sans-serif" w:hAnsi="Times New Roman;sans-serif"/>
          <w:b w:val="false"/>
          <w:color w:val="000000"/>
          <w:sz w:val="22"/>
        </w:rPr>
        <w:t>8, 9, 10 and/or 11 of this Agreement, which may be sought from a court of competent jurisdiction at any time and shall be subject to modification or dissolution as part of the final arbitration award, and/or claims for workers’ compensation, state disability, or unemployment insurance benefits.</w:t>
      </w:r>
      <w:r>
        <w:rPr>
          <w:color w:val="000000"/>
        </w:rPr>
        <w:t xml:space="preserve"> </w:t>
      </w:r>
      <w:r>
        <w:rPr>
          <w:rFonts w:ascii="Times New Roman;sans-serif" w:hAnsi="Times New Roman;sans-serif"/>
          <w:b w:val="false"/>
          <w:color w:val="000000"/>
          <w:sz w:val="22"/>
        </w:rPr>
        <w:t>This arbitration commitment extends to, but is not limited to, any and all claims, disputes or controversies (i) arising out of or relating to this Agreement and/or any aspect of Executive’s employment with the Company, including those that the Company may assert against Executive and those that Executive may assert against the Company, its clients or related entities, and/or any of its or their respective members, shareholders, owners, directors, officers, employees, agents and representatives, and (ii) arising out of, relating to, or concerning the validity, enforceability, applicability, scope, or alleged breach of this Arbitration Agreement, including whether or not a dispute must be arbitrated.</w:t>
      </w:r>
      <w:r>
        <w:rPr>
          <w:color w:val="000000"/>
        </w:rPr>
        <w:t xml:space="preserve"> </w:t>
      </w:r>
      <w:r>
        <w:rPr>
          <w:rFonts w:ascii="Times New Roman;sans-serif" w:hAnsi="Times New Roman;sans-serif"/>
          <w:b w:val="false"/>
          <w:color w:val="000000"/>
          <w:sz w:val="22"/>
        </w:rPr>
        <w:t>All such claims, disputes and controversies brought by Executive shall be subject to resolution in arbitration on an individual basis only, and not on a class or collective basis on behalf of, or in concert with, any persons not party to this Agreement.</w:t>
      </w:r>
      <w:r>
        <w:rPr>
          <w:color w:val="000000"/>
        </w:rPr>
        <w:t xml:space="preserve"> </w:t>
      </w:r>
      <w:r>
        <w:rPr>
          <w:rFonts w:ascii="Times New Roman;sans-serif" w:hAnsi="Times New Roman;sans-serif"/>
          <w:b w:val="false"/>
          <w:color w:val="000000"/>
          <w:sz w:val="22"/>
        </w:rPr>
        <w:t>There will be no right or authority for any such claim, dispute or controversy to be brought, heard or arbitrated as a class, collective or multi-plaintiff action, and Executive agrees to not serve as a member in any class or collective action against the Company or any other party to whom Executive’s arbitration commitment extends.</w:t>
      </w:r>
      <w:r>
        <w:rPr>
          <w:color w:val="000000"/>
        </w:rPr>
        <w:t xml:space="preserve"> </w:t>
      </w:r>
      <w:r>
        <w:rPr>
          <w:rFonts w:ascii="Times New Roman;sans-serif" w:hAnsi="Times New Roman;sans-serif"/>
          <w:b w:val="false"/>
          <w:color w:val="000000"/>
          <w:sz w:val="22"/>
        </w:rPr>
        <w:t>This arbitration commitment will continue throughout Executive’s employment with the Company and after the employment ends.</w:t>
      </w:r>
      <w:r>
        <w:rPr>
          <w:color w:val="000000"/>
        </w:rPr>
        <w:t xml:space="preserve"> </w:t>
      </w:r>
      <w:r>
        <w:rPr>
          <w:rFonts w:ascii="Times New Roman;sans-serif" w:hAnsi="Times New Roman;sans-serif"/>
          <w:b w:val="false"/>
          <w:color w:val="000000"/>
          <w:sz w:val="22"/>
        </w:rPr>
        <w:t>This Arbitration Agreement does not prevent or prohibit Executive in any way from reporting, communicating about, or disclosing claims for discrimination, harassment, retaliation, or sexual abuse. This Arbitration Agreement does not cover disputes that an applicable statute expressly states cannot be arbitrated or subject to a pre-dispute arbitration agreement.</w:t>
      </w:r>
      <w:r>
        <w:rPr>
          <w:color w:val="000000"/>
        </w:rPr>
        <w:t xml:space="preserve"> </w:t>
      </w:r>
      <w:r>
        <w:rPr>
          <w:rFonts w:ascii="Times New Roman;sans-serif" w:hAnsi="Times New Roman;sans-serif"/>
          <w:b w:val="false"/>
          <w:color w:val="000000"/>
          <w:sz w:val="22"/>
        </w:rPr>
        <w:t xml:space="preserve">The seat and place arbitration shall be New Delhi and the arbitration proceedings shall be in English language, before a single arbitrator, who shall be a lawyer admitted to the bar and has at least 15 years’ experience in employment law or a retired judge. Unless prohibited by applicable law, all fees and expenses of the arbitration process, including the arbitrator shall be borne equally by the </w:t>
      </w:r>
      <w:r>
        <w:br w:type="page"/>
      </w:r>
    </w:p>
    <w:p>
      <w:pPr>
        <w:pStyle w:val="TextBody"/>
        <w:spacing w:before="0" w:after="0"/>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68" w:before="0" w:after="120"/>
        <w:jc w:val="both"/>
        <w:rPr/>
      </w:pPr>
      <w:r>
        <w:rPr>
          <w:rFonts w:ascii="Times New Roman;sans-serif" w:hAnsi="Times New Roman;sans-serif"/>
          <w:b w:val="false"/>
          <w:color w:val="000000"/>
          <w:sz w:val="22"/>
        </w:rPr>
        <w:t>parties.</w:t>
      </w:r>
      <w:r>
        <w:rPr>
          <w:color w:val="000000"/>
        </w:rPr>
        <w:t xml:space="preserve"> </w:t>
      </w:r>
      <w:r>
        <w:rPr>
          <w:rFonts w:ascii="Times New Roman;sans-serif" w:hAnsi="Times New Roman;sans-serif"/>
          <w:b w:val="false"/>
          <w:color w:val="000000"/>
          <w:sz w:val="22"/>
        </w:rPr>
        <w:t>This Arbitration Agreement</w:t>
      </w:r>
      <w:r>
        <w:rPr>
          <w:color w:val="000000"/>
        </w:rPr>
        <w:t xml:space="preserve"> </w:t>
      </w:r>
      <w:r>
        <w:rPr>
          <w:rFonts w:ascii="Times New Roman;sans-serif" w:hAnsi="Times New Roman;sans-serif"/>
          <w:b w:val="false"/>
          <w:color w:val="000000"/>
          <w:sz w:val="22"/>
        </w:rPr>
        <w:t>shall be governed by the Arbitration and Conciliation Act, 1996.</w:t>
      </w:r>
      <w:r>
        <w:rPr>
          <w:color w:val="000000"/>
        </w:rPr>
        <w:t xml:space="preserve"> </w:t>
      </w:r>
      <w:r>
        <w:rPr>
          <w:rFonts w:ascii="Times New Roman;sans-serif" w:hAnsi="Times New Roman;sans-serif"/>
          <w:b w:val="false"/>
          <w:color w:val="000000"/>
          <w:sz w:val="22"/>
        </w:rPr>
        <w:t>In making the decision and award, the arbitrator shall apply applicable substantive law.</w:t>
      </w:r>
      <w:r>
        <w:rPr>
          <w:color w:val="000000"/>
        </w:rPr>
        <w:t xml:space="preserve"> </w:t>
      </w:r>
      <w:r>
        <w:rPr>
          <w:rFonts w:ascii="Times New Roman;sans-serif" w:hAnsi="Times New Roman;sans-serif"/>
          <w:b w:val="false"/>
          <w:color w:val="000000"/>
          <w:sz w:val="22"/>
        </w:rPr>
        <w:t>Judgment upon the arbitrator’s award may be entered in any court having jurisdiction thereof.</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21.</w:t>
      </w:r>
      <w:r>
        <w:rPr>
          <w:rFonts w:ascii="Times New Roman;sans-serif" w:hAnsi="Times New Roman;sans-serif"/>
          <w:b w:val="false"/>
          <w:color w:val="000000"/>
          <w:sz w:val="22"/>
          <w:u w:val="single"/>
        </w:rPr>
        <w:t>Amendment; No Waiver; 409A</w:t>
      </w:r>
      <w:r>
        <w:rPr>
          <w:rFonts w:ascii="Times New Roman;sans-serif" w:hAnsi="Times New Roman;sans-serif"/>
          <w:b w:val="false"/>
          <w:color w:val="000000"/>
          <w:sz w:val="22"/>
        </w:rPr>
        <w:t xml:space="preserve">. </w:t>
      </w:r>
    </w:p>
    <w:p>
      <w:pPr>
        <w:pStyle w:val="TextBody"/>
        <w:spacing w:before="0" w:after="0"/>
        <w:rPr/>
      </w:pPr>
      <w:r>
        <w:rPr/>
      </w:r>
    </w:p>
    <w:p>
      <w:pPr>
        <w:pStyle w:val="TextBody"/>
        <w:spacing w:lineRule="auto" w:line="268" w:before="0" w:after="120"/>
        <w:ind w:left="0" w:right="0" w:firstLine="153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No provisions of this Agreement may be amended, modified, waived or discharged except by a written document signed by Executive and a duly authorized officer of the Company (other than Executive).</w:t>
      </w:r>
    </w:p>
    <w:p>
      <w:pPr>
        <w:pStyle w:val="TextBody"/>
        <w:spacing w:lineRule="auto" w:line="268" w:before="0" w:after="120"/>
        <w:ind w:left="0" w:right="0" w:firstLine="153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 No failure or delay by either party in exercising any right or power hereunder will operate as a waiver thereof, nor will any single or partial exercise of any such right or power, or any abandonment of any steps to enforce such a right or power, preclude any other or further exercise thereof or the exercise of any other right or power.</w:t>
      </w:r>
    </w:p>
    <w:p>
      <w:pPr>
        <w:pStyle w:val="TextBody"/>
        <w:spacing w:lineRule="auto" w:line="268" w:before="0" w:after="120"/>
        <w:ind w:left="0" w:right="0" w:firstLine="153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To the extent that any reimbursements pursuant to Section 4(f) or Section 14 are taxable to Executive, any such reimbursement payment due to Executive shall be paid to Executive as promptly as practicable, and in all events on or before the last day of Executive’s taxable year following the taxable year in which the related expense was incurred. The reimbursements pursuant to Section 4(f) and Section 14 are not subject to liquidation or exchange for another benefit and the amount of such benefits and reimbursements that Executive receives in one taxable year shall not affect the amount of such benefits or reimbursements that Executive receives in any other taxable year.</w:t>
      </w:r>
    </w:p>
    <w:p>
      <w:pPr>
        <w:pStyle w:val="TextBody"/>
        <w:spacing w:lineRule="auto" w:line="268" w:before="0" w:after="120"/>
        <w:ind w:left="0" w:right="0" w:firstLine="153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If and to the extent that Section 409A of the U.S. Internal Revenue Code of 1986, as amended (“</w:t>
      </w:r>
      <w:r>
        <w:rPr>
          <w:rFonts w:ascii="Times New Roman;sans-serif" w:hAnsi="Times New Roman;sans-serif"/>
          <w:b/>
          <w:color w:val="000000"/>
          <w:sz w:val="24"/>
        </w:rPr>
        <w:t>Section 409A</w:t>
      </w:r>
      <w:r>
        <w:rPr>
          <w:color w:val="000000"/>
        </w:rPr>
        <w:t>”</w:t>
      </w:r>
      <w:r>
        <w:rPr>
          <w:rFonts w:ascii="Times New Roman;sans-serif" w:hAnsi="Times New Roman;sans-serif"/>
          <w:b w:val="false"/>
          <w:color w:val="000000"/>
          <w:sz w:val="22"/>
        </w:rPr>
        <w:t>), the following provisions shall apply:</w:t>
      </w:r>
    </w:p>
    <w:p>
      <w:pPr>
        <w:pStyle w:val="TextBody"/>
        <w:spacing w:before="0" w:after="0"/>
        <w:rPr/>
      </w:pPr>
      <w:r>
        <w:rPr/>
      </w:r>
    </w:p>
    <w:p>
      <w:pPr>
        <w:pStyle w:val="TextBody"/>
        <w:spacing w:lineRule="auto" w:line="268" w:before="0" w:after="0"/>
        <w:ind w:left="0" w:right="0" w:firstLine="120"/>
        <w:jc w:val="both"/>
        <w:rPr>
          <w:rFonts w:ascii="Times New Roman;sans-serif" w:hAnsi="Times New Roman;sans-serif"/>
          <w:b w:val="false"/>
          <w:color w:val="000000"/>
          <w:sz w:val="22"/>
        </w:rPr>
      </w:pPr>
      <w:r>
        <w:rPr>
          <w:rFonts w:ascii="Times New Roman;sans-serif" w:hAnsi="Times New Roman;sans-serif"/>
          <w:b w:val="false"/>
          <w:color w:val="000000"/>
          <w:sz w:val="22"/>
        </w:rPr>
        <w:t>(i) It is the intention of the Company and Executive that this Agreement comply with the requirements of Section 409A, and this Agreement will be interpreted in a manner intended to comply with or be exempt from Section 409A. The Company and Executive agree to negotiate in good faith to make amendments to this Agreement as the parties mutually agree are necessary or desirable to avoid the imposition of taxes or penalties under Section 409A. Notwithstanding the foregoing, Executive shall be solely responsible and liable for the satisfaction of all taxes and penalties that may be imposed on or for the account of Executive in connection with this Agreement (including any taxes and penalties under Section 409A), and neither the Company nor any Affiliate shall have any obligation to indemnify or otherwise hold Executive (or any beneficiary) harmless from any or all of such taxes or penalties.</w:t>
      </w:r>
    </w:p>
    <w:p>
      <w:pPr>
        <w:pStyle w:val="TextBody"/>
        <w:spacing w:before="0" w:after="0"/>
        <w:rPr/>
      </w:pPr>
      <w:r>
        <w:rPr/>
      </w:r>
    </w:p>
    <w:p>
      <w:pPr>
        <w:pStyle w:val="TextBody"/>
        <w:spacing w:lineRule="auto" w:line="268" w:before="0" w:after="0"/>
        <w:ind w:left="0" w:right="0" w:firstLine="120"/>
        <w:jc w:val="both"/>
        <w:rPr/>
      </w:pPr>
      <w:r>
        <w:rPr>
          <w:rFonts w:ascii="Times New Roman;sans-serif" w:hAnsi="Times New Roman;sans-serif"/>
          <w:b w:val="false"/>
          <w:color w:val="000000"/>
          <w:sz w:val="22"/>
        </w:rPr>
        <w:t>(ii) Notwithstanding anything in this Agreement to the contrary, in the event that Executive is deemed to be a “specified employee” within the meaning of Section 409A(a)(2)(B)(i), no payments hereunder that are “deferred compensation” subject to Section 409A shall be made to Executive prior to the date that is six (6) months after the date of Executive’s “separation from service” (as defined in Section 1.409A-1(h)</w:t>
      </w:r>
      <w:r>
        <w:rPr>
          <w:color w:val="000000"/>
        </w:rPr>
        <w:t xml:space="preserve"> </w:t>
      </w:r>
      <w:r>
        <w:rPr>
          <w:rFonts w:ascii="Times New Roman;sans-serif" w:hAnsi="Times New Roman;sans-serif"/>
          <w:b w:val="false"/>
          <w:color w:val="000000"/>
          <w:sz w:val="22"/>
        </w:rPr>
        <w:t>of the regulations, including temporary regulations, of the United States Treasury Department pertaining to the income tax, as amended, and any successor provision) or, if earlier, Executive’s date of death. Following any applicable six (6) month delay, all such delayed payments will be paid in a single lump sum on the earliest permissible payment date. For purposes of Section 409A, each of the payments that may be made under this Agreement are designated as separate payments.’</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68" w:before="0" w:after="0"/>
        <w:ind w:left="0" w:right="0" w:firstLine="120"/>
        <w:jc w:val="both"/>
        <w:rPr>
          <w:rFonts w:ascii="Times New Roman;sans-serif" w:hAnsi="Times New Roman;sans-serif"/>
          <w:b w:val="false"/>
          <w:color w:val="000000"/>
          <w:sz w:val="22"/>
        </w:rPr>
      </w:pPr>
      <w:r>
        <w:rPr>
          <w:rFonts w:ascii="Times New Roman;sans-serif" w:hAnsi="Times New Roman;sans-serif"/>
          <w:b w:val="false"/>
          <w:color w:val="000000"/>
          <w:sz w:val="22"/>
        </w:rPr>
        <w:t>(iii) For purposes of this Agreement, with respect to payments of any amounts that are considered to be “deferred compensation” subject to Section 409A, references to “termination of employment” (and substantially similar phrases) shall be interpreted and applied in a manner that is consistent with the requirements of Section 409A relating to “separation from service”.</w:t>
      </w:r>
    </w:p>
    <w:p>
      <w:pPr>
        <w:pStyle w:val="TextBody"/>
        <w:spacing w:before="0" w:after="0"/>
        <w:rPr/>
      </w:pPr>
      <w:r>
        <w:rPr/>
      </w:r>
    </w:p>
    <w:p>
      <w:pPr>
        <w:pStyle w:val="TextBody"/>
        <w:spacing w:lineRule="auto" w:line="268" w:before="0" w:after="120"/>
        <w:ind w:left="0" w:right="0" w:firstLine="1530"/>
        <w:jc w:val="both"/>
        <w:rPr/>
      </w:pPr>
      <w:r>
        <w:rPr>
          <w:rFonts w:ascii="Times New Roman;sans-serif" w:hAnsi="Times New Roman;sans-serif"/>
          <w:b w:val="false"/>
          <w:color w:val="000000"/>
          <w:sz w:val="22"/>
        </w:rPr>
        <w:t>22.</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If any provision or any part thereof of this Agreement, including Sections</w:t>
      </w:r>
      <w:r>
        <w:rPr>
          <w:color w:val="000000"/>
        </w:rPr>
        <w:t xml:space="preserve"> </w:t>
      </w:r>
      <w:r>
        <w:rPr>
          <w:rFonts w:ascii="Times New Roman;sans-serif" w:hAnsi="Times New Roman;sans-serif"/>
          <w:b w:val="false"/>
          <w:color w:val="000000"/>
          <w:sz w:val="22"/>
        </w:rPr>
        <w:t>8, 9, 10 and 11 hereof, as applied to either party or to any circumstances, shall be adjudged by a court of competent jurisdiction to be invalid or unenforceable, the same shall in no way affect any other provision or remaining part thereof of this Agreement, which shall be given full effect without regard to the invalid or unenforceable provision or part thereof, or the validity or enforceability of this Agreement.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pStyle w:val="TextBody"/>
        <w:spacing w:before="0" w:after="0"/>
        <w:rPr/>
      </w:pPr>
      <w:r>
        <w:rPr/>
      </w:r>
    </w:p>
    <w:p>
      <w:pPr>
        <w:pStyle w:val="TextBody"/>
        <w:spacing w:lineRule="auto" w:line="268" w:before="0" w:after="120"/>
        <w:ind w:left="0" w:right="0" w:firstLine="1530"/>
        <w:jc w:val="both"/>
        <w:rPr/>
      </w:pPr>
      <w:r>
        <w:rPr>
          <w:rFonts w:ascii="Times New Roman;sans-serif" w:hAnsi="Times New Roman;sans-serif"/>
          <w:b w:val="false"/>
          <w:color w:val="000000"/>
          <w:sz w:val="22"/>
        </w:rPr>
        <w:t>23.</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This Agreement constitutes the entire agreement and understanding between the Company and Executive with respect to the subject matter hereof and supersedes all prior agreements and understandings (whether written or oral), between Executive and the Company, relating to such subject matter. None of the parties shall be liable or bound to any other party in any manner by any representations and warranties or covenants relating to such subject matter except as specifically set forth herein.</w:t>
      </w:r>
    </w:p>
    <w:p>
      <w:pPr>
        <w:pStyle w:val="TextBody"/>
        <w:spacing w:before="0" w:after="0"/>
        <w:rPr/>
      </w:pPr>
      <w:r>
        <w:rPr/>
      </w:r>
    </w:p>
    <w:p>
      <w:pPr>
        <w:pStyle w:val="TextBody"/>
        <w:spacing w:lineRule="auto" w:line="268" w:before="0" w:after="120"/>
        <w:ind w:left="0" w:right="0" w:firstLine="1530"/>
        <w:jc w:val="both"/>
        <w:rPr/>
      </w:pPr>
      <w:r>
        <w:rPr>
          <w:rFonts w:ascii="Times New Roman;sans-serif" w:hAnsi="Times New Roman;sans-serif"/>
          <w:b w:val="false"/>
          <w:color w:val="000000"/>
          <w:sz w:val="22"/>
        </w:rPr>
        <w:t>24.</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The rights and obligations of the parties under the provisions of this Agreement (including without limitation, Sections 8 through 14 and Sections 16 and 20) shall survive, and remain binding and enforceable, notwithstanding the expiration of the Term, the termination of this Agreement, the termination of Executive’s employment hereunder or any settlement of the financial rights and obligations arising from Executive’s employment hereunder, to the extent necessary to preserve the intended benefits of such provisions.</w:t>
      </w:r>
    </w:p>
    <w:p>
      <w:pPr>
        <w:pStyle w:val="TextBody"/>
        <w:spacing w:before="0" w:after="0"/>
        <w:rPr/>
      </w:pPr>
      <w:r>
        <w:rPr/>
      </w:r>
    </w:p>
    <w:p>
      <w:pPr>
        <w:pStyle w:val="TextBody"/>
        <w:spacing w:lineRule="auto" w:line="268" w:before="0" w:after="120"/>
        <w:ind w:left="0" w:right="0" w:firstLine="1530"/>
        <w:jc w:val="both"/>
        <w:rPr/>
      </w:pPr>
      <w:r>
        <w:rPr>
          <w:rFonts w:ascii="Times New Roman;sans-serif" w:hAnsi="Times New Roman;sans-serif"/>
          <w:b w:val="false"/>
          <w:color w:val="000000"/>
          <w:sz w:val="22"/>
        </w:rPr>
        <w:t>25.</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All notices or other communications required or permitted to be given hereunder shall be in writing and shall be delivered by hand or sent by facsimile or sent, postage prepaid, by registered, certified or express mail or overnight courier service and shall be deemed given when so delivered by hand or facsimile, or if mailed, three days after mailing (one business day in the case of express mail or overnight courier service) to the parties at the following addresses or facsimiles (or at such other address for a party as shall be specified by like notice):</w:t>
      </w:r>
    </w:p>
    <w:p>
      <w:pPr>
        <w:pStyle w:val="TextBody"/>
        <w:spacing w:before="0" w:after="0"/>
        <w:rPr/>
      </w:pPr>
      <w:r>
        <w:rPr/>
      </w:r>
    </w:p>
    <w:p>
      <w:pPr>
        <w:pStyle w:val="TextBody"/>
        <w:spacing w:lineRule="auto" w:line="268" w:before="0" w:after="0"/>
        <w:ind w:left="0" w:right="0" w:firstLine="902"/>
        <w:jc w:val="both"/>
        <w:rPr>
          <w:rFonts w:ascii="Times New Roman;sans-serif" w:hAnsi="Times New Roman;sans-serif"/>
          <w:b w:val="false"/>
          <w:color w:val="000000"/>
          <w:sz w:val="22"/>
        </w:rPr>
      </w:pPr>
      <w:r>
        <w:rPr>
          <w:rFonts w:ascii="Times New Roman;sans-serif" w:hAnsi="Times New Roman;sans-serif"/>
          <w:b w:val="false"/>
          <w:color w:val="000000"/>
          <w:sz w:val="22"/>
        </w:rPr>
        <w:t>If to the Company:</w:t>
      </w:r>
    </w:p>
    <w:p>
      <w:pPr>
        <w:pStyle w:val="TextBody"/>
        <w:spacing w:before="0" w:after="0"/>
        <w:rPr/>
      </w:pPr>
      <w:r>
        <w:rPr/>
      </w:r>
    </w:p>
    <w:p>
      <w:pPr>
        <w:pStyle w:val="TextBody"/>
        <w:spacing w:lineRule="auto" w:line="268" w:before="0" w:after="0"/>
        <w:ind w:left="0" w:right="0" w:firstLine="907"/>
        <w:jc w:val="both"/>
        <w:rPr>
          <w:rFonts w:ascii="Times New Roman;sans-serif" w:hAnsi="Times New Roman;sans-serif"/>
          <w:b w:val="false"/>
          <w:color w:val="000000"/>
          <w:sz w:val="22"/>
        </w:rPr>
      </w:pPr>
      <w:r>
        <w:rPr>
          <w:rFonts w:ascii="Times New Roman;sans-serif" w:hAnsi="Times New Roman;sans-serif"/>
          <w:b w:val="false"/>
          <w:color w:val="000000"/>
          <w:sz w:val="22"/>
        </w:rPr>
        <w:t>exl Service.com (India) Private Limited</w:t>
      </w:r>
    </w:p>
    <w:p>
      <w:pPr>
        <w:pStyle w:val="TextBody"/>
        <w:spacing w:lineRule="auto" w:line="268" w:before="0" w:after="0"/>
        <w:ind w:left="0" w:right="0" w:firstLine="907"/>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414, 4th Floor, </w:t>
      </w:r>
    </w:p>
    <w:p>
      <w:pPr>
        <w:pStyle w:val="TextBody"/>
        <w:spacing w:lineRule="auto" w:line="268" w:before="0" w:after="0"/>
        <w:ind w:left="0" w:right="0" w:firstLine="907"/>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DLF Jasola Tower B, </w:t>
      </w:r>
    </w:p>
    <w:p>
      <w:pPr>
        <w:pStyle w:val="TextBody"/>
        <w:spacing w:lineRule="auto" w:line="268" w:before="0" w:after="0"/>
        <w:ind w:left="0" w:right="0" w:firstLine="907"/>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Plot No. 10 &amp; 11 DDA District Centre, </w:t>
      </w:r>
    </w:p>
    <w:p>
      <w:pPr>
        <w:pStyle w:val="TextBody"/>
        <w:spacing w:lineRule="auto" w:line="268" w:before="0" w:after="0"/>
        <w:ind w:left="0" w:right="0" w:firstLine="907"/>
        <w:jc w:val="both"/>
        <w:rPr>
          <w:rFonts w:ascii="Times New Roman;sans-serif" w:hAnsi="Times New Roman;sans-serif"/>
          <w:b w:val="false"/>
          <w:color w:val="000000"/>
          <w:sz w:val="22"/>
        </w:rPr>
      </w:pPr>
      <w:r>
        <w:rPr>
          <w:rFonts w:ascii="Times New Roman;sans-serif" w:hAnsi="Times New Roman;sans-serif"/>
          <w:b w:val="false"/>
          <w:color w:val="000000"/>
          <w:sz w:val="22"/>
        </w:rPr>
        <w:t>Jasola, New Delhi-110044</w:t>
      </w:r>
    </w:p>
    <w:p>
      <w:pPr>
        <w:pStyle w:val="TextBody"/>
        <w:spacing w:lineRule="auto" w:line="268" w:before="0" w:after="0"/>
        <w:ind w:left="0" w:right="0" w:firstLine="907"/>
        <w:jc w:val="both"/>
        <w:rPr>
          <w:rFonts w:ascii="Times New Roman;sans-serif" w:hAnsi="Times New Roman;sans-serif"/>
          <w:b w:val="false"/>
          <w:color w:val="000000"/>
          <w:sz w:val="22"/>
        </w:rPr>
      </w:pPr>
      <w:r>
        <w:rPr>
          <w:rFonts w:ascii="Times New Roman;sans-serif" w:hAnsi="Times New Roman;sans-serif"/>
          <w:b w:val="false"/>
          <w:color w:val="000000"/>
          <w:sz w:val="22"/>
        </w:rPr>
        <w:t>Attn: VP &amp; Head of India Legal</w:t>
      </w:r>
    </w:p>
    <w:p>
      <w:pPr>
        <w:pStyle w:val="TextBody"/>
        <w:spacing w:before="0" w:after="0"/>
        <w:rPr/>
      </w:pPr>
      <w:r>
        <w:rPr/>
      </w:r>
    </w:p>
    <w:p>
      <w:pPr>
        <w:pStyle w:val="TextBody"/>
        <w:spacing w:lineRule="auto" w:line="268" w:before="0" w:after="0"/>
        <w:ind w:left="0" w:right="0" w:firstLine="902"/>
        <w:jc w:val="both"/>
        <w:rPr>
          <w:rFonts w:ascii="Times New Roman;sans-serif" w:hAnsi="Times New Roman;sans-serif"/>
          <w:b w:val="false"/>
          <w:color w:val="000000"/>
          <w:sz w:val="22"/>
        </w:rPr>
      </w:pPr>
      <w:r>
        <w:rPr>
          <w:rFonts w:ascii="Times New Roman;sans-serif" w:hAnsi="Times New Roman;sans-serif"/>
          <w:b w:val="false"/>
          <w:color w:val="000000"/>
          <w:sz w:val="22"/>
        </w:rPr>
        <w:t>With copies to:</w:t>
      </w:r>
    </w:p>
    <w:p>
      <w:pPr>
        <w:pStyle w:val="TextBody"/>
        <w:spacing w:before="0" w:after="0"/>
        <w:rPr/>
      </w:pPr>
      <w:r>
        <w:rPr/>
      </w:r>
    </w:p>
    <w:p>
      <w:pPr>
        <w:pStyle w:val="TextBody"/>
        <w:spacing w:lineRule="auto" w:line="240"/>
        <w:ind w:left="0" w:right="0" w:firstLine="90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ExlService Holdings, Inc. </w:t>
      </w:r>
      <w:r>
        <w:br w:type="page"/>
      </w:r>
    </w:p>
    <w:p>
      <w:pPr>
        <w:pStyle w:val="TextBody"/>
        <w:spacing w:before="0" w:after="0"/>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ind w:left="0" w:right="0" w:firstLine="902"/>
        <w:jc w:val="both"/>
        <w:rPr/>
      </w:pPr>
      <w:r>
        <w:rPr>
          <w:rFonts w:ascii="Times New Roman;sans-serif" w:hAnsi="Times New Roman;sans-serif"/>
          <w:b w:val="false"/>
          <w:color w:val="000000"/>
          <w:sz w:val="22"/>
        </w:rPr>
        <w:t>320 Park Avenue, 29</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2"/>
        </w:rPr>
        <w:t>Floor</w:t>
      </w:r>
      <w:r>
        <w:rPr>
          <w:color w:val="000000"/>
        </w:rPr>
        <w:t xml:space="preserve"> </w:t>
      </w:r>
    </w:p>
    <w:p>
      <w:pPr>
        <w:pStyle w:val="TextBody"/>
        <w:spacing w:lineRule="auto" w:line="240" w:before="0" w:after="0"/>
        <w:ind w:left="0" w:right="0" w:firstLine="90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New York, NY 10022 </w:t>
      </w:r>
    </w:p>
    <w:p>
      <w:pPr>
        <w:pStyle w:val="TextBody"/>
        <w:spacing w:lineRule="auto" w:line="240" w:before="0" w:after="0"/>
        <w:ind w:left="0" w:right="0" w:firstLine="902"/>
        <w:jc w:val="both"/>
        <w:rPr>
          <w:rFonts w:ascii="Times New Roman;sans-serif" w:hAnsi="Times New Roman;sans-serif"/>
          <w:b w:val="false"/>
          <w:color w:val="000000"/>
          <w:sz w:val="22"/>
        </w:rPr>
      </w:pPr>
      <w:r>
        <w:rPr>
          <w:rFonts w:ascii="Times New Roman;sans-serif" w:hAnsi="Times New Roman;sans-serif"/>
          <w:b w:val="false"/>
          <w:color w:val="000000"/>
          <w:sz w:val="22"/>
        </w:rPr>
        <w:t>Attn: Ajay Ayyappan</w:t>
      </w:r>
    </w:p>
    <w:p>
      <w:pPr>
        <w:pStyle w:val="TextBody"/>
        <w:spacing w:lineRule="auto" w:line="240" w:before="0" w:after="0"/>
        <w:ind w:left="0" w:right="0" w:firstLine="902"/>
        <w:jc w:val="both"/>
        <w:rPr>
          <w:rFonts w:ascii="Times New Roman;sans-serif" w:hAnsi="Times New Roman;sans-serif"/>
          <w:b w:val="false"/>
          <w:color w:val="000000"/>
          <w:sz w:val="22"/>
        </w:rPr>
      </w:pPr>
      <w:r>
        <w:rPr>
          <w:rFonts w:ascii="Times New Roman;sans-serif" w:hAnsi="Times New Roman;sans-serif"/>
          <w:b w:val="false"/>
          <w:color w:val="000000"/>
          <w:sz w:val="22"/>
        </w:rPr>
        <w:t>Email: GeneralCounsel@exlservice.com</w:t>
      </w:r>
    </w:p>
    <w:p>
      <w:pPr>
        <w:pStyle w:val="TextBody"/>
        <w:spacing w:before="0" w:after="0"/>
        <w:rPr/>
      </w:pPr>
      <w:r>
        <w:rPr/>
      </w:r>
    </w:p>
    <w:p>
      <w:pPr>
        <w:pStyle w:val="TextBody"/>
        <w:spacing w:lineRule="auto" w:line="302" w:before="0" w:after="0"/>
        <w:ind w:left="0" w:right="0" w:firstLine="902"/>
        <w:jc w:val="both"/>
        <w:rPr>
          <w:rFonts w:ascii="Times New Roman;sans-serif" w:hAnsi="Times New Roman;sans-serif"/>
          <w:b w:val="false"/>
          <w:color w:val="000000"/>
          <w:sz w:val="24"/>
        </w:rPr>
      </w:pPr>
      <w:r>
        <w:rPr>
          <w:rFonts w:ascii="Times New Roman;sans-serif" w:hAnsi="Times New Roman;sans-serif"/>
          <w:b w:val="false"/>
          <w:color w:val="000000"/>
          <w:sz w:val="24"/>
        </w:rPr>
        <w:t>ExlService Holdings, Inc.</w:t>
      </w:r>
    </w:p>
    <w:p>
      <w:pPr>
        <w:pStyle w:val="TextBody"/>
        <w:spacing w:lineRule="auto" w:line="302" w:before="0" w:after="0"/>
        <w:ind w:left="0" w:right="0" w:firstLine="902"/>
        <w:jc w:val="both"/>
        <w:rPr/>
      </w:pPr>
      <w:r>
        <w:rPr>
          <w:rFonts w:ascii="Times New Roman;sans-serif" w:hAnsi="Times New Roman;sans-serif"/>
          <w:b w:val="false"/>
          <w:color w:val="000000"/>
          <w:sz w:val="24"/>
        </w:rPr>
        <w:t>320 Park Avenue, 29</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4"/>
        </w:rPr>
        <w:t>Floor</w:t>
      </w:r>
    </w:p>
    <w:p>
      <w:pPr>
        <w:pStyle w:val="TextBody"/>
        <w:spacing w:lineRule="auto" w:line="302" w:before="0" w:after="0"/>
        <w:ind w:left="0" w:right="0" w:firstLine="902"/>
        <w:jc w:val="both"/>
        <w:rPr>
          <w:rFonts w:ascii="Times New Roman;sans-serif" w:hAnsi="Times New Roman;sans-serif"/>
          <w:b w:val="false"/>
          <w:color w:val="000000"/>
          <w:sz w:val="24"/>
        </w:rPr>
      </w:pPr>
      <w:r>
        <w:rPr>
          <w:rFonts w:ascii="Times New Roman;sans-serif" w:hAnsi="Times New Roman;sans-serif"/>
          <w:b w:val="false"/>
          <w:color w:val="000000"/>
          <w:sz w:val="24"/>
        </w:rPr>
        <w:t>New York, NY 10022</w:t>
      </w:r>
    </w:p>
    <w:p>
      <w:pPr>
        <w:pStyle w:val="TextBody"/>
        <w:spacing w:lineRule="auto" w:line="302" w:before="0" w:after="0"/>
        <w:ind w:left="0" w:right="0" w:firstLine="902"/>
        <w:jc w:val="both"/>
        <w:rPr>
          <w:rFonts w:ascii="Times New Roman;sans-serif" w:hAnsi="Times New Roman;sans-serif"/>
          <w:b w:val="false"/>
          <w:color w:val="000000"/>
          <w:sz w:val="24"/>
        </w:rPr>
      </w:pPr>
      <w:r>
        <w:rPr>
          <w:rFonts w:ascii="Times New Roman;sans-serif" w:hAnsi="Times New Roman;sans-serif"/>
          <w:b w:val="false"/>
          <w:color w:val="000000"/>
          <w:sz w:val="24"/>
        </w:rPr>
        <w:t>Attn: Nalin Kumar Miglani</w:t>
      </w:r>
    </w:p>
    <w:p>
      <w:pPr>
        <w:pStyle w:val="TextBody"/>
        <w:spacing w:lineRule="auto" w:line="302" w:before="0" w:after="0"/>
        <w:ind w:left="0" w:right="0" w:firstLine="902"/>
        <w:jc w:val="both"/>
        <w:rPr>
          <w:rFonts w:ascii="Times New Roman;sans-serif" w:hAnsi="Times New Roman;sans-serif"/>
          <w:b w:val="false"/>
          <w:color w:val="000000"/>
          <w:sz w:val="24"/>
        </w:rPr>
      </w:pPr>
      <w:r>
        <w:rPr>
          <w:rFonts w:ascii="Times New Roman;sans-serif" w:hAnsi="Times New Roman;sans-serif"/>
          <w:b w:val="false"/>
          <w:color w:val="000000"/>
          <w:sz w:val="24"/>
        </w:rPr>
        <w:t>Fax: (212) 624-5933</w:t>
      </w:r>
    </w:p>
    <w:p>
      <w:pPr>
        <w:pStyle w:val="TextBody"/>
        <w:spacing w:before="0" w:after="0"/>
        <w:rPr/>
      </w:pPr>
      <w:r>
        <w:rPr/>
      </w:r>
    </w:p>
    <w:p>
      <w:pPr>
        <w:pStyle w:val="TextBody"/>
        <w:spacing w:lineRule="auto" w:line="268" w:before="0" w:after="0"/>
        <w:ind w:left="0" w:right="0" w:firstLine="902"/>
        <w:jc w:val="both"/>
        <w:rPr>
          <w:rFonts w:ascii="Times New Roman;sans-serif" w:hAnsi="Times New Roman;sans-serif"/>
          <w:b w:val="false"/>
          <w:color w:val="000000"/>
          <w:sz w:val="22"/>
        </w:rPr>
      </w:pPr>
      <w:r>
        <w:rPr>
          <w:rFonts w:ascii="Times New Roman;sans-serif" w:hAnsi="Times New Roman;sans-serif"/>
          <w:b w:val="false"/>
          <w:color w:val="000000"/>
          <w:sz w:val="22"/>
        </w:rPr>
        <w:t>If to Executive:</w:t>
      </w:r>
    </w:p>
    <w:p>
      <w:pPr>
        <w:pStyle w:val="TextBody"/>
        <w:spacing w:before="0" w:after="0"/>
        <w:rPr/>
      </w:pPr>
      <w:r>
        <w:rPr/>
      </w:r>
    </w:p>
    <w:p>
      <w:pPr>
        <w:pStyle w:val="TextBody"/>
        <w:spacing w:lineRule="auto" w:line="268" w:before="0" w:after="0"/>
        <w:ind w:left="0" w:right="0" w:firstLine="902"/>
        <w:jc w:val="both"/>
        <w:rPr>
          <w:rFonts w:ascii="Times New Roman;sans-serif" w:hAnsi="Times New Roman;sans-serif"/>
          <w:b w:val="false"/>
          <w:color w:val="000000"/>
          <w:sz w:val="22"/>
        </w:rPr>
      </w:pPr>
      <w:r>
        <w:rPr>
          <w:rFonts w:ascii="Times New Roman;sans-serif" w:hAnsi="Times New Roman;sans-serif"/>
          <w:b w:val="false"/>
          <w:color w:val="000000"/>
          <w:sz w:val="22"/>
        </w:rPr>
        <w:t>Vikas Bhalla</w:t>
      </w:r>
    </w:p>
    <w:p>
      <w:pPr>
        <w:pStyle w:val="TextBody"/>
        <w:spacing w:lineRule="auto" w:line="268" w:before="0" w:after="0"/>
        <w:ind w:left="0" w:right="0" w:firstLine="902"/>
        <w:jc w:val="both"/>
        <w:rPr>
          <w:rFonts w:ascii="Times New Roman;sans-serif" w:hAnsi="Times New Roman;sans-serif"/>
          <w:b w:val="false"/>
          <w:color w:val="000000"/>
          <w:sz w:val="22"/>
        </w:rPr>
      </w:pPr>
      <w:r>
        <w:rPr>
          <w:rFonts w:ascii="Times New Roman;sans-serif" w:hAnsi="Times New Roman;sans-serif"/>
          <w:b w:val="false"/>
          <w:color w:val="000000"/>
          <w:sz w:val="22"/>
        </w:rPr>
        <w:t>[**REDACTED FOR PRIVACY**]</w:t>
      </w:r>
    </w:p>
    <w:p>
      <w:pPr>
        <w:pStyle w:val="TextBody"/>
        <w:spacing w:lineRule="auto" w:line="268" w:before="0" w:after="0"/>
        <w:ind w:left="0" w:right="0" w:firstLine="902"/>
        <w:jc w:val="both"/>
        <w:rPr>
          <w:rFonts w:ascii="Times New Roman;sans-serif" w:hAnsi="Times New Roman;sans-serif"/>
          <w:b w:val="false"/>
          <w:color w:val="000000"/>
          <w:sz w:val="22"/>
        </w:rPr>
      </w:pPr>
      <w:r>
        <w:rPr>
          <w:rFonts w:ascii="Times New Roman;sans-serif" w:hAnsi="Times New Roman;sans-serif"/>
          <w:b w:val="false"/>
          <w:color w:val="000000"/>
          <w:sz w:val="22"/>
        </w:rPr>
        <w:t>Email: vikas.bhalla@exlservice.com</w:t>
      </w:r>
    </w:p>
    <w:p>
      <w:pPr>
        <w:pStyle w:val="TextBody"/>
        <w:spacing w:before="0" w:after="0"/>
        <w:rPr/>
      </w:pPr>
      <w:r>
        <w:rPr/>
      </w:r>
    </w:p>
    <w:p>
      <w:pPr>
        <w:pStyle w:val="TextBody"/>
        <w:spacing w:lineRule="auto" w:line="268" w:before="0" w:after="0"/>
        <w:ind w:left="0" w:right="0" w:firstLine="1540"/>
        <w:jc w:val="both"/>
        <w:rPr>
          <w:rFonts w:ascii="Times New Roman;sans-serif" w:hAnsi="Times New Roman;sans-serif"/>
          <w:b w:val="false"/>
          <w:color w:val="000000"/>
          <w:sz w:val="22"/>
        </w:rPr>
      </w:pPr>
      <w:r>
        <w:rPr>
          <w:rFonts w:ascii="Times New Roman;sans-serif" w:hAnsi="Times New Roman;sans-serif"/>
          <w:b w:val="false"/>
          <w:color w:val="000000"/>
          <w:sz w:val="22"/>
        </w:rPr>
        <w:t>Notices delivered by electronic mail shall have the same legal effect as if such notice had been delivered in person.</w:t>
      </w:r>
    </w:p>
    <w:p>
      <w:pPr>
        <w:pStyle w:val="TextBody"/>
        <w:spacing w:before="0" w:after="0"/>
        <w:rPr/>
      </w:pPr>
      <w:r>
        <w:rPr/>
      </w:r>
    </w:p>
    <w:p>
      <w:pPr>
        <w:pStyle w:val="TextBody"/>
        <w:spacing w:lineRule="auto" w:line="268" w:before="0" w:after="120"/>
        <w:ind w:left="0" w:right="0" w:firstLine="1530"/>
        <w:jc w:val="both"/>
        <w:rPr/>
      </w:pPr>
      <w:r>
        <w:rPr>
          <w:rFonts w:ascii="Times New Roman;sans-serif" w:hAnsi="Times New Roman;sans-serif"/>
          <w:b w:val="false"/>
          <w:color w:val="000000"/>
          <w:sz w:val="22"/>
        </w:rPr>
        <w:t>26.</w:t>
      </w:r>
      <w:r>
        <w:rPr>
          <w:rFonts w:ascii="Times New Roman;sans-serif" w:hAnsi="Times New Roman;sans-serif"/>
          <w:b w:val="false"/>
          <w:color w:val="000000"/>
          <w:sz w:val="22"/>
          <w:u w:val="single"/>
        </w:rPr>
        <w:t>Headings and References</w:t>
      </w:r>
      <w:r>
        <w:rPr>
          <w:rFonts w:ascii="Times New Roman;sans-serif" w:hAnsi="Times New Roman;sans-serif"/>
          <w:b w:val="false"/>
          <w:color w:val="000000"/>
          <w:sz w:val="22"/>
        </w:rPr>
        <w:t>. The headings of this Agreement are inserted for convenience only and neither constitute a part of this Agreement nor affect in any way the meaning or interpretation of this Agreement. When a reference in this Agreement is made to a Section, such reference shall be to a Section of this Agreement unless otherwise indicated.</w:t>
      </w:r>
    </w:p>
    <w:p>
      <w:pPr>
        <w:pStyle w:val="TextBody"/>
        <w:spacing w:before="0" w:after="0"/>
        <w:rPr/>
      </w:pPr>
      <w:r>
        <w:rPr/>
      </w:r>
    </w:p>
    <w:p>
      <w:pPr>
        <w:pStyle w:val="TextBody"/>
        <w:spacing w:lineRule="auto" w:line="268" w:before="0" w:after="120"/>
        <w:ind w:left="0" w:right="0" w:firstLine="1530"/>
        <w:jc w:val="both"/>
        <w:rPr/>
      </w:pPr>
      <w:r>
        <w:rPr>
          <w:rFonts w:ascii="Times New Roman;sans-serif" w:hAnsi="Times New Roman;sans-serif"/>
          <w:b w:val="false"/>
          <w:color w:val="000000"/>
          <w:sz w:val="22"/>
        </w:rPr>
        <w:t>27.</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xml:space="preserve">. This Agreement may be executed simultaneously in two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party. Copies and facsimile or scanned copies of this Agreement, and the signatures contained therein, shall be as effective as the original Agreement and signatures. </w:t>
      </w:r>
    </w:p>
    <w:p>
      <w:pPr>
        <w:pStyle w:val="TextBody"/>
        <w:spacing w:before="0" w:after="0"/>
        <w:rPr/>
      </w:pPr>
      <w:r>
        <w:rPr/>
      </w:r>
    </w:p>
    <w:p>
      <w:pPr>
        <w:pStyle w:val="TextBody"/>
        <w:spacing w:before="0" w:after="0"/>
        <w:rPr/>
      </w:pPr>
      <w:r>
        <w:rPr/>
      </w:r>
    </w:p>
    <w:p>
      <w:pPr>
        <w:pStyle w:val="TextBody"/>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Follows]</w:t>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68" w:before="0" w:after="0"/>
        <w:jc w:val="both"/>
        <w:rPr/>
      </w:pPr>
      <w:r>
        <w:rPr>
          <w:rFonts w:ascii="Times New Roman;sans-serif" w:hAnsi="Times New Roman;sans-serif"/>
          <w:b w:val="false"/>
          <w:color w:val="000000"/>
          <w:sz w:val="22"/>
        </w:rPr>
        <w:t>IN</w:t>
      </w:r>
      <w:r>
        <w:rPr>
          <w:color w:val="000000"/>
        </w:rPr>
        <w:t xml:space="preserve"> </w:t>
      </w:r>
      <w:r>
        <w:rPr>
          <w:rFonts w:ascii="Times New Roman;sans-serif" w:hAnsi="Times New Roman;sans-serif"/>
          <w:b w:val="false"/>
          <w:color w:val="000000"/>
          <w:sz w:val="24"/>
        </w:rPr>
        <w:t xml:space="preserve">WITNESS WHEREOF, </w:t>
      </w:r>
      <w:r>
        <w:rPr>
          <w:rFonts w:ascii="Times New Roman;sans-serif" w:hAnsi="Times New Roman;sans-serif"/>
          <w:b w:val="false"/>
          <w:color w:val="000000"/>
          <w:sz w:val="22"/>
        </w:rPr>
        <w:t>this</w:t>
      </w:r>
      <w:r>
        <w:rPr>
          <w:color w:val="000000"/>
        </w:rPr>
        <w:t xml:space="preserve"> </w:t>
      </w:r>
      <w:r>
        <w:rPr>
          <w:rFonts w:ascii="Times New Roman;sans-serif" w:hAnsi="Times New Roman;sans-serif"/>
          <w:b w:val="false"/>
          <w:color w:val="000000"/>
          <w:sz w:val="24"/>
        </w:rPr>
        <w:t xml:space="preserve">Agreement </w:t>
      </w:r>
      <w:r>
        <w:rPr>
          <w:rFonts w:ascii="Times New Roman;sans-serif" w:hAnsi="Times New Roman;sans-serif"/>
          <w:b w:val="false"/>
          <w:color w:val="000000"/>
          <w:sz w:val="22"/>
        </w:rPr>
        <w:t>has</w:t>
      </w:r>
      <w:r>
        <w:rPr>
          <w:color w:val="000000"/>
        </w:rPr>
        <w:t xml:space="preserve"> </w:t>
      </w:r>
      <w:r>
        <w:rPr>
          <w:rFonts w:ascii="Times New Roman;sans-serif" w:hAnsi="Times New Roman;sans-serif"/>
          <w:b w:val="false"/>
          <w:color w:val="000000"/>
          <w:sz w:val="22"/>
        </w:rPr>
        <w:t>been</w:t>
      </w:r>
      <w:r>
        <w:rPr>
          <w:color w:val="000000"/>
        </w:rPr>
        <w:t xml:space="preserve"> </w:t>
      </w:r>
      <w:r>
        <w:rPr>
          <w:rFonts w:ascii="Times New Roman;sans-serif" w:hAnsi="Times New Roman;sans-serif"/>
          <w:b w:val="false"/>
          <w:color w:val="000000"/>
          <w:sz w:val="22"/>
        </w:rPr>
        <w:t>duly</w:t>
      </w:r>
      <w:r>
        <w:rPr>
          <w:color w:val="000000"/>
        </w:rPr>
        <w:t xml:space="preserve"> </w:t>
      </w:r>
      <w:r>
        <w:rPr>
          <w:rFonts w:ascii="Times New Roman;sans-serif" w:hAnsi="Times New Roman;sans-serif"/>
          <w:b w:val="false"/>
          <w:color w:val="000000"/>
          <w:sz w:val="22"/>
        </w:rPr>
        <w:t>executed</w:t>
      </w:r>
      <w:r>
        <w:rPr>
          <w:color w:val="000000"/>
        </w:rPr>
        <w:t xml:space="preserve"> </w:t>
      </w:r>
      <w:r>
        <w:rPr>
          <w:rFonts w:ascii="Times New Roman;sans-serif" w:hAnsi="Times New Roman;sans-serif"/>
          <w:b w:val="false"/>
          <w:color w:val="000000"/>
          <w:sz w:val="22"/>
        </w:rPr>
        <w:t>by</w:t>
      </w:r>
      <w:r>
        <w:rPr>
          <w:color w:val="000000"/>
        </w:rPr>
        <w:t xml:space="preserve"> </w:t>
      </w:r>
      <w:r>
        <w:rPr>
          <w:rFonts w:ascii="Times New Roman;sans-serif" w:hAnsi="Times New Roman;sans-serif"/>
          <w:b w:val="false"/>
          <w:color w:val="000000"/>
          <w:sz w:val="22"/>
        </w:rPr>
        <w:t>the</w:t>
      </w:r>
      <w:r>
        <w:rPr>
          <w:color w:val="000000"/>
        </w:rPr>
        <w:t xml:space="preserve"> </w:t>
      </w:r>
      <w:r>
        <w:rPr>
          <w:rFonts w:ascii="Times New Roman;sans-serif" w:hAnsi="Times New Roman;sans-serif"/>
          <w:b w:val="false"/>
          <w:color w:val="000000"/>
          <w:sz w:val="22"/>
        </w:rPr>
        <w:t>parties</w:t>
      </w:r>
      <w:r>
        <w:rPr>
          <w:color w:val="000000"/>
        </w:rPr>
        <w:t xml:space="preserve"> </w:t>
      </w:r>
      <w:r>
        <w:rPr>
          <w:rFonts w:ascii="Times New Roman;sans-serif" w:hAnsi="Times New Roman;sans-serif"/>
          <w:b w:val="false"/>
          <w:color w:val="000000"/>
          <w:sz w:val="22"/>
        </w:rPr>
        <w:t>as of the date set forth below.</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Your Truly,</w:t>
      </w:r>
    </w:p>
    <w:p>
      <w:pPr>
        <w:pStyle w:val="TextBody"/>
        <w:spacing w:before="0" w:after="0"/>
        <w:rPr/>
      </w:pPr>
      <w:r>
        <w:rPr/>
      </w:r>
    </w:p>
    <w:p>
      <w:pPr>
        <w:pStyle w:val="TextBody"/>
        <w:spacing w:lineRule="auto" w:line="268" w:before="0" w:after="0"/>
        <w:ind w:left="0" w:right="0" w:firstLine="90"/>
        <w:rPr>
          <w:rFonts w:ascii="Times New Roman;sans-serif" w:hAnsi="Times New Roman;sans-serif"/>
          <w:b w:val="false"/>
          <w:color w:val="000000"/>
          <w:sz w:val="24"/>
        </w:rPr>
      </w:pPr>
      <w:r>
        <w:rPr>
          <w:rFonts w:ascii="Times New Roman;sans-serif" w:hAnsi="Times New Roman;sans-serif"/>
          <w:b w:val="false"/>
          <w:color w:val="000000"/>
          <w:sz w:val="24"/>
        </w:rPr>
        <w:t>exl Service.com (India) Private Limited</w:t>
      </w:r>
    </w:p>
    <w:p>
      <w:pPr>
        <w:pStyle w:val="TextBody"/>
        <w:spacing w:lineRule="auto" w:line="268" w:before="0" w:after="0"/>
        <w:ind w:left="0" w:right="0" w:firstLine="90"/>
        <w:rPr>
          <w:rFonts w:ascii="Times New Roman;sans-serif" w:hAnsi="Times New Roman;sans-serif"/>
          <w:b w:val="false"/>
          <w:color w:val="000000"/>
          <w:sz w:val="24"/>
        </w:rPr>
      </w:pPr>
      <w:r>
        <w:rPr>
          <w:rFonts w:ascii="Times New Roman;sans-serif" w:hAnsi="Times New Roman;sans-serif"/>
          <w:b w:val="false"/>
          <w:color w:val="000000"/>
          <w:sz w:val="24"/>
        </w:rPr>
        <w:t>/s/ Nalin Kumar Miglani</w:t>
      </w:r>
    </w:p>
    <w:p>
      <w:pPr>
        <w:pStyle w:val="TextBody"/>
        <w:spacing w:lineRule="auto" w:line="268" w:before="0" w:after="0"/>
        <w:ind w:left="0" w:right="0" w:firstLine="90"/>
        <w:rPr>
          <w:rFonts w:ascii="Times New Roman;sans-serif" w:hAnsi="Times New Roman;sans-serif"/>
          <w:b w:val="false"/>
          <w:color w:val="000000"/>
          <w:sz w:val="24"/>
        </w:rPr>
      </w:pPr>
      <w:r>
        <w:rPr>
          <w:rFonts w:ascii="Times New Roman;sans-serif" w:hAnsi="Times New Roman;sans-serif"/>
          <w:b w:val="false"/>
          <w:color w:val="000000"/>
          <w:sz w:val="24"/>
        </w:rPr>
        <w:t>Nalin Kumar Miglani</w:t>
      </w:r>
    </w:p>
    <w:p>
      <w:pPr>
        <w:pStyle w:val="TextBody"/>
        <w:spacing w:lineRule="auto" w:line="268" w:before="0" w:after="0"/>
        <w:ind w:left="0" w:right="0" w:firstLine="90"/>
        <w:rPr>
          <w:rFonts w:ascii="Times New Roman;sans-serif" w:hAnsi="Times New Roman;sans-serif"/>
          <w:b w:val="false"/>
          <w:color w:val="000000"/>
          <w:sz w:val="24"/>
        </w:rPr>
      </w:pPr>
      <w:r>
        <w:rPr>
          <w:rFonts w:ascii="Times New Roman;sans-serif" w:hAnsi="Times New Roman;sans-serif"/>
          <w:b w:val="false"/>
          <w:color w:val="000000"/>
          <w:sz w:val="24"/>
        </w:rPr>
        <w:t>Executive Vice President &amp; Chief Human Resource Officer</w:t>
      </w:r>
    </w:p>
    <w:p>
      <w:pPr>
        <w:pStyle w:val="TextBody"/>
        <w:spacing w:lineRule="auto" w:line="268" w:before="0" w:after="0"/>
        <w:ind w:left="0" w:right="0" w:firstLine="90"/>
        <w:rPr>
          <w:rFonts w:ascii="Times New Roman;sans-serif" w:hAnsi="Times New Roman;sans-serif"/>
          <w:b w:val="false"/>
          <w:color w:val="000000"/>
          <w:sz w:val="24"/>
        </w:rPr>
      </w:pPr>
      <w:r>
        <w:rPr>
          <w:rFonts w:ascii="Times New Roman;sans-serif" w:hAnsi="Times New Roman;sans-serif"/>
          <w:b w:val="false"/>
          <w:color w:val="000000"/>
          <w:sz w:val="24"/>
        </w:rPr>
        <w:t>Date: 18 April 2022</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68" w:before="0" w:after="0"/>
        <w:ind w:left="0" w:right="0" w:firstLine="90"/>
        <w:rPr>
          <w:rFonts w:ascii="Times New Roman;sans-serif" w:hAnsi="Times New Roman;sans-serif"/>
          <w:b w:val="false"/>
          <w:color w:val="000000"/>
          <w:sz w:val="24"/>
        </w:rPr>
      </w:pPr>
      <w:r>
        <w:rPr>
          <w:rFonts w:ascii="Times New Roman;sans-serif" w:hAnsi="Times New Roman;sans-serif"/>
          <w:b w:val="false"/>
          <w:color w:val="000000"/>
          <w:sz w:val="24"/>
        </w:rPr>
        <w:t>Vikas Bhalla</w:t>
      </w:r>
    </w:p>
    <w:p>
      <w:pPr>
        <w:pStyle w:val="TextBody"/>
        <w:spacing w:before="0" w:after="0"/>
        <w:rPr/>
      </w:pPr>
      <w:r>
        <w:rPr/>
      </w:r>
    </w:p>
    <w:p>
      <w:pPr>
        <w:pStyle w:val="TextBody"/>
        <w:spacing w:lineRule="auto" w:line="268" w:before="0" w:after="0"/>
        <w:ind w:left="0" w:right="0" w:firstLine="90"/>
        <w:rPr>
          <w:rFonts w:ascii="Times New Roman;sans-serif" w:hAnsi="Times New Roman;sans-serif"/>
          <w:b w:val="false"/>
          <w:color w:val="000000"/>
          <w:sz w:val="24"/>
        </w:rPr>
      </w:pPr>
      <w:r>
        <w:rPr>
          <w:rFonts w:ascii="Times New Roman;sans-serif" w:hAnsi="Times New Roman;sans-serif"/>
          <w:b w:val="false"/>
          <w:color w:val="000000"/>
          <w:sz w:val="24"/>
        </w:rPr>
        <w:t>/s/ Vikas Bhalla</w:t>
      </w:r>
    </w:p>
    <w:p>
      <w:pPr>
        <w:pStyle w:val="TextBody"/>
        <w:spacing w:lineRule="auto" w:line="268" w:before="0" w:after="0"/>
        <w:ind w:left="0" w:right="0" w:firstLine="90"/>
        <w:rPr/>
      </w:pPr>
      <w:r>
        <w:rPr>
          <w:rFonts w:ascii="Times New Roman;sans-serif" w:hAnsi="Times New Roman;sans-serif"/>
          <w:b w:val="false"/>
          <w:color w:val="000000"/>
          <w:sz w:val="24"/>
        </w:rPr>
        <w:t>Date: 18</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4"/>
        </w:rPr>
        <w:t>April, 2022</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18" w:before="0" w:after="0"/>
        <w:jc w:val="center"/>
        <w:rPr>
          <w:rFonts w:ascii="Times New Roman;sans-serif" w:hAnsi="Times New Roman;sans-serif"/>
          <w:b/>
          <w:color w:val="000000"/>
          <w:sz w:val="24"/>
        </w:rPr>
      </w:pPr>
      <w:r>
        <w:rPr>
          <w:rFonts w:ascii="Times New Roman;sans-serif" w:hAnsi="Times New Roman;sans-serif"/>
          <w:b/>
          <w:color w:val="000000"/>
          <w:sz w:val="24"/>
        </w:rPr>
        <w:t>SCHEDULE I</w:t>
      </w:r>
    </w:p>
    <w:p>
      <w:pPr>
        <w:pStyle w:val="TextBody"/>
        <w:spacing w:before="0" w:after="0"/>
        <w:rPr/>
      </w:pPr>
      <w:r>
        <w:rPr/>
      </w:r>
    </w:p>
    <w:p>
      <w:pPr>
        <w:pStyle w:val="TextBody"/>
        <w:spacing w:lineRule="auto" w:line="268" w:before="0" w:after="0"/>
        <w:jc w:val="center"/>
        <w:rPr>
          <w:rFonts w:ascii="Times New Roman;sans-serif" w:hAnsi="Times New Roman;sans-serif"/>
          <w:b w:val="false"/>
          <w:color w:val="365F91"/>
          <w:sz w:val="22"/>
        </w:rPr>
      </w:pPr>
      <w:r>
        <w:rPr>
          <w:rFonts w:ascii="Times New Roman;sans-serif" w:hAnsi="Times New Roman;sans-serif"/>
          <w:b w:val="false"/>
          <w:color w:val="365F91"/>
          <w:sz w:val="22"/>
        </w:rPr>
        <w:t>COMPENSATION STRUCTURE</w:t>
      </w:r>
    </w:p>
    <w:p>
      <w:pPr>
        <w:pStyle w:val="TextBody"/>
        <w:spacing w:lineRule="auto" w:line="268" w:before="0" w:after="0"/>
        <w:rPr>
          <w:rFonts w:ascii="Times New Roman;sans-serif" w:hAnsi="Times New Roman;sans-serif"/>
          <w:b/>
          <w:color w:val="000000"/>
          <w:sz w:val="24"/>
        </w:rPr>
      </w:pPr>
      <w:r>
        <w:rPr>
          <w:rFonts w:ascii="Times New Roman;sans-serif" w:hAnsi="Times New Roman;sans-serif"/>
          <w:b/>
          <w:color w:val="000000"/>
          <w:sz w:val="24"/>
        </w:rPr>
        <w:t>As of April 1, 2021</w:t>
      </w:r>
    </w:p>
    <w:p>
      <w:pPr>
        <w:pStyle w:val="TextBody"/>
        <w:spacing w:before="0" w:after="0"/>
        <w:rPr/>
      </w:pPr>
      <w:r>
        <w:rPr/>
      </w:r>
    </w:p>
    <w:p>
      <w:pPr>
        <w:pStyle w:val="TextBody"/>
        <w:spacing w:before="0" w:after="0"/>
        <w:rPr/>
      </w:pPr>
      <w:r>
        <w:rPr/>
      </w:r>
    </w:p>
    <w:p>
      <w:pPr>
        <w:pStyle w:val="TextBody"/>
        <w:spacing w:lineRule="auto" w:line="268" w:before="0" w:after="0"/>
        <w:rPr/>
      </w:pPr>
      <w:r>
        <w:rPr>
          <w:rFonts w:ascii="Times New Roman;sans-serif" w:hAnsi="Times New Roman;sans-serif"/>
          <w:b/>
          <w:color w:val="000000"/>
          <w:sz w:val="19"/>
        </w:rPr>
        <w:t>Full Name</w:t>
      </w:r>
      <w:r>
        <w:rPr>
          <w:color w:val="000000"/>
        </w:rPr>
        <w:t xml:space="preserve"> </w:t>
      </w:r>
      <w:r>
        <w:rPr>
          <w:rFonts w:ascii="Times New Roman;sans-serif" w:hAnsi="Times New Roman;sans-serif"/>
          <w:b/>
          <w:color w:val="000000"/>
          <w:sz w:val="19"/>
        </w:rPr>
        <w:t>: Vikas Bhalla</w:t>
      </w:r>
    </w:p>
    <w:p>
      <w:pPr>
        <w:pStyle w:val="TextBody"/>
        <w:spacing w:lineRule="auto" w:line="268" w:before="0" w:after="0"/>
        <w:rPr/>
      </w:pPr>
      <w:r>
        <w:rPr>
          <w:rFonts w:ascii="Times New Roman;sans-serif" w:hAnsi="Times New Roman;sans-serif"/>
          <w:b/>
          <w:color w:val="000000"/>
          <w:sz w:val="19"/>
        </w:rPr>
        <w:t>Employee ID</w:t>
      </w:r>
      <w:r>
        <w:rPr>
          <w:color w:val="000000"/>
        </w:rPr>
        <w:t xml:space="preserve"> </w:t>
      </w:r>
      <w:r>
        <w:rPr>
          <w:rFonts w:ascii="Times New Roman;sans-serif" w:hAnsi="Times New Roman;sans-serif"/>
          <w:b/>
          <w:color w:val="000000"/>
          <w:sz w:val="19"/>
        </w:rPr>
        <w:t xml:space="preserve">: 422 </w:t>
      </w:r>
    </w:p>
    <w:p>
      <w:pPr>
        <w:pStyle w:val="TextBody"/>
        <w:spacing w:before="0" w:after="0"/>
        <w:rPr/>
      </w:pPr>
      <w:r>
        <w:rPr/>
      </w:r>
    </w:p>
    <w:p>
      <w:pPr>
        <w:pStyle w:val="TextBody"/>
        <w:spacing w:before="0" w:after="0"/>
        <w:rPr/>
      </w:pPr>
      <w:r>
        <w:rPr/>
      </w:r>
    </w:p>
    <w:tbl>
      <w:tblPr>
        <w:tblW w:w="4240" w:type="dxa"/>
        <w:jc w:val="left"/>
        <w:tblInd w:w="0" w:type="dxa"/>
        <w:tblCellMar>
          <w:top w:w="28" w:type="dxa"/>
          <w:left w:w="28" w:type="dxa"/>
          <w:bottom w:w="28" w:type="dxa"/>
          <w:right w:w="28" w:type="dxa"/>
        </w:tblCellMar>
      </w:tblPr>
      <w:tblGrid>
        <w:gridCol w:w="1141"/>
        <w:gridCol w:w="1001"/>
        <w:gridCol w:w="1017"/>
        <w:gridCol w:w="315"/>
        <w:gridCol w:w="315"/>
        <w:gridCol w:w="451"/>
      </w:tblGrid>
      <w:tr>
        <w:trPr/>
        <w:tc>
          <w:tcPr>
            <w:tcW w:w="1141"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r>
      <w:tr>
        <w:trPr/>
        <w:tc>
          <w:tcPr>
            <w:tcW w:w="31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jc w:val="left"/>
              <w:rPr>
                <w:rFonts w:ascii="Times New Roman;sans-serif" w:hAnsi="Times New Roman;sans-serif"/>
                <w:b/>
                <w:color w:val="000000"/>
                <w:sz w:val="19"/>
              </w:rPr>
            </w:pPr>
            <w:r>
              <w:rPr>
                <w:rFonts w:ascii="Times New Roman;sans-serif" w:hAnsi="Times New Roman;sans-serif"/>
                <w:b/>
                <w:color w:val="000000"/>
                <w:sz w:val="19"/>
              </w:rPr>
              <w:t>Basic</w:t>
            </w:r>
          </w:p>
        </w:tc>
        <w:tc>
          <w:tcPr>
            <w:tcW w:w="108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jc w:val="right"/>
              <w:rPr>
                <w:rFonts w:ascii="Times New Roman;sans-serif" w:hAnsi="Times New Roman;sans-serif"/>
                <w:b w:val="false"/>
                <w:color w:val="000000"/>
                <w:sz w:val="19"/>
              </w:rPr>
            </w:pPr>
            <w:r>
              <w:rPr>
                <w:rFonts w:ascii="Times New Roman;sans-serif" w:hAnsi="Times New Roman;sans-serif"/>
                <w:b w:val="false"/>
                <w:color w:val="000000"/>
                <w:sz w:val="19"/>
              </w:rPr>
              <w:t>8,575,000</w:t>
            </w:r>
          </w:p>
        </w:tc>
      </w:tr>
      <w:tr>
        <w:trPr/>
        <w:tc>
          <w:tcPr>
            <w:tcW w:w="3159"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left w:val="single" w:sz="8" w:space="0" w:color="000000"/>
              <w:right w:val="single" w:sz="8" w:space="0" w:color="000000"/>
            </w:tcBorders>
            <w:shd w:fill="auto" w:val="clear"/>
            <w:tcMar>
              <w:top w:w="0" w:type="dxa"/>
              <w:bottom w:w="0" w:type="dxa"/>
            </w:tcMar>
            <w:vAlign w:val="center"/>
          </w:tcPr>
          <w:p>
            <w:pPr>
              <w:pStyle w:val="TableContents"/>
              <w:spacing w:before="0" w:after="283"/>
              <w:rPr>
                <w:sz w:val="4"/>
                <w:szCs w:val="4"/>
              </w:rPr>
            </w:pPr>
            <w:r>
              <w:rPr>
                <w:sz w:val="4"/>
                <w:szCs w:val="4"/>
              </w:rPr>
            </w:r>
          </w:p>
        </w:tc>
      </w:tr>
      <w:tr>
        <w:trPr/>
        <w:tc>
          <w:tcPr>
            <w:tcW w:w="3159" w:type="dxa"/>
            <w:gridSpan w:val="3"/>
            <w:tcBorders>
              <w:left w:val="single" w:sz="8" w:space="0" w:color="000000"/>
            </w:tcBorders>
            <w:shd w:fill="auto" w:val="clear"/>
            <w:tcMar>
              <w:top w:w="0" w:type="dxa"/>
              <w:bottom w:w="0" w:type="dxa"/>
              <w:right w:w="0" w:type="dxa"/>
            </w:tcMar>
            <w:vAlign w:val="center"/>
          </w:tcPr>
          <w:p>
            <w:pPr>
              <w:pStyle w:val="TableContents"/>
              <w:spacing w:lineRule="auto" w:line="268" w:before="0" w:after="2"/>
              <w:jc w:val="left"/>
              <w:rPr>
                <w:rFonts w:ascii="Times New Roman;sans-serif" w:hAnsi="Times New Roman;sans-serif"/>
                <w:b/>
                <w:color w:val="000000"/>
                <w:sz w:val="19"/>
              </w:rPr>
            </w:pPr>
            <w:r>
              <w:rPr>
                <w:rFonts w:ascii="Times New Roman;sans-serif" w:hAnsi="Times New Roman;sans-serif"/>
                <w:b/>
                <w:color w:val="000000"/>
                <w:sz w:val="19"/>
              </w:rPr>
              <w:t>Housing</w:t>
            </w:r>
          </w:p>
        </w:tc>
        <w:tc>
          <w:tcPr>
            <w:tcW w:w="1081" w:type="dxa"/>
            <w:gridSpan w:val="3"/>
            <w:tcBorders>
              <w:left w:val="single" w:sz="8" w:space="0" w:color="000000"/>
              <w:right w:val="single" w:sz="8" w:space="0" w:color="000000"/>
            </w:tcBorders>
            <w:shd w:fill="auto" w:val="clear"/>
            <w:tcMar>
              <w:top w:w="0" w:type="dxa"/>
              <w:bottom w:w="0" w:type="dxa"/>
            </w:tcMar>
            <w:vAlign w:val="center"/>
          </w:tcPr>
          <w:p>
            <w:pPr>
              <w:pStyle w:val="TableContents"/>
              <w:spacing w:lineRule="auto" w:line="268" w:before="0" w:after="2"/>
              <w:jc w:val="right"/>
              <w:rPr>
                <w:rFonts w:ascii="Times New Roman;sans-serif" w:hAnsi="Times New Roman;sans-serif"/>
                <w:b w:val="false"/>
                <w:color w:val="000000"/>
                <w:sz w:val="19"/>
              </w:rPr>
            </w:pPr>
            <w:r>
              <w:rPr>
                <w:rFonts w:ascii="Times New Roman;sans-serif" w:hAnsi="Times New Roman;sans-serif"/>
                <w:b w:val="false"/>
                <w:color w:val="000000"/>
                <w:sz w:val="19"/>
              </w:rPr>
              <w:t>4,287,500</w:t>
            </w:r>
          </w:p>
        </w:tc>
      </w:tr>
      <w:tr>
        <w:trPr/>
        <w:tc>
          <w:tcPr>
            <w:tcW w:w="3159" w:type="dxa"/>
            <w:gridSpan w:val="3"/>
            <w:tcBorders>
              <w:left w:val="single" w:sz="8" w:space="0" w:color="000000"/>
            </w:tcBorders>
            <w:shd w:fill="auto" w:val="clear"/>
            <w:tcMar>
              <w:top w:w="0" w:type="dxa"/>
              <w:bottom w:w="0" w:type="dxa"/>
              <w:right w:w="0" w:type="dxa"/>
            </w:tcMar>
            <w:vAlign w:val="center"/>
          </w:tcPr>
          <w:p>
            <w:pPr>
              <w:pStyle w:val="TableContents"/>
              <w:spacing w:lineRule="auto" w:line="268" w:before="0" w:after="2"/>
              <w:jc w:val="left"/>
              <w:rPr>
                <w:rFonts w:ascii="Times New Roman;sans-serif" w:hAnsi="Times New Roman;sans-serif"/>
                <w:b/>
                <w:color w:val="000000"/>
                <w:sz w:val="19"/>
              </w:rPr>
            </w:pPr>
            <w:r>
              <w:rPr>
                <w:rFonts w:ascii="Times New Roman;sans-serif" w:hAnsi="Times New Roman;sans-serif"/>
                <w:b/>
                <w:color w:val="000000"/>
                <w:sz w:val="19"/>
              </w:rPr>
              <w:t>Leave Travel</w:t>
            </w:r>
          </w:p>
        </w:tc>
        <w:tc>
          <w:tcPr>
            <w:tcW w:w="1081" w:type="dxa"/>
            <w:gridSpan w:val="3"/>
            <w:tcBorders>
              <w:left w:val="single" w:sz="8" w:space="0" w:color="000000"/>
              <w:right w:val="single" w:sz="8" w:space="0" w:color="000000"/>
            </w:tcBorders>
            <w:shd w:fill="auto" w:val="clear"/>
            <w:tcMar>
              <w:top w:w="0" w:type="dxa"/>
              <w:bottom w:w="0" w:type="dxa"/>
            </w:tcMar>
            <w:vAlign w:val="center"/>
          </w:tcPr>
          <w:p>
            <w:pPr>
              <w:pStyle w:val="TableContents"/>
              <w:spacing w:lineRule="auto" w:line="268" w:before="0" w:after="2"/>
              <w:jc w:val="right"/>
              <w:rPr>
                <w:rFonts w:ascii="Times New Roman;sans-serif" w:hAnsi="Times New Roman;sans-serif"/>
                <w:b w:val="false"/>
                <w:color w:val="000000"/>
                <w:sz w:val="19"/>
              </w:rPr>
            </w:pPr>
            <w:r>
              <w:rPr>
                <w:rFonts w:ascii="Times New Roman;sans-serif" w:hAnsi="Times New Roman;sans-serif"/>
                <w:b w:val="false"/>
                <w:color w:val="000000"/>
                <w:sz w:val="19"/>
              </w:rPr>
              <w:t>714,298</w:t>
            </w:r>
          </w:p>
        </w:tc>
      </w:tr>
      <w:tr>
        <w:trPr/>
        <w:tc>
          <w:tcPr>
            <w:tcW w:w="3159" w:type="dxa"/>
            <w:gridSpan w:val="3"/>
            <w:tcBorders>
              <w:left w:val="single" w:sz="8" w:space="0" w:color="000000"/>
            </w:tcBorders>
            <w:shd w:fill="auto" w:val="clear"/>
            <w:tcMar>
              <w:top w:w="0" w:type="dxa"/>
              <w:bottom w:w="0" w:type="dxa"/>
              <w:right w:w="0" w:type="dxa"/>
            </w:tcMar>
            <w:vAlign w:val="center"/>
          </w:tcPr>
          <w:p>
            <w:pPr>
              <w:pStyle w:val="TableContents"/>
              <w:spacing w:lineRule="auto" w:line="268" w:before="0" w:after="2"/>
              <w:jc w:val="left"/>
              <w:rPr>
                <w:rFonts w:ascii="Times New Roman;sans-serif" w:hAnsi="Times New Roman;sans-serif"/>
                <w:b/>
                <w:color w:val="000000"/>
                <w:sz w:val="19"/>
              </w:rPr>
            </w:pPr>
            <w:r>
              <w:rPr>
                <w:rFonts w:ascii="Times New Roman;sans-serif" w:hAnsi="Times New Roman;sans-serif"/>
                <w:b/>
                <w:color w:val="000000"/>
                <w:sz w:val="19"/>
              </w:rPr>
              <w:t>Adhoc Allowance</w:t>
            </w:r>
          </w:p>
        </w:tc>
        <w:tc>
          <w:tcPr>
            <w:tcW w:w="1081" w:type="dxa"/>
            <w:gridSpan w:val="3"/>
            <w:tcBorders>
              <w:left w:val="single" w:sz="8" w:space="0" w:color="000000"/>
              <w:right w:val="single" w:sz="8" w:space="0" w:color="000000"/>
            </w:tcBorders>
            <w:shd w:fill="auto" w:val="clear"/>
            <w:tcMar>
              <w:top w:w="0" w:type="dxa"/>
              <w:bottom w:w="0" w:type="dxa"/>
            </w:tcMar>
            <w:vAlign w:val="center"/>
          </w:tcPr>
          <w:p>
            <w:pPr>
              <w:pStyle w:val="TableContents"/>
              <w:spacing w:lineRule="auto" w:line="268" w:before="0" w:after="2"/>
              <w:jc w:val="right"/>
              <w:rPr>
                <w:rFonts w:ascii="Times New Roman;sans-serif" w:hAnsi="Times New Roman;sans-serif"/>
                <w:b w:val="false"/>
                <w:color w:val="000000"/>
                <w:sz w:val="19"/>
              </w:rPr>
            </w:pPr>
            <w:r>
              <w:rPr>
                <w:rFonts w:ascii="Times New Roman;sans-serif" w:hAnsi="Times New Roman;sans-serif"/>
                <w:b w:val="false"/>
                <w:color w:val="000000"/>
                <w:sz w:val="19"/>
              </w:rPr>
              <w:t>7,579,744</w:t>
            </w:r>
          </w:p>
        </w:tc>
      </w:tr>
      <w:tr>
        <w:trPr/>
        <w:tc>
          <w:tcPr>
            <w:tcW w:w="3159"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left w:val="single" w:sz="8" w:space="0" w:color="000000"/>
              <w:right w:val="single" w:sz="8" w:space="0" w:color="000000"/>
            </w:tcBorders>
            <w:shd w:fill="auto" w:val="clear"/>
            <w:tcMar>
              <w:top w:w="0" w:type="dxa"/>
              <w:bottom w:w="0" w:type="dxa"/>
            </w:tcMar>
            <w:vAlign w:val="center"/>
          </w:tcPr>
          <w:p>
            <w:pPr>
              <w:pStyle w:val="TableContents"/>
              <w:spacing w:before="0" w:after="283"/>
              <w:rPr>
                <w:sz w:val="4"/>
                <w:szCs w:val="4"/>
              </w:rPr>
            </w:pPr>
            <w:r>
              <w:rPr>
                <w:sz w:val="4"/>
                <w:szCs w:val="4"/>
              </w:rPr>
            </w:r>
          </w:p>
        </w:tc>
      </w:tr>
      <w:tr>
        <w:trPr/>
        <w:tc>
          <w:tcPr>
            <w:tcW w:w="3159" w:type="dxa"/>
            <w:gridSpan w:val="3"/>
            <w:tcBorders>
              <w:left w:val="single" w:sz="8" w:space="0" w:color="000000"/>
            </w:tcBorders>
            <w:shd w:fill="auto" w:val="clear"/>
            <w:tcMar>
              <w:top w:w="0" w:type="dxa"/>
              <w:bottom w:w="0" w:type="dxa"/>
              <w:right w:w="0" w:type="dxa"/>
            </w:tcMar>
            <w:vAlign w:val="center"/>
          </w:tcPr>
          <w:p>
            <w:pPr>
              <w:pStyle w:val="TableContents"/>
              <w:spacing w:lineRule="auto" w:line="268" w:before="0" w:after="2"/>
              <w:jc w:val="left"/>
              <w:rPr>
                <w:rFonts w:ascii="Times New Roman;sans-serif" w:hAnsi="Times New Roman;sans-serif"/>
                <w:b/>
                <w:color w:val="000000"/>
                <w:sz w:val="19"/>
              </w:rPr>
            </w:pPr>
            <w:r>
              <w:rPr>
                <w:rFonts w:ascii="Times New Roman;sans-serif" w:hAnsi="Times New Roman;sans-serif"/>
                <w:b/>
                <w:color w:val="000000"/>
                <w:sz w:val="19"/>
              </w:rPr>
              <w:t>Business Related Expenses</w:t>
            </w:r>
          </w:p>
        </w:tc>
        <w:tc>
          <w:tcPr>
            <w:tcW w:w="1081" w:type="dxa"/>
            <w:gridSpan w:val="3"/>
            <w:tcBorders>
              <w:left w:val="single" w:sz="8" w:space="0" w:color="000000"/>
              <w:right w:val="single" w:sz="8" w:space="0" w:color="000000"/>
            </w:tcBorders>
            <w:shd w:fill="auto" w:val="clear"/>
            <w:tcMar>
              <w:top w:w="0" w:type="dxa"/>
              <w:bottom w:w="0" w:type="dxa"/>
            </w:tcMar>
            <w:vAlign w:val="center"/>
          </w:tcPr>
          <w:p>
            <w:pPr>
              <w:pStyle w:val="TableContents"/>
              <w:spacing w:before="0" w:after="283"/>
              <w:rPr>
                <w:sz w:val="4"/>
                <w:szCs w:val="4"/>
              </w:rPr>
            </w:pPr>
            <w:r>
              <w:rPr>
                <w:sz w:val="4"/>
                <w:szCs w:val="4"/>
              </w:rPr>
            </w:r>
          </w:p>
        </w:tc>
      </w:tr>
      <w:tr>
        <w:trPr/>
        <w:tc>
          <w:tcPr>
            <w:tcW w:w="3159" w:type="dxa"/>
            <w:gridSpan w:val="3"/>
            <w:tcBorders>
              <w:left w:val="single" w:sz="8" w:space="0" w:color="000000"/>
            </w:tcBorders>
            <w:shd w:fill="auto" w:val="clear"/>
            <w:tcMar>
              <w:top w:w="0" w:type="dxa"/>
              <w:bottom w:w="0" w:type="dxa"/>
              <w:right w:w="0" w:type="dxa"/>
            </w:tcMar>
            <w:vAlign w:val="center"/>
          </w:tcPr>
          <w:p>
            <w:pPr>
              <w:pStyle w:val="TableContents"/>
              <w:spacing w:lineRule="auto" w:line="268" w:before="0" w:after="2"/>
              <w:ind w:left="0" w:right="0" w:firstLine="190"/>
              <w:jc w:val="left"/>
              <w:rPr>
                <w:rFonts w:ascii="Times New Roman;sans-serif" w:hAnsi="Times New Roman;sans-serif"/>
                <w:b w:val="false"/>
                <w:color w:val="000000"/>
                <w:sz w:val="19"/>
              </w:rPr>
            </w:pPr>
            <w:r>
              <w:rPr>
                <w:rFonts w:ascii="Times New Roman;sans-serif" w:hAnsi="Times New Roman;sans-serif"/>
                <w:b w:val="false"/>
                <w:color w:val="000000"/>
                <w:sz w:val="19"/>
              </w:rPr>
              <w:t>Vehicle Running and Maintenance</w:t>
            </w:r>
          </w:p>
        </w:tc>
        <w:tc>
          <w:tcPr>
            <w:tcW w:w="1081" w:type="dxa"/>
            <w:gridSpan w:val="3"/>
            <w:tcBorders>
              <w:left w:val="single" w:sz="8" w:space="0" w:color="000000"/>
              <w:right w:val="single" w:sz="8" w:space="0" w:color="000000"/>
            </w:tcBorders>
            <w:shd w:fill="auto" w:val="clear"/>
            <w:tcMar>
              <w:top w:w="0" w:type="dxa"/>
              <w:bottom w:w="0" w:type="dxa"/>
            </w:tcMar>
            <w:vAlign w:val="center"/>
          </w:tcPr>
          <w:p>
            <w:pPr>
              <w:pStyle w:val="TableContents"/>
              <w:spacing w:lineRule="auto" w:line="268" w:before="0" w:after="2"/>
              <w:jc w:val="right"/>
              <w:rPr>
                <w:rFonts w:ascii="Times New Roman;sans-serif" w:hAnsi="Times New Roman;sans-serif"/>
                <w:b w:val="false"/>
                <w:color w:val="000000"/>
                <w:sz w:val="19"/>
              </w:rPr>
            </w:pPr>
            <w:r>
              <w:rPr>
                <w:rFonts w:ascii="Times New Roman;sans-serif" w:hAnsi="Times New Roman;sans-serif"/>
                <w:b w:val="false"/>
                <w:color w:val="000000"/>
                <w:sz w:val="19"/>
              </w:rPr>
              <w:t>222,000</w:t>
            </w:r>
          </w:p>
        </w:tc>
      </w:tr>
      <w:tr>
        <w:trPr/>
        <w:tc>
          <w:tcPr>
            <w:tcW w:w="3159" w:type="dxa"/>
            <w:gridSpan w:val="3"/>
            <w:tcBorders>
              <w:left w:val="single" w:sz="8" w:space="0" w:color="000000"/>
            </w:tcBorders>
            <w:shd w:fill="auto" w:val="clear"/>
            <w:tcMar>
              <w:top w:w="0" w:type="dxa"/>
              <w:bottom w:w="0" w:type="dxa"/>
              <w:right w:w="0" w:type="dxa"/>
            </w:tcMar>
            <w:vAlign w:val="center"/>
          </w:tcPr>
          <w:p>
            <w:pPr>
              <w:pStyle w:val="TableContents"/>
              <w:spacing w:lineRule="auto" w:line="268" w:before="0" w:after="2"/>
              <w:ind w:left="0" w:right="0" w:firstLine="190"/>
              <w:jc w:val="left"/>
              <w:rPr>
                <w:rFonts w:ascii="Times New Roman;sans-serif" w:hAnsi="Times New Roman;sans-serif"/>
                <w:b w:val="false"/>
                <w:color w:val="000000"/>
                <w:sz w:val="19"/>
              </w:rPr>
            </w:pPr>
            <w:r>
              <w:rPr>
                <w:rFonts w:ascii="Times New Roman;sans-serif" w:hAnsi="Times New Roman;sans-serif"/>
                <w:b w:val="false"/>
                <w:color w:val="000000"/>
                <w:sz w:val="19"/>
              </w:rPr>
              <w:t>Driver Wages Reimbursement</w:t>
            </w:r>
          </w:p>
        </w:tc>
        <w:tc>
          <w:tcPr>
            <w:tcW w:w="1081" w:type="dxa"/>
            <w:gridSpan w:val="3"/>
            <w:tcBorders>
              <w:left w:val="single" w:sz="8" w:space="0" w:color="000000"/>
              <w:right w:val="single" w:sz="8" w:space="0" w:color="000000"/>
            </w:tcBorders>
            <w:shd w:fill="auto" w:val="clear"/>
            <w:tcMar>
              <w:top w:w="0" w:type="dxa"/>
              <w:bottom w:w="0" w:type="dxa"/>
            </w:tcMar>
            <w:vAlign w:val="center"/>
          </w:tcPr>
          <w:p>
            <w:pPr>
              <w:pStyle w:val="TableContents"/>
              <w:spacing w:lineRule="auto" w:line="268" w:before="0" w:after="2"/>
              <w:jc w:val="right"/>
              <w:rPr>
                <w:rFonts w:ascii="Times New Roman;sans-serif" w:hAnsi="Times New Roman;sans-serif"/>
                <w:b w:val="false"/>
                <w:color w:val="000000"/>
                <w:sz w:val="19"/>
              </w:rPr>
            </w:pPr>
            <w:r>
              <w:rPr>
                <w:rFonts w:ascii="Times New Roman;sans-serif" w:hAnsi="Times New Roman;sans-serif"/>
                <w:b w:val="false"/>
                <w:color w:val="000000"/>
                <w:sz w:val="19"/>
              </w:rPr>
              <w:t>180,000</w:t>
            </w:r>
          </w:p>
        </w:tc>
      </w:tr>
      <w:tr>
        <w:trPr/>
        <w:tc>
          <w:tcPr>
            <w:tcW w:w="3159" w:type="dxa"/>
            <w:gridSpan w:val="3"/>
            <w:tcBorders>
              <w:left w:val="single" w:sz="8" w:space="0" w:color="000000"/>
            </w:tcBorders>
            <w:shd w:fill="auto" w:val="clear"/>
            <w:tcMar>
              <w:top w:w="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1" w:type="dxa"/>
            <w:gridSpan w:val="3"/>
            <w:tcBorders>
              <w:left w:val="single" w:sz="8" w:space="0" w:color="000000"/>
              <w:right w:val="single" w:sz="8" w:space="0" w:color="000000"/>
            </w:tcBorders>
            <w:shd w:fill="auto" w:val="clear"/>
            <w:tcMar>
              <w:top w:w="0" w:type="dxa"/>
              <w:bottom w:w="0" w:type="dxa"/>
            </w:tcMar>
            <w:vAlign w:val="center"/>
          </w:tcPr>
          <w:p>
            <w:pPr>
              <w:pStyle w:val="TableContents"/>
              <w:spacing w:before="0" w:after="283"/>
              <w:rPr>
                <w:sz w:val="4"/>
                <w:szCs w:val="4"/>
              </w:rPr>
            </w:pPr>
            <w:r>
              <w:rPr>
                <w:sz w:val="4"/>
                <w:szCs w:val="4"/>
              </w:rPr>
            </w:r>
          </w:p>
        </w:tc>
      </w:tr>
      <w:tr>
        <w:trPr/>
        <w:tc>
          <w:tcPr>
            <w:tcW w:w="3159" w:type="dxa"/>
            <w:gridSpan w:val="3"/>
            <w:tcBorders>
              <w:left w:val="single" w:sz="8" w:space="0" w:color="000000"/>
            </w:tcBorders>
            <w:shd w:fill="auto" w:val="clear"/>
            <w:tcMar>
              <w:top w:w="0" w:type="dxa"/>
              <w:bottom w:w="0" w:type="dxa"/>
              <w:right w:w="0" w:type="dxa"/>
            </w:tcMar>
            <w:vAlign w:val="center"/>
          </w:tcPr>
          <w:p>
            <w:pPr>
              <w:pStyle w:val="TableContents"/>
              <w:spacing w:lineRule="auto" w:line="268" w:before="0" w:after="2"/>
              <w:jc w:val="left"/>
              <w:rPr>
                <w:rFonts w:ascii="Times New Roman;sans-serif" w:hAnsi="Times New Roman;sans-serif"/>
                <w:b/>
                <w:color w:val="000000"/>
                <w:sz w:val="19"/>
              </w:rPr>
            </w:pPr>
            <w:r>
              <w:rPr>
                <w:rFonts w:ascii="Times New Roman;sans-serif" w:hAnsi="Times New Roman;sans-serif"/>
                <w:b/>
                <w:color w:val="000000"/>
                <w:sz w:val="19"/>
              </w:rPr>
              <w:t>Company Car</w:t>
            </w:r>
          </w:p>
        </w:tc>
        <w:tc>
          <w:tcPr>
            <w:tcW w:w="1081" w:type="dxa"/>
            <w:gridSpan w:val="3"/>
            <w:tcBorders>
              <w:left w:val="single" w:sz="8" w:space="0" w:color="000000"/>
              <w:right w:val="single" w:sz="8" w:space="0" w:color="000000"/>
            </w:tcBorders>
            <w:shd w:fill="auto" w:val="clear"/>
            <w:tcMar>
              <w:top w:w="0" w:type="dxa"/>
              <w:bottom w:w="0" w:type="dxa"/>
            </w:tcMar>
            <w:vAlign w:val="center"/>
          </w:tcPr>
          <w:p>
            <w:pPr>
              <w:pStyle w:val="TableContents"/>
              <w:spacing w:lineRule="auto" w:line="268" w:before="0" w:after="2"/>
              <w:jc w:val="right"/>
              <w:rPr>
                <w:rFonts w:ascii="Times New Roman;sans-serif" w:hAnsi="Times New Roman;sans-serif"/>
                <w:b w:val="false"/>
                <w:color w:val="000000"/>
                <w:sz w:val="19"/>
              </w:rPr>
            </w:pPr>
            <w:r>
              <w:rPr>
                <w:rFonts w:ascii="Times New Roman;sans-serif" w:hAnsi="Times New Roman;sans-serif"/>
                <w:b w:val="false"/>
                <w:color w:val="000000"/>
                <w:sz w:val="19"/>
              </w:rPr>
              <w:t>1,500,000</w:t>
            </w:r>
          </w:p>
        </w:tc>
      </w:tr>
      <w:tr>
        <w:trPr/>
        <w:tc>
          <w:tcPr>
            <w:tcW w:w="3159"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left w:val="single" w:sz="8" w:space="0" w:color="000000"/>
              <w:right w:val="single" w:sz="8" w:space="0" w:color="000000"/>
            </w:tcBorders>
            <w:shd w:fill="auto" w:val="clear"/>
            <w:tcMar>
              <w:top w:w="0" w:type="dxa"/>
              <w:bottom w:w="0" w:type="dxa"/>
            </w:tcMar>
            <w:vAlign w:val="center"/>
          </w:tcPr>
          <w:p>
            <w:pPr>
              <w:pStyle w:val="TableContents"/>
              <w:spacing w:before="0" w:after="283"/>
              <w:rPr>
                <w:sz w:val="4"/>
                <w:szCs w:val="4"/>
              </w:rPr>
            </w:pPr>
            <w:r>
              <w:rPr>
                <w:sz w:val="4"/>
                <w:szCs w:val="4"/>
              </w:rPr>
            </w:r>
          </w:p>
        </w:tc>
      </w:tr>
      <w:tr>
        <w:trPr/>
        <w:tc>
          <w:tcPr>
            <w:tcW w:w="3159" w:type="dxa"/>
            <w:gridSpan w:val="3"/>
            <w:tcBorders>
              <w:left w:val="single" w:sz="8" w:space="0" w:color="000000"/>
            </w:tcBorders>
            <w:shd w:fill="auto" w:val="clear"/>
            <w:tcMar>
              <w:top w:w="0" w:type="dxa"/>
              <w:bottom w:w="0" w:type="dxa"/>
              <w:right w:w="0" w:type="dxa"/>
            </w:tcMar>
            <w:vAlign w:val="center"/>
          </w:tcPr>
          <w:p>
            <w:pPr>
              <w:pStyle w:val="TableContents"/>
              <w:spacing w:lineRule="auto" w:line="268" w:before="0" w:after="2"/>
              <w:jc w:val="left"/>
              <w:rPr>
                <w:rFonts w:ascii="Times New Roman;sans-serif" w:hAnsi="Times New Roman;sans-serif"/>
                <w:b/>
                <w:color w:val="000000"/>
                <w:sz w:val="19"/>
              </w:rPr>
            </w:pPr>
            <w:r>
              <w:rPr>
                <w:rFonts w:ascii="Times New Roman;sans-serif" w:hAnsi="Times New Roman;sans-serif"/>
                <w:b/>
                <w:color w:val="000000"/>
                <w:sz w:val="19"/>
              </w:rPr>
              <w:t>Retirals</w:t>
            </w:r>
          </w:p>
        </w:tc>
        <w:tc>
          <w:tcPr>
            <w:tcW w:w="1081" w:type="dxa"/>
            <w:gridSpan w:val="3"/>
            <w:tcBorders>
              <w:left w:val="single" w:sz="8" w:space="0" w:color="000000"/>
              <w:right w:val="single" w:sz="8" w:space="0" w:color="000000"/>
            </w:tcBorders>
            <w:shd w:fill="auto" w:val="clear"/>
            <w:tcMar>
              <w:top w:w="0" w:type="dxa"/>
              <w:bottom w:w="0" w:type="dxa"/>
            </w:tcMar>
            <w:vAlign w:val="center"/>
          </w:tcPr>
          <w:p>
            <w:pPr>
              <w:pStyle w:val="TableContents"/>
              <w:spacing w:before="0" w:after="283"/>
              <w:rPr>
                <w:sz w:val="4"/>
                <w:szCs w:val="4"/>
              </w:rPr>
            </w:pPr>
            <w:r>
              <w:rPr>
                <w:sz w:val="4"/>
                <w:szCs w:val="4"/>
              </w:rPr>
            </w:r>
          </w:p>
        </w:tc>
      </w:tr>
      <w:tr>
        <w:trPr/>
        <w:tc>
          <w:tcPr>
            <w:tcW w:w="3159" w:type="dxa"/>
            <w:gridSpan w:val="3"/>
            <w:tcBorders>
              <w:left w:val="single" w:sz="8" w:space="0" w:color="000000"/>
            </w:tcBorders>
            <w:shd w:fill="auto" w:val="clear"/>
            <w:tcMar>
              <w:top w:w="0" w:type="dxa"/>
              <w:bottom w:w="0" w:type="dxa"/>
              <w:right w:w="0" w:type="dxa"/>
            </w:tcMar>
            <w:vAlign w:val="center"/>
          </w:tcPr>
          <w:p>
            <w:pPr>
              <w:pStyle w:val="TableContents"/>
              <w:spacing w:lineRule="auto" w:line="268" w:before="0" w:after="2"/>
              <w:ind w:left="0" w:right="0" w:firstLine="190"/>
              <w:jc w:val="left"/>
              <w:rPr>
                <w:rFonts w:ascii="Times New Roman;sans-serif" w:hAnsi="Times New Roman;sans-serif"/>
                <w:b w:val="false"/>
                <w:color w:val="000000"/>
                <w:sz w:val="19"/>
              </w:rPr>
            </w:pPr>
            <w:r>
              <w:rPr>
                <w:rFonts w:ascii="Times New Roman;sans-serif" w:hAnsi="Times New Roman;sans-serif"/>
                <w:b w:val="false"/>
                <w:color w:val="000000"/>
                <w:sz w:val="19"/>
              </w:rPr>
              <w:t>Employer Provident Fund</w:t>
            </w:r>
          </w:p>
        </w:tc>
        <w:tc>
          <w:tcPr>
            <w:tcW w:w="1081" w:type="dxa"/>
            <w:gridSpan w:val="3"/>
            <w:tcBorders>
              <w:left w:val="single" w:sz="8" w:space="0" w:color="000000"/>
              <w:right w:val="single" w:sz="8" w:space="0" w:color="000000"/>
            </w:tcBorders>
            <w:shd w:fill="auto" w:val="clear"/>
            <w:tcMar>
              <w:top w:w="0" w:type="dxa"/>
              <w:bottom w:w="0" w:type="dxa"/>
            </w:tcMar>
            <w:vAlign w:val="center"/>
          </w:tcPr>
          <w:p>
            <w:pPr>
              <w:pStyle w:val="TableContents"/>
              <w:spacing w:lineRule="auto" w:line="268" w:before="0" w:after="2"/>
              <w:jc w:val="right"/>
              <w:rPr>
                <w:rFonts w:ascii="Times New Roman;sans-serif" w:hAnsi="Times New Roman;sans-serif"/>
                <w:b w:val="false"/>
                <w:color w:val="000000"/>
                <w:sz w:val="19"/>
              </w:rPr>
            </w:pPr>
            <w:r>
              <w:rPr>
                <w:rFonts w:ascii="Times New Roman;sans-serif" w:hAnsi="Times New Roman;sans-serif"/>
                <w:b w:val="false"/>
                <w:color w:val="000000"/>
                <w:sz w:val="19"/>
              </w:rPr>
              <w:t>1,029,000</w:t>
            </w:r>
          </w:p>
        </w:tc>
      </w:tr>
      <w:tr>
        <w:trPr/>
        <w:tc>
          <w:tcPr>
            <w:tcW w:w="3159" w:type="dxa"/>
            <w:gridSpan w:val="3"/>
            <w:tcBorders>
              <w:left w:val="single" w:sz="8" w:space="0" w:color="000000"/>
            </w:tcBorders>
            <w:shd w:fill="auto" w:val="clear"/>
            <w:tcMar>
              <w:top w:w="0" w:type="dxa"/>
              <w:bottom w:w="0" w:type="dxa"/>
              <w:right w:w="0" w:type="dxa"/>
            </w:tcMar>
            <w:vAlign w:val="center"/>
          </w:tcPr>
          <w:p>
            <w:pPr>
              <w:pStyle w:val="TableContents"/>
              <w:spacing w:lineRule="auto" w:line="268" w:before="0" w:after="2"/>
              <w:ind w:left="0" w:right="0" w:firstLine="190"/>
              <w:jc w:val="left"/>
              <w:rPr>
                <w:rFonts w:ascii="Times New Roman;sans-serif" w:hAnsi="Times New Roman;sans-serif"/>
                <w:b w:val="false"/>
                <w:color w:val="000000"/>
                <w:sz w:val="19"/>
              </w:rPr>
            </w:pPr>
            <w:r>
              <w:rPr>
                <w:rFonts w:ascii="Times New Roman;sans-serif" w:hAnsi="Times New Roman;sans-serif"/>
                <w:b w:val="false"/>
                <w:color w:val="000000"/>
                <w:sz w:val="19"/>
              </w:rPr>
              <w:t>Gratuity*</w:t>
            </w:r>
          </w:p>
        </w:tc>
        <w:tc>
          <w:tcPr>
            <w:tcW w:w="1081" w:type="dxa"/>
            <w:gridSpan w:val="3"/>
            <w:tcBorders>
              <w:left w:val="single" w:sz="8" w:space="0" w:color="000000"/>
              <w:right w:val="single" w:sz="8" w:space="0" w:color="000000"/>
            </w:tcBorders>
            <w:shd w:fill="auto" w:val="clear"/>
            <w:tcMar>
              <w:top w:w="0" w:type="dxa"/>
              <w:bottom w:w="0" w:type="dxa"/>
            </w:tcMar>
            <w:vAlign w:val="center"/>
          </w:tcPr>
          <w:p>
            <w:pPr>
              <w:pStyle w:val="TableContents"/>
              <w:spacing w:lineRule="auto" w:line="268" w:before="0" w:after="2"/>
              <w:jc w:val="right"/>
              <w:rPr>
                <w:rFonts w:ascii="Times New Roman;sans-serif" w:hAnsi="Times New Roman;sans-serif"/>
                <w:b w:val="false"/>
                <w:color w:val="000000"/>
                <w:sz w:val="19"/>
              </w:rPr>
            </w:pPr>
            <w:r>
              <w:rPr>
                <w:rFonts w:ascii="Times New Roman;sans-serif" w:hAnsi="Times New Roman;sans-serif"/>
                <w:b w:val="false"/>
                <w:color w:val="000000"/>
                <w:sz w:val="19"/>
              </w:rPr>
              <w:t>412,458</w:t>
            </w:r>
          </w:p>
        </w:tc>
      </w:tr>
      <w:tr>
        <w:trPr/>
        <w:tc>
          <w:tcPr>
            <w:tcW w:w="3159"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left w:val="single" w:sz="8" w:space="0" w:color="000000"/>
              <w:right w:val="single" w:sz="8" w:space="0" w:color="000000"/>
            </w:tcBorders>
            <w:shd w:fill="auto" w:val="clear"/>
            <w:tcMar>
              <w:top w:w="0" w:type="dxa"/>
              <w:bottom w:w="0" w:type="dxa"/>
            </w:tcMar>
            <w:vAlign w:val="center"/>
          </w:tcPr>
          <w:p>
            <w:pPr>
              <w:pStyle w:val="TableContents"/>
              <w:spacing w:before="0" w:after="283"/>
              <w:rPr>
                <w:sz w:val="4"/>
                <w:szCs w:val="4"/>
              </w:rPr>
            </w:pPr>
            <w:r>
              <w:rPr>
                <w:sz w:val="4"/>
                <w:szCs w:val="4"/>
              </w:rPr>
            </w:r>
          </w:p>
        </w:tc>
      </w:tr>
      <w:tr>
        <w:trPr/>
        <w:tc>
          <w:tcPr>
            <w:tcW w:w="3159" w:type="dxa"/>
            <w:gridSpan w:val="3"/>
            <w:tcBorders>
              <w:left w:val="single" w:sz="8" w:space="0" w:color="000000"/>
              <w:bottom w:val="single" w:sz="8" w:space="0" w:color="000000"/>
            </w:tcBorders>
            <w:shd w:fill="auto" w:val="clear"/>
            <w:tcMar>
              <w:top w:w="0" w:type="dxa"/>
              <w:bottom w:w="30" w:type="dxa"/>
              <w:right w:w="0" w:type="dxa"/>
            </w:tcMar>
            <w:vAlign w:val="center"/>
          </w:tcPr>
          <w:p>
            <w:pPr>
              <w:pStyle w:val="TableContents"/>
              <w:spacing w:lineRule="auto" w:line="268" w:before="0" w:after="2"/>
              <w:jc w:val="left"/>
              <w:rPr>
                <w:rFonts w:ascii="Times New Roman;sans-serif" w:hAnsi="Times New Roman;sans-serif"/>
                <w:b/>
                <w:color w:val="000000"/>
                <w:sz w:val="19"/>
              </w:rPr>
            </w:pPr>
            <w:r>
              <w:rPr>
                <w:rFonts w:ascii="Times New Roman;sans-serif" w:hAnsi="Times New Roman;sans-serif"/>
                <w:b/>
                <w:color w:val="000000"/>
                <w:sz w:val="19"/>
              </w:rPr>
              <w:t>Fixed Compensation</w:t>
            </w:r>
          </w:p>
        </w:tc>
        <w:tc>
          <w:tcPr>
            <w:tcW w:w="1081" w:type="dxa"/>
            <w:gridSpan w:val="3"/>
            <w:tcBorders>
              <w:left w:val="single" w:sz="8" w:space="0" w:color="000000"/>
              <w:bottom w:val="single" w:sz="8" w:space="0" w:color="000000"/>
              <w:right w:val="single" w:sz="8" w:space="0" w:color="000000"/>
            </w:tcBorders>
            <w:shd w:fill="auto" w:val="clear"/>
            <w:tcMar>
              <w:top w:w="0" w:type="dxa"/>
              <w:bottom w:w="30" w:type="dxa"/>
            </w:tcMar>
            <w:vAlign w:val="center"/>
          </w:tcPr>
          <w:p>
            <w:pPr>
              <w:pStyle w:val="TableContents"/>
              <w:spacing w:lineRule="auto" w:line="268" w:before="0" w:after="2"/>
              <w:jc w:val="right"/>
              <w:rPr>
                <w:rFonts w:ascii="Times New Roman;sans-serif" w:hAnsi="Times New Roman;sans-serif"/>
                <w:b w:val="false"/>
                <w:color w:val="000000"/>
                <w:sz w:val="19"/>
              </w:rPr>
            </w:pPr>
            <w:r>
              <w:rPr>
                <w:rFonts w:ascii="Times New Roman;sans-serif" w:hAnsi="Times New Roman;sans-serif"/>
                <w:b w:val="false"/>
                <w:color w:val="000000"/>
                <w:sz w:val="19"/>
              </w:rPr>
              <w:t>24,500,000</w:t>
            </w:r>
          </w:p>
        </w:tc>
      </w:tr>
    </w:tbl>
    <w:p>
      <w:pPr>
        <w:pStyle w:val="TextBody"/>
        <w:spacing w:before="0" w:after="0"/>
        <w:rPr/>
      </w:pPr>
      <w:r>
        <w:rPr/>
      </w:r>
    </w:p>
    <w:p>
      <w:pPr>
        <w:pStyle w:val="TextBody"/>
        <w:spacing w:lineRule="auto" w:line="268" w:before="0" w:after="0"/>
        <w:rPr>
          <w:rFonts w:ascii="Times New Roman;sans-serif" w:hAnsi="Times New Roman;sans-serif"/>
          <w:b w:val="false"/>
          <w:color w:val="000000"/>
          <w:sz w:val="19"/>
        </w:rPr>
      </w:pPr>
      <w:r>
        <w:rPr>
          <w:rFonts w:ascii="Times New Roman;sans-serif" w:hAnsi="Times New Roman;sans-serif"/>
          <w:b w:val="false"/>
          <w:color w:val="000000"/>
          <w:sz w:val="19"/>
        </w:rPr>
        <w:t>*You shall be provided with benefits of Gratuity in accordance with the applicable Gratuity act 1972.</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302 CERTIFICATION</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 Rohit Kapoor, certify that:</w:t>
      </w:r>
    </w:p>
    <w:p>
      <w:pPr>
        <w:pStyle w:val="TextBody"/>
        <w:spacing w:lineRule="auto" w:line="288" w:before="24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of ExlService Holdings, Inc.;</w:t>
      </w:r>
    </w:p>
    <w:p>
      <w:pPr>
        <w:pStyle w:val="TextBody"/>
        <w:spacing w:lineRule="auto" w:line="288" w:before="24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240" w:after="283"/>
        <w:rPr/>
      </w:pPr>
      <w:r>
        <w:rPr/>
      </w:r>
    </w:p>
    <w:p>
      <w:pPr>
        <w:pStyle w:val="TextBody"/>
        <w:spacing w:lineRule="auto" w:line="288" w:before="0" w:after="0"/>
        <w:ind w:left="0" w:right="0" w:hanging="360"/>
        <w:rPr>
          <w:color w:val="000000"/>
        </w:rPr>
      </w:pPr>
      <w:r>
        <w:rPr>
          <w:color w:val="000000"/>
        </w:rPr>
        <w:t> </w:t>
      </w:r>
    </w:p>
    <w:p>
      <w:pPr>
        <w:pStyle w:val="TextBody"/>
        <w:spacing w:before="0" w:after="0"/>
        <w:rPr/>
      </w:pPr>
      <w:r>
        <w:rPr/>
      </w:r>
    </w:p>
    <w:tbl>
      <w:tblPr>
        <w:tblW w:w="5473" w:type="dxa"/>
        <w:jc w:val="left"/>
        <w:tblInd w:w="0" w:type="dxa"/>
        <w:tblCellMar>
          <w:top w:w="28" w:type="dxa"/>
          <w:left w:w="28" w:type="dxa"/>
          <w:bottom w:w="28" w:type="dxa"/>
          <w:right w:w="28" w:type="dxa"/>
        </w:tblCellMar>
      </w:tblPr>
      <w:tblGrid>
        <w:gridCol w:w="645"/>
        <w:gridCol w:w="568"/>
        <w:gridCol w:w="571"/>
        <w:gridCol w:w="1080"/>
        <w:gridCol w:w="1080"/>
        <w:gridCol w:w="1529"/>
      </w:tblGrid>
      <w:tr>
        <w:trPr/>
        <w:tc>
          <w:tcPr>
            <w:tcW w:w="645"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1529"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27, 2023</w:t>
            </w:r>
          </w:p>
        </w:tc>
        <w:tc>
          <w:tcPr>
            <w:tcW w:w="368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Rohit Kapoor</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Rohit Kapoor</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Vice-Chairman and 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302 CERTIFICATION</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 Maurizio Nicolelli, certify that:</w:t>
      </w:r>
    </w:p>
    <w:p>
      <w:pPr>
        <w:pStyle w:val="TextBody"/>
        <w:spacing w:lineRule="auto" w:line="288" w:before="0" w:after="0"/>
        <w:rPr>
          <w:color w:val="000000"/>
        </w:rPr>
      </w:pPr>
      <w:r>
        <w:rPr>
          <w:color w:val="000000"/>
        </w:rPr>
        <w:t> </w:t>
      </w:r>
    </w:p>
    <w:p>
      <w:pPr>
        <w:pStyle w:val="TextBody"/>
        <w:spacing w:lineRule="auto" w:line="288" w:before="24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of ExlService Holdings, Inc.;</w:t>
      </w:r>
    </w:p>
    <w:p>
      <w:pPr>
        <w:pStyle w:val="TextBody"/>
        <w:spacing w:lineRule="auto" w:line="288" w:before="24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240" w:after="283"/>
        <w:rPr/>
      </w:pPr>
      <w:r>
        <w:rPr/>
      </w:r>
    </w:p>
    <w:tbl>
      <w:tblPr>
        <w:tblW w:w="3794" w:type="dxa"/>
        <w:jc w:val="left"/>
        <w:tblInd w:w="0" w:type="dxa"/>
        <w:tblCellMar>
          <w:top w:w="28" w:type="dxa"/>
          <w:left w:w="28" w:type="dxa"/>
          <w:bottom w:w="28" w:type="dxa"/>
          <w:right w:w="28" w:type="dxa"/>
        </w:tblCellMar>
      </w:tblPr>
      <w:tblGrid>
        <w:gridCol w:w="645"/>
        <w:gridCol w:w="568"/>
        <w:gridCol w:w="571"/>
        <w:gridCol w:w="589"/>
        <w:gridCol w:w="589"/>
        <w:gridCol w:w="832"/>
      </w:tblGrid>
      <w:tr>
        <w:trPr/>
        <w:tc>
          <w:tcPr>
            <w:tcW w:w="645"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27, 2023</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Maurizio Nicolelli</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Maurizio Nicolelli</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ExlService Holdings, Inc. (the “Company”) on Form 10-Q for the period ended March 31, 2023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pStyle w:val="TextBody"/>
        <w:spacing w:lineRule="auto" w:line="288" w:before="0" w:after="0"/>
        <w:rPr>
          <w:color w:val="000000"/>
        </w:rPr>
      </w:pPr>
      <w:r>
        <w:rPr>
          <w:color w:val="000000"/>
        </w:rPr>
        <w:t> </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(a)the Report fully complies with the requirements of section 13(a) or 15(d) of the Securities Exchange Act of 1934; and</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(b)the information contained in the Report fairly presents, in all material respects, the financial condition and results of operations of the Company.</w:t>
      </w:r>
    </w:p>
    <w:tbl>
      <w:tblPr>
        <w:tblW w:w="4032" w:type="dxa"/>
        <w:jc w:val="left"/>
        <w:tblInd w:w="0" w:type="dxa"/>
        <w:tblCellMar>
          <w:top w:w="28" w:type="dxa"/>
          <w:left w:w="28" w:type="dxa"/>
          <w:bottom w:w="28" w:type="dxa"/>
          <w:right w:w="28" w:type="dxa"/>
        </w:tblCellMar>
      </w:tblPr>
      <w:tblGrid>
        <w:gridCol w:w="1324"/>
        <w:gridCol w:w="1163"/>
        <w:gridCol w:w="1173"/>
        <w:gridCol w:w="109"/>
        <w:gridCol w:w="109"/>
        <w:gridCol w:w="154"/>
      </w:tblGrid>
      <w:tr>
        <w:trPr/>
        <w:tc>
          <w:tcPr>
            <w:tcW w:w="1324"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Rohit Kapoor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Rohit Kapoor</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Vice-Chairman and 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ExlService Holdings, Inc. (the “Company”) on Form 10-Q for the period ended March 31, 2023 as filed with the Securities and Exchange Commission on the date hereof (the “Report”), I, Maurizio Nicolelli, Chief Financial Officer of the Company, certify, pursuant to 18 U.S.C. Section 1350, as adopted pursuant to Section 906 of the Sarbanes-Oxley Act of 2002, that: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(a)the Report fully complies with the requirements of section 13(a) or 15(d) of the Securities Exchange Act of 1934;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(b)the information contained in the Report fairly presents, in all material respects, the financial condition and results of operations of the Company.</w:t>
      </w:r>
    </w:p>
    <w:p>
      <w:pPr>
        <w:pStyle w:val="TextBody"/>
        <w:spacing w:lineRule="auto" w:line="288" w:before="0" w:after="0"/>
        <w:rPr>
          <w:color w:val="000000"/>
        </w:rPr>
      </w:pPr>
      <w:r>
        <w:rPr>
          <w:color w:val="000000"/>
        </w:rPr>
        <w:t> </w:t>
      </w:r>
    </w:p>
    <w:tbl>
      <w:tblPr>
        <w:tblW w:w="2351" w:type="dxa"/>
        <w:jc w:val="left"/>
        <w:tblInd w:w="0" w:type="dxa"/>
        <w:tblCellMar>
          <w:top w:w="28" w:type="dxa"/>
          <w:left w:w="28" w:type="dxa"/>
          <w:bottom w:w="28" w:type="dxa"/>
          <w:right w:w="28" w:type="dxa"/>
        </w:tblCellMar>
      </w:tblPr>
      <w:tblGrid>
        <w:gridCol w:w="716"/>
        <w:gridCol w:w="630"/>
        <w:gridCol w:w="633"/>
        <w:gridCol w:w="109"/>
        <w:gridCol w:w="109"/>
        <w:gridCol w:w="154"/>
      </w:tblGrid>
      <w:tr>
        <w:trPr/>
        <w:tc>
          <w:tcPr>
            <w:tcW w:w="716"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Maurizio Nicolelli</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Maurizio Nicolelli</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br w:type="page"/>
      </w: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297989/000119312506214684/dex31.htm" TargetMode="External"/><Relationship Id="rId3" Type="http://schemas.openxmlformats.org/officeDocument/2006/relationships/hyperlink" Target="http://www.sec.gov/Archives/edgar/data/1297989/000114420419031504/tv523830_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84</Pages>
  <Words>54661</Words>
  <CharactersWithSpaces>353287</CharactersWithSpaces>
  <Paragraphs>4145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