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2017</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0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8"/>
              </w:rPr>
              <w:t>280 PARK AVENUE, 38 TH FLOOR,</w:t>
            </w:r>
          </w:p>
        </w:tc>
        <w:tc>
          <w:tcPr>
            <w:tcW w:w="5100" w:type="dxa"/>
            <w:vAlign w:val="bottom"/>
          </w:tcPr>
          <w:p>
            <w:pPr>
              <w:spacing w:after="0"/>
              <w:rPr>
                <w:sz w:val="24"/>
                <w:szCs w:val="24"/>
                <w:color w:val="auto"/>
              </w:rPr>
            </w:pPr>
          </w:p>
        </w:tc>
      </w:t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0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640" w:type="dxa"/>
            <w:vAlign w:val="bottom"/>
          </w:tcPr>
          <w:p>
            <w:pPr>
              <w:spacing w:after="0"/>
              <w:rPr>
                <w:sz w:val="22"/>
                <w:szCs w:val="22"/>
                <w:color w:val="auto"/>
              </w:rPr>
            </w:pPr>
          </w:p>
        </w:tc>
        <w:tc>
          <w:tcPr>
            <w:tcW w:w="510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190"/>
        </w:trPr>
        <w:tc>
          <w:tcPr>
            <w:tcW w:w="264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34"/>
        </w:trPr>
        <w:tc>
          <w:tcPr>
            <w:tcW w:w="774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________________________________________________________</w:t>
            </w:r>
          </w:p>
        </w:tc>
      </w:tr>
    </w:tbl>
    <w:p>
      <w:pPr>
        <w:spacing w:after="0" w:line="44"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0400" w:type="dxa"/>
            <w:vAlign w:val="bottom"/>
            <w:gridSpan w:val="3"/>
          </w:tcPr>
          <w:p>
            <w:pPr>
              <w:spacing w:after="0"/>
              <w:rPr>
                <w:sz w:val="20"/>
                <w:szCs w:val="20"/>
                <w:color w:val="auto"/>
              </w:rPr>
            </w:pPr>
            <w:r>
              <w:rPr>
                <w:rFonts w:ascii="Arial" w:cs="Arial" w:eastAsia="Arial" w:hAnsi="Arial"/>
                <w:sz w:val="16"/>
                <w:szCs w:val="16"/>
                <w:color w:val="auto"/>
              </w:rPr>
              <w:t>“large accelerated filer,” “accelerated filer” and “smaller reporting company” in Rule 12b-2 of the Exchange Act. (Check one):</w:t>
            </w:r>
          </w:p>
        </w:tc>
        <w:tc>
          <w:tcPr>
            <w:tcW w:w="580" w:type="dxa"/>
            <w:vAlign w:val="bottom"/>
          </w:tcPr>
          <w:p>
            <w:pPr>
              <w:spacing w:after="0"/>
              <w:rPr>
                <w:sz w:val="17"/>
                <w:szCs w:val="17"/>
                <w:color w:val="auto"/>
              </w:rPr>
            </w:pPr>
          </w:p>
        </w:tc>
      </w:tr>
      <w:tr>
        <w:trPr>
          <w:trHeight w:val="383"/>
        </w:trPr>
        <w:tc>
          <w:tcPr>
            <w:tcW w:w="23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3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56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36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3" w:lineRule="exact"/>
        <w:rPr>
          <w:sz w:val="24"/>
          <w:szCs w:val="24"/>
          <w:color w:val="auto"/>
        </w:rPr>
      </w:pPr>
    </w:p>
    <w:p>
      <w:pPr>
        <w:jc w:val="both"/>
        <w:ind w:right="4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500"/>
        <w:spacing w:after="0" w:line="20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28, 2017, there were 33,675,134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920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1. Financial Information</w:t>
              </w:r>
            </w:hyperlink>
          </w:p>
        </w:tc>
        <w:tc>
          <w:tcPr>
            <w:tcW w:w="660" w:type="dxa"/>
            <w:vAlign w:val="bottom"/>
            <w:vMerge w:val="restart"/>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0" w:type="dxa"/>
            <w:vAlign w:val="bottom"/>
            <w:gridSpan w:val="20"/>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2017 (Unaudited) and December 31, 2016</w:t>
              </w:r>
            </w:hyperlink>
          </w:p>
        </w:tc>
        <w:tc>
          <w:tcPr>
            <w:tcW w:w="6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(Unaudited) for the Three months ended March 31, 2017 and 2016</w:t>
              </w:r>
            </w:hyperlink>
          </w:p>
        </w:tc>
        <w:tc>
          <w:tcPr>
            <w:tcW w:w="154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(Unaudited) for the Three months ended March 31, 2017 and 2016</w:t>
              </w:r>
            </w:hyperlink>
          </w:p>
        </w:tc>
        <w:tc>
          <w:tcPr>
            <w:tcW w:w="66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 for the Three months ended March 31, 2017 and 2016</w:t>
              </w:r>
            </w:hyperlink>
          </w:p>
        </w:tc>
        <w:tc>
          <w:tcPr>
            <w:tcW w:w="86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742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Part II. Other Information</w:t>
              </w:r>
            </w:hyperlink>
          </w:p>
        </w:tc>
        <w:tc>
          <w:tcPr>
            <w:tcW w:w="7340" w:type="dxa"/>
            <w:vAlign w:val="bottom"/>
            <w:gridSpan w:val="12"/>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44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90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2"/>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126,472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119,811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25,541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383,498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59,220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50,356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187,952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25,618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726,693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17,968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47,670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110,970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163,984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21)</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36,100,622 shares issued and 33,772,166 shares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80"/>
              <w:spacing w:after="0"/>
              <w:rPr>
                <w:sz w:val="20"/>
                <w:szCs w:val="20"/>
                <w:color w:val="auto"/>
              </w:rPr>
            </w:pPr>
            <w:r>
              <w:rPr>
                <w:rFonts w:ascii="Arial" w:cs="Arial" w:eastAsia="Arial" w:hAnsi="Arial"/>
                <w:sz w:val="16"/>
                <w:szCs w:val="16"/>
                <w:color w:val="auto"/>
                <w:w w:val="99"/>
              </w:rPr>
              <w:t>outstanding as of March 31, 2017 and 35,699,819 shares issued and 33,628,109 shares outstanding as of</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6"/>
                <w:szCs w:val="16"/>
                <w:color w:val="auto"/>
              </w:rPr>
              <w:t>December 31, 2016</w:t>
            </w:r>
          </w:p>
        </w:tc>
        <w:tc>
          <w:tcPr>
            <w:tcW w:w="240" w:type="dxa"/>
            <w:vAlign w:val="bottom"/>
          </w:tcPr>
          <w:p>
            <w:pPr>
              <w:spacing w:after="0"/>
              <w:rPr>
                <w:sz w:val="17"/>
                <w:szCs w:val="17"/>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296,792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394,964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634,779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Less: 2,328,456 shares as of March 31, 2017 and 2,071,710 shares as of December 31, 2016, held in treasury, at cost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562,504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562,709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726,693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00"/>
          </w:cols>
          <w:pgMar w:left="240" w:top="337" w:right="259" w:bottom="678"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678"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183,033</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167,036</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120,119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108,379</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62,914</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58,657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24,224</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13,362</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9,426</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47,012</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42,205</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16,452</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1,568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3,310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19,715</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3,560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16,788</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33,845,560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33,380,028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35,108,882</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34,351,657</w:t>
            </w: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Unrealized gain on effective cash flow hedges, net of taxes $1,951 and $403,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2,034</w:t>
            </w:r>
          </w:p>
        </w:tc>
      </w:tr>
      <w:tr>
        <w:trPr>
          <w:trHeight w:val="243"/>
        </w:trPr>
        <w:tc>
          <w:tcPr>
            <w:tcW w:w="8800" w:type="dxa"/>
            <w:vAlign w:val="bottom"/>
          </w:tcPr>
          <w:p>
            <w:pPr>
              <w:ind w:left="5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Retirement benefits, net of taxes nil and $5,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r>
        <w:trPr>
          <w:trHeight w:val="243"/>
        </w:trPr>
        <w:tc>
          <w:tcPr>
            <w:tcW w:w="8800" w:type="dxa"/>
            <w:vAlign w:val="bottom"/>
          </w:tcPr>
          <w:p>
            <w:pPr>
              <w:ind w:left="300"/>
              <w:spacing w:after="0"/>
              <w:rPr>
                <w:sz w:val="20"/>
                <w:szCs w:val="20"/>
                <w:color w:val="auto"/>
              </w:rPr>
            </w:pPr>
            <w:r>
              <w:rPr>
                <w:rFonts w:ascii="Arial" w:cs="Arial" w:eastAsia="Arial" w:hAnsi="Arial"/>
                <w:sz w:val="18"/>
                <w:szCs w:val="18"/>
                <w:color w:val="auto"/>
              </w:rPr>
              <w:t>Reclassification adjustments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color w:val="auto"/>
              </w:rPr>
              <w:t>Realized (gain) on cash flow hedges, net of taxes ($191) and ($25), respectively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800" w:type="dxa"/>
            <w:vAlign w:val="bottom"/>
            <w:tcBorders>
              <w:bottom w:val="single" w:sz="8" w:color="CCEEFF"/>
            </w:tcBorders>
          </w:tcPr>
          <w:p>
            <w:pPr>
              <w:ind w:left="580"/>
              <w:spacing w:after="0" w:line="270" w:lineRule="exact"/>
              <w:rPr>
                <w:sz w:val="20"/>
                <w:szCs w:val="20"/>
                <w:color w:val="auto"/>
              </w:rPr>
            </w:pPr>
            <w:r>
              <w:rPr>
                <w:rFonts w:ascii="Arial" w:cs="Arial" w:eastAsia="Arial" w:hAnsi="Arial"/>
                <w:sz w:val="18"/>
                <w:szCs w:val="18"/>
                <w:color w:val="auto"/>
              </w:rPr>
              <w:t>Retirement benefits, net of taxes $7 and $1, respectively</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64"/>
        </w:trPr>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34,832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17,058</w:t>
            </w: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right="22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 in the unaudited consolidated statements of income. See Note 13 to the unaudited consolidated financial statements.</w:t>
      </w:r>
    </w:p>
    <w:p>
      <w:pPr>
        <w:spacing w:after="0" w:line="1" w:lineRule="exact"/>
        <w:rPr>
          <w:rFonts w:ascii="Arial" w:cs="Arial" w:eastAsia="Arial" w:hAnsi="Arial"/>
          <w:sz w:val="16"/>
          <w:szCs w:val="16"/>
          <w:i w:val="1"/>
          <w:iCs w:val="1"/>
          <w:color w:val="auto"/>
        </w:rPr>
      </w:pPr>
    </w:p>
    <w:p>
      <w:pPr>
        <w:ind w:left="540" w:right="4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unaudited consolidated statements of income. See Note 16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16,788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13,820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9,426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8,133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foreign exchange loss/(gain)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2,334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by/(used for)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(101,327)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redemption of short-term investments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22,879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20,004</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(89,780)</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treasury stock</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1440" w:gutter="0" w:footer="0" w:header="0"/>
        </w:sectPr>
      </w:pPr>
    </w:p>
    <w:p>
      <w:pPr>
        <w:ind w:left="40"/>
        <w:spacing w:after="0"/>
        <w:rPr>
          <w:sz w:val="20"/>
          <w:szCs w:val="20"/>
          <w:color w:val="auto"/>
        </w:rPr>
      </w:pPr>
      <w:r>
        <w:rPr>
          <w:rFonts w:ascii="Arial" w:cs="Arial" w:eastAsia="Arial" w:hAnsi="Arial"/>
          <w:sz w:val="17"/>
          <w:szCs w:val="17"/>
          <w:color w:val="auto"/>
        </w:rPr>
        <w:t>Net decrease in cash and cash equivalents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(109,549)</w:t>
            </w:r>
          </w:p>
        </w:tc>
      </w:tr>
      <w:tr>
        <w:trPr>
          <w:trHeight w:val="270"/>
        </w:trPr>
        <w:tc>
          <w:tcPr>
            <w:tcW w:w="5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213,155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205,323</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91,700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95,774</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337"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ectPr>
          <w:pgSz w:w="11900" w:h="16838" w:orient="portrait"/>
          <w:cols w:equalWidth="0" w:num="1">
            <w:col w:w="11420"/>
          </w:cols>
          <w:pgMar w:left="240" w:top="337"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operates in the Business Process Management ("BPM") industry providing operations management services and analytics services that help businesses enhance growth and profitability. Using its proprietary platforms, methodologies and tools, the Company looks deeper to help its clients improve global operations, enhance data-driven insights, increase customer satisfaction, and manage risk and compliance. The Company’s clients are located principally in the U.S. and the U.K.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2016.</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the periods presented were insignificant and are included under general and administrative expenses in the unaudited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estimates to complete fixed price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Share-Based Compensation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The Company adopted this ASU effective January 1, 2017. The following summarizes the effects of the adoption on the Company's unaudited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Upon adoption of this standard, all excess tax benefits and tax deficiencies are recognized as income tax expense or benefit in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tax effects of exercised or vested awards are treated as discrete items in the reporting period in which they occur. The Company also recognizes excess tax benefits regardless of whether the benefit reduces taxes payable in the current period. As a result, the Company recognized discrete adjustments to income tax expense for the three months ended March 31, 2017, in the amount of $2,057, related to excess tax benefits. No adjustment is recorded for any windfall benefits previously recorded in APIC.</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Prior to adoption, share-based compensation expense was recognized on a straight line basis, net of estimated forfeitures, such that expense was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only for share-based awards that are expected to vest. A forfeiture rate was estimated annually and revised, if necessary, in subsequent periods if actual forfeitures differed from initial estimates. Upon adoption, the Company will no longer apply a forfeiture rate and instead will account for forfeitures as they occur. The Company has applied the modified retrospective adoption approach as of January 1, 2017 and has recognized a cumulative-effect adjustment to reduce additional paid-in-capital of $5,999 and retained earnings of $4,546 (net of deferred tax effect of $1,453).</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The Company historically accounted for excess tax benefits on the Statement of Cash Flows as a financing activity. Upon</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standard, excess tax benefits are classified along with other income tax cash flows as an operating activity. The Company has elected to adopt this portion of the standard on a prospective basis beginning in 2017 and accordingly prior periods have not been adjusted.</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 The Company uses the treasury stock method to compute diluted earnings per share, unless the effect would be anti-dilutive.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excluded the excess tax benefits from the assumed proceeds available to repurchase shares in the computation of diluted earnings per share.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Upon adoption, no other aspects of ASU 2016-09 had an effect on the Company's unaudited consolidated financial statements or related footnote disclosures.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2018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evaluating the impact of the standard update. The ultimate impact on revenue resulting from the application of the new standard will be subject to assessments that are dependent on many variables, including, but not limited to, the terms of the contractual arrangements and the mix of business. Upon adoption, we expect there to be a change in the manner that variable consideration in certain revenue arrangements is recognized from the current practice of recognizing such revenue as the services are performed and the variable consideration is earned to estimating the achievability of the variable conditions when we begin delivering services and recognizing that amount over the contractual period. The Company also expects a change in the manner that it recognizes certain incremental and fulfillment costs from expensing them as incurred to deferring and recognizing them over the contractual period.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continues to evaluate the available transition methods and its contractual arrangements. The Company's considerations include, but are not limited to, the comparability of its financial statements and the comparability within its industry from application of the new standard to its contractual arrangements. The Company plans to select a transition method by the second half of 2017. We have established an implementation team to implement the standard update related to the recognition of revenue from contracts with customers. The Company continues to evaluate the changes to accounting system and processes, and additional disclosure requirements that may be necessary.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the FASB issued ASU 2016-08, Revenue from Contracts with Customers (Topic 606): Principal versus Agent Considerations (Reporting Revenue Gross versus Net). ASU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2018. The Company is currently evaluating the impact that the adoption of this guidance will have on its consolidated financial statements.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2016, the FASB issued ASU 2016-02, Leases (Topic 842). ASU 2016-02 requires the identification of arrangements that should be accounted for as leases by lessees. In general, for lease arrangements exceeding a twelve month term, these arrangements must now be recognized as assets and liabilities on the balance sheet of the lessee. Under ASU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In addition, ASU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2016, FASB issued ASU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2016-13 is not expected to have a material effect on its consolidated financial statements.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2016, FASB issued ASU 2016-15, Classification of Certain Cash Receipts and Cash Payments. The amendments apply to all entities that are required to present a Statement of Cash Flows under Topic 230. The amendments are an improvement to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does not expect the adoption of this ASU to have a material effect on its financial position or results of operations.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2016, FASB issued ASU 2016-18, Statement of Cash Flows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Early adoption is permitted with an adjustment reflected as of the beginning of the fiscal year in which the amendment is adoption. The Company does not expect the adoption of this ASU to have a material effect on its financial position or results of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 The Company is currently evaluating the impact that the adoption of this standard will have on its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2017, FASB issued ASU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Early adoption is permitted as of the beginning of an annual period. The Company is currently evaluating the impact that the adoption of this guidance will have on its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the Company organizes into industry focused operating segments (Insurance, Healthcare, Travel, Transportation and Logistics, Banking and Financial Services, and Utilities) and one “capability” operating segment (Finance and Accounting) that provides services to clients in industry focused segments as well as clients across other industries. In each of these six operating segments, the Company provides operations management services, which typically involve transfer to the Company of select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prior periods the Company presented two reportable segments: Operations Management (which included its Insurance, Healthcare, Travel, Transportation and Logistics, Finance and Accounting, Banking and Financial services, Utilities and Consulting operating segments) and Analytics. Effective for the quarter and year ended December 31, 2016, the Company presents information for the following reportable segments:</w:t>
      </w:r>
    </w:p>
    <w:p>
      <w:pPr>
        <w:spacing w:after="0" w:line="166" w:lineRule="exact"/>
        <w:rPr>
          <w:sz w:val="20"/>
          <w:szCs w:val="20"/>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and Accounting (“F&amp;A”),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operating segments, which includes our banking and financial services, utilities and consulting operating segments have been included in a category called “All Other”. Segment information for all prior periods presented herein has been changed to conform to the current presentation. This change in segment presentation does not affect the Company's unaudited consolidated statements of income and comprehensive income, balance sheets or statements of cash flows.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March 31, 2017 and 2016,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184150</wp:posOffset>
            </wp:positionV>
            <wp:extent cx="5360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March 31, 2017</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183,033</w:t>
            </w:r>
          </w:p>
        </w:tc>
        <w:tc>
          <w:tcPr>
            <w:tcW w:w="0" w:type="dxa"/>
            <w:vAlign w:val="bottom"/>
          </w:tcPr>
          <w:p>
            <w:pPr>
              <w:spacing w:after="0"/>
              <w:rPr>
                <w:sz w:val="1"/>
                <w:szCs w:val="1"/>
                <w:color w:val="auto"/>
              </w:rPr>
            </w:pPr>
          </w:p>
        </w:tc>
      </w:tr>
      <w:tr>
        <w:trPr>
          <w:trHeight w:val="229"/>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Cost of revenues (exclusive of</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120,119</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62,914</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47,012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9"/>
              </w:rPr>
              <w:t>Foreign exchange gain, interest expense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2016</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Insurance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167,036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Cost of revenues (exclusive of</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34,269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108,379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58,657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2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42,205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gain, interest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of the Company by service type, were as follows:</w:t>
      </w:r>
    </w:p>
    <w:p>
      <w:pPr>
        <w:spacing w:after="0" w:line="338"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5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134,026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49,007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38,966</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183,033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167,036</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5620" w:right="960" w:hanging="5207"/>
        <w:spacing w:after="0" w:line="810"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BPM and related services include revenues of all the operating segments other than Analytics. See reportable segment disclosure above. 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150,281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134,074</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27,428</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32,962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167,036</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Property, plant and equipment by geographic area, were as follows:</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33,909</w:t>
            </w:r>
          </w:p>
        </w:tc>
        <w:tc>
          <w:tcPr>
            <w:tcW w:w="1100" w:type="dxa"/>
            <w:vAlign w:val="bottom"/>
            <w:gridSpan w:val="3"/>
          </w:tcPr>
          <w:p>
            <w:pPr>
              <w:jc w:val="right"/>
              <w:ind w:right="69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Philippines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2,871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59,220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16,788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13,820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9"/>
              </w:rPr>
              <w:t>33,845,560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33,380,028</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1,263,322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971,629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35,108,882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34,351,657</w:t>
            </w:r>
          </w:p>
        </w:tc>
      </w:tr>
      <w:tr>
        <w:trPr>
          <w:trHeight w:val="67"/>
        </w:trPr>
        <w:tc>
          <w:tcPr>
            <w:tcW w:w="88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0.41</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Weighted average common shares considered anti-dilutive in computing diluted earnings per share</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452,988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200,752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338"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1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7"/>
        </w:trPr>
        <w:tc>
          <w:tcPr>
            <w:tcW w:w="4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1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4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22"/>
                <w:szCs w:val="22"/>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Network equipment, computers and software</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124,938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109,998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15,426</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1,171</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Capital work in progress</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4,964</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164,097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(115,568)</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49,029</w:t>
            </w: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Depreciation and amortization expense excluding amortization of acquisition-related intangibles for the three months ended March 31, 2017 and 2016 was $5,928, and $5,418, respectively. </w:t>
      </w:r>
      <w:r>
        <w:rPr>
          <w:rFonts w:ascii="Arial" w:cs="Arial" w:eastAsia="Arial" w:hAnsi="Arial"/>
          <w:sz w:val="16"/>
          <w:szCs w:val="16"/>
          <w:color w:val="auto"/>
        </w:rPr>
        <w:t>T</w:t>
      </w:r>
      <w:r>
        <w:rPr>
          <w:rFonts w:ascii="Arial" w:cs="Arial" w:eastAsia="Arial" w:hAnsi="Arial"/>
          <w:sz w:val="18"/>
          <w:szCs w:val="18"/>
          <w:color w:val="auto"/>
        </w:rPr>
        <w:t>he software development costs, both as of March 31, 2017 and December 31, 2016, were $2,242 and is included under Network equipment, computers and software. Accumulated amortization expense for these capitalized software development costs as of March 31, 2017 and December 31, 2016 were $485 and $336, respectively.</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plant and equipment and cost of property, plant and equipment and internally generated software costs not yet ready to be placed in service.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Datasource Consulting, LLC.</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22, 2016, the Company entered into a membership interests purchase agreement (the “Datasource Agreement”) for the purchase of Datasource Consulting, LLC (“Datasource”).</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Pursuant to the Datasource Agreement, the Company purchased all of the membership interest of Datasource from its members for an aggregate consideration of $20,318. A portion of the purchase consideration otherwise payable was placed into escrow as security for the post-closing working capital adjustments and the indemnification obligations under the Datasource Agreement.</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also issued 93,604 shares of restricted common stock with an aggregate fair value of $4,483 to certain key employees of Datasource, each of whom accepted employment positions with the Company upon consummation of the combination. The restricted common stock vest proportionally over four years and the fair value of these grants will be recognized as compensation expense on a straight line basis over the vesting term.</w:t>
      </w:r>
    </w:p>
    <w:p>
      <w:pPr>
        <w:spacing w:after="0" w:line="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Datasource is specialized in Enterprise Data Management and Business Intelligence. Datasource helps clients design data management strategies, implement data infrastructure and manage data assets. This acquisition expands the Company's addressable market within analytics and allows it to compete in the large and growing enterprise data management and business intelligence markets. Accordingly, the Company paid a premium for the acquisition, which is reflected in the goodwill recognized from the purchase price allocation.</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2017, the Company finalized its purchase price allocation for the acquisition based on their fair values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134620</wp:posOffset>
            </wp:positionV>
            <wp:extent cx="1140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6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Amount</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3,582</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Tangible liabilities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6,340</w:t>
            </w: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243"/>
        </w:trPr>
        <w:tc>
          <w:tcPr>
            <w:tcW w:w="6160" w:type="dxa"/>
            <w:vAlign w:val="bottom"/>
          </w:tcPr>
          <w:p>
            <w:pPr>
              <w:ind w:left="480"/>
              <w:spacing w:after="0"/>
              <w:rPr>
                <w:sz w:val="20"/>
                <w:szCs w:val="20"/>
                <w:color w:val="auto"/>
              </w:rPr>
            </w:pPr>
            <w:r>
              <w:rPr>
                <w:rFonts w:ascii="Arial" w:cs="Arial" w:eastAsia="Arial" w:hAnsi="Arial"/>
                <w:sz w:val="18"/>
                <w:szCs w:val="18"/>
                <w:color w:val="auto"/>
              </w:rPr>
              <w:t>Trade names and trademarks</w:t>
            </w: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380</w:t>
            </w: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10,999</w:t>
            </w:r>
          </w:p>
        </w:tc>
      </w:tr>
      <w:tr>
        <w:trPr>
          <w:trHeight w:val="257"/>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20,318</w:t>
            </w: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Datasource acquisition is deductible for tax purposes.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customer relationships from the Datasource acquisition are being amortized over the weighted average useful life of 6 years, and developed technology and trademarks are being amortized over the useful life of 5 years and 3 years,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March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Insurance</w:t>
            </w:r>
          </w:p>
        </w:tc>
        <w:tc>
          <w:tcPr>
            <w:tcW w:w="40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Healthcare</w:t>
            </w:r>
          </w:p>
        </w:tc>
        <w:tc>
          <w:tcPr>
            <w:tcW w:w="3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TT&amp;L</w:t>
            </w: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F&amp;A</w:t>
            </w:r>
          </w:p>
        </w:tc>
        <w:tc>
          <w:tcPr>
            <w:tcW w:w="2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All Other</w:t>
            </w:r>
          </w:p>
        </w:tc>
        <w:tc>
          <w:tcPr>
            <w:tcW w:w="2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Analytics</w:t>
            </w:r>
          </w:p>
        </w:tc>
        <w:tc>
          <w:tcPr>
            <w:tcW w:w="3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35,824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13,278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49,940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171,535</w:t>
            </w:r>
          </w:p>
        </w:tc>
      </w:tr>
      <w:tr>
        <w:trPr>
          <w:trHeight w:val="243"/>
        </w:trPr>
        <w:tc>
          <w:tcPr>
            <w:tcW w:w="26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2,510</w:t>
            </w:r>
          </w:p>
        </w:tc>
        <w:tc>
          <w:tcPr>
            <w:tcW w:w="4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13,598</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16,108</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(224)</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color w:val="auto"/>
                <w:w w:val="93"/>
              </w:rPr>
              <w:t>Balance as at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38,110</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19,276</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12,983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47,537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63,538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186,770</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600" w:type="dxa"/>
            <w:vAlign w:val="bottom"/>
          </w:tcPr>
          <w:p>
            <w:pPr>
              <w:ind w:left="380"/>
              <w:spacing w:after="0"/>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60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1,182</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March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38,147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63,538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187,952</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As of March 31, 2017</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2"/>
        </w:trPr>
        <w:tc>
          <w:tcPr>
            <w:tcW w:w="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84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Carrying Amount</w:t>
            </w:r>
          </w:p>
        </w:tc>
        <w:tc>
          <w:tcPr>
            <w:tcW w:w="200" w:type="dxa"/>
            <w:vAlign w:val="bottom"/>
          </w:tcPr>
          <w:p>
            <w:pPr>
              <w:spacing w:after="0"/>
              <w:rPr>
                <w:sz w:val="16"/>
                <w:szCs w:val="16"/>
                <w:color w:val="auto"/>
              </w:rPr>
            </w:pPr>
          </w:p>
        </w:tc>
        <w:tc>
          <w:tcPr>
            <w:tcW w:w="1840" w:type="dxa"/>
            <w:vAlign w:val="bottom"/>
            <w:gridSpan w:val="3"/>
          </w:tcPr>
          <w:p>
            <w:pPr>
              <w:ind w:left="3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61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80" w:type="dxa"/>
            <w:vAlign w:val="bottom"/>
          </w:tcPr>
          <w:p>
            <w:pPr>
              <w:spacing w:after="0"/>
              <w:rPr>
                <w:sz w:val="21"/>
                <w:szCs w:val="21"/>
                <w:color w:val="auto"/>
              </w:rPr>
            </w:pPr>
          </w:p>
        </w:tc>
        <w:tc>
          <w:tcPr>
            <w:tcW w:w="4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75,249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(35,647)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39,602</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49,456</w:t>
            </w: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8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100,611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50,356</w:t>
            </w: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4"/>
        </w:trPr>
        <w:tc>
          <w:tcPr>
            <w:tcW w:w="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December 31, 2016</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84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Carrying Amount</w:t>
            </w:r>
          </w:p>
        </w:tc>
        <w:tc>
          <w:tcPr>
            <w:tcW w:w="200" w:type="dxa"/>
            <w:vAlign w:val="bottom"/>
          </w:tcPr>
          <w:p>
            <w:pPr>
              <w:spacing w:after="0"/>
              <w:rPr>
                <w:sz w:val="16"/>
                <w:szCs w:val="16"/>
                <w:color w:val="auto"/>
              </w:rPr>
            </w:pP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75,181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(32,968)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42,213</w:t>
            </w:r>
          </w:p>
        </w:tc>
        <w:tc>
          <w:tcPr>
            <w:tcW w:w="80" w:type="dxa"/>
            <w:vAlign w:val="bottom"/>
          </w:tcPr>
          <w:p>
            <w:pPr>
              <w:spacing w:after="0"/>
              <w:rPr>
                <w:sz w:val="21"/>
                <w:szCs w:val="21"/>
                <w:color w:val="auto"/>
              </w:rPr>
            </w:pPr>
          </w:p>
        </w:tc>
      </w:tr>
      <w:tr>
        <w:trPr>
          <w:trHeight w:val="27"/>
        </w:trPr>
        <w:tc>
          <w:tcPr>
            <w:tcW w:w="4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21"/>
                <w:szCs w:val="21"/>
                <w:color w:val="auto"/>
              </w:rPr>
            </w:pPr>
          </w:p>
        </w:tc>
      </w:tr>
      <w:tr>
        <w:trPr>
          <w:trHeight w:val="27"/>
        </w:trPr>
        <w:tc>
          <w:tcPr>
            <w:tcW w:w="4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4"/>
        </w:trPr>
        <w:tc>
          <w:tcPr>
            <w:tcW w:w="4900" w:type="dxa"/>
            <w:vAlign w:val="bottom"/>
            <w:gridSpan w:val="3"/>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4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100,387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53,770</w:t>
            </w:r>
          </w:p>
        </w:tc>
        <w:tc>
          <w:tcPr>
            <w:tcW w:w="80" w:type="dxa"/>
            <w:vAlign w:val="bottom"/>
            <w:tcBorders>
              <w:top w:val="single" w:sz="8" w:color="auto"/>
              <w:bottom w:val="single" w:sz="8" w:color="auto"/>
            </w:tcBorders>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for the three months ended March 31, 2017 and 2016 was $3,498 and $2,715, respectively. The remaining weighted average life of intangible assets was 5.7 years for customer relationships, 2.2 years for leasehold benefits, 4.7 years for developed technology, 2.3 years for non-compete agreements and 5.3 years for trade names and trademarks excluding indefinite life trade names and trademarks.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auto"/>
                <w:w w:val="99"/>
              </w:rPr>
              <w:t>Estimated amortization of intangible assets during the year ending March 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4"/>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5"/>
          </w:tcPr>
          <w:p>
            <w:pPr>
              <w:ind w:left="12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12,046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5"/>
          </w:tcPr>
          <w:p>
            <w:pPr>
              <w:ind w:left="12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gridSpan w:val="3"/>
          </w:tcPr>
          <w:p>
            <w:pPr>
              <w:spacing w:after="0"/>
              <w:rPr>
                <w:sz w:val="20"/>
                <w:szCs w:val="20"/>
                <w:color w:val="auto"/>
              </w:rPr>
            </w:pPr>
          </w:p>
        </w:tc>
        <w:tc>
          <w:tcPr>
            <w:tcW w:w="34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49,456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8. Other current assets</w:t>
            </w: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gridSpan w:val="5"/>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gridSpan w:val="3"/>
          </w:tcPr>
          <w:p>
            <w:pPr>
              <w:ind w:left="20"/>
              <w:spacing w:after="0"/>
              <w:rPr>
                <w:sz w:val="20"/>
                <w:szCs w:val="20"/>
                <w:color w:val="auto"/>
              </w:rPr>
            </w:pPr>
            <w:r>
              <w:rPr>
                <w:rFonts w:ascii="Arial" w:cs="Arial" w:eastAsia="Arial" w:hAnsi="Arial"/>
                <w:sz w:val="18"/>
                <w:szCs w:val="18"/>
                <w:color w:val="auto"/>
              </w:rPr>
              <w:t>Other current assets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8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580" w:type="dxa"/>
            <w:vAlign w:val="bottom"/>
            <w:tcBorders>
              <w:bottom w:val="single" w:sz="8" w:color="CCEEFF"/>
              <w:right w:val="single" w:sz="8" w:color="CCEEFF"/>
            </w:tcBorders>
            <w:gridSpan w:val="4"/>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4"/>
          </w:tcPr>
          <w:p>
            <w:pPr>
              <w:ind w:left="20"/>
              <w:spacing w:after="0"/>
              <w:rPr>
                <w:sz w:val="20"/>
                <w:szCs w:val="20"/>
                <w:color w:val="auto"/>
              </w:rPr>
            </w:pPr>
            <w:r>
              <w:rPr>
                <w:rFonts w:ascii="Arial" w:cs="Arial" w:eastAsia="Arial" w:hAnsi="Arial"/>
                <w:sz w:val="18"/>
                <w:szCs w:val="18"/>
                <w:color w:val="auto"/>
              </w:rPr>
              <w:t>Advances to suppliers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1,091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11,870</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4"/>
          </w:tcPr>
          <w:p>
            <w:pPr>
              <w:ind w:left="2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4,883</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6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right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21,168</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8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4"/>
                <w:szCs w:val="14"/>
                <w:b w:val="1"/>
                <w:bCs w:val="1"/>
                <w:color w:val="auto"/>
                <w:w w:val="98"/>
              </w:rPr>
              <w:t>March 31, 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5"/>
            <w:shd w:val="clear" w:color="auto" w:fill="CCEEFF"/>
          </w:tcPr>
          <w:p>
            <w:pPr>
              <w:jc w:val="right"/>
              <w:ind w:right="42"/>
              <w:spacing w:after="0"/>
              <w:rPr>
                <w:sz w:val="20"/>
                <w:szCs w:val="20"/>
                <w:color w:val="auto"/>
              </w:rPr>
            </w:pPr>
            <w:r>
              <w:rPr>
                <w:rFonts w:ascii="Arial" w:cs="Arial" w:eastAsia="Arial" w:hAnsi="Arial"/>
                <w:sz w:val="18"/>
                <w:szCs w:val="18"/>
                <w:color w:val="auto"/>
              </w:rPr>
              <w:t>33,810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30,690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3"/>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4"/>
          </w:tcPr>
          <w:p>
            <w:pPr>
              <w:jc w:val="right"/>
              <w:ind w:right="42"/>
              <w:spacing w:after="0"/>
              <w:rPr>
                <w:sz w:val="20"/>
                <w:szCs w:val="20"/>
                <w:color w:val="auto"/>
              </w:rPr>
            </w:pPr>
            <w:r>
              <w:rPr>
                <w:rFonts w:ascii="Arial" w:cs="Arial" w:eastAsia="Arial" w:hAnsi="Arial"/>
                <w:sz w:val="18"/>
                <w:szCs w:val="18"/>
                <w:color w:val="auto"/>
                <w:w w:val="97"/>
              </w:rPr>
              <w:t>1,368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Client liability account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4"/>
            <w:shd w:val="clear" w:color="auto" w:fill="CCEEFF"/>
          </w:tcPr>
          <w:p>
            <w:pPr>
              <w:jc w:val="right"/>
              <w:ind w:right="42"/>
              <w:spacing w:after="0"/>
              <w:rPr>
                <w:sz w:val="20"/>
                <w:szCs w:val="20"/>
                <w:color w:val="auto"/>
              </w:rPr>
            </w:pPr>
            <w:r>
              <w:rPr>
                <w:rFonts w:ascii="Arial" w:cs="Arial" w:eastAsia="Arial" w:hAnsi="Arial"/>
                <w:sz w:val="18"/>
                <w:szCs w:val="18"/>
                <w:color w:val="auto"/>
                <w:w w:val="97"/>
              </w:rPr>
              <w:t>2,783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4"/>
          </w:tcPr>
          <w:p>
            <w:pPr>
              <w:jc w:val="right"/>
              <w:ind w:right="42"/>
              <w:spacing w:after="0"/>
              <w:rPr>
                <w:sz w:val="20"/>
                <w:szCs w:val="20"/>
                <w:color w:val="auto"/>
              </w:rPr>
            </w:pPr>
            <w:r>
              <w:rPr>
                <w:rFonts w:ascii="Arial" w:cs="Arial" w:eastAsia="Arial" w:hAnsi="Arial"/>
                <w:sz w:val="18"/>
                <w:szCs w:val="18"/>
                <w:color w:val="auto"/>
                <w:w w:val="97"/>
              </w:rPr>
              <w:t>9,709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7,139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5"/>
            <w:shd w:val="clear" w:color="auto" w:fill="CCEEFF"/>
          </w:tcPr>
          <w:p>
            <w:pPr>
              <w:jc w:val="right"/>
              <w:ind w:right="42"/>
              <w:spacing w:after="0"/>
              <w:rPr>
                <w:sz w:val="20"/>
                <w:szCs w:val="20"/>
                <w:color w:val="auto"/>
              </w:rPr>
            </w:pPr>
            <w:r>
              <w:rPr>
                <w:rFonts w:ascii="Arial" w:cs="Arial" w:eastAsia="Arial" w:hAnsi="Arial"/>
                <w:sz w:val="18"/>
                <w:szCs w:val="18"/>
                <w:color w:val="auto"/>
              </w:rPr>
              <w:t>47,670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43,264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10. Non-current liabilities</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4"/>
          </w:tcPr>
          <w:p>
            <w:pPr>
              <w:ind w:left="20"/>
              <w:spacing w:after="0"/>
              <w:rPr>
                <w:sz w:val="20"/>
                <w:szCs w:val="20"/>
                <w:color w:val="auto"/>
              </w:rPr>
            </w:pPr>
            <w:r>
              <w:rPr>
                <w:rFonts w:ascii="Arial" w:cs="Arial" w:eastAsia="Arial" w:hAnsi="Arial"/>
                <w:sz w:val="18"/>
                <w:szCs w:val="18"/>
                <w:color w:val="auto"/>
              </w:rPr>
              <w:t>Non-current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72"/>
              </w:rPr>
              <w:t>As of</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8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right"/>
              <w:ind w:right="22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696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4"/>
          </w:tcPr>
          <w:p>
            <w:pPr>
              <w:jc w:val="right"/>
              <w:ind w:right="22"/>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3,640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Retirement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4"/>
          </w:tcPr>
          <w:p>
            <w:pPr>
              <w:jc w:val="right"/>
              <w:ind w:right="22"/>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1,977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3,469</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56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5"/>
          </w:tcPr>
          <w:p>
            <w:pPr>
              <w:jc w:val="right"/>
              <w:ind w:right="22"/>
              <w:spacing w:after="0"/>
              <w:rPr>
                <w:sz w:val="20"/>
                <w:szCs w:val="20"/>
                <w:color w:val="auto"/>
              </w:rPr>
            </w:pPr>
            <w:r>
              <w:rPr>
                <w:rFonts w:ascii="Arial" w:cs="Arial" w:eastAsia="Arial" w:hAnsi="Arial"/>
                <w:sz w:val="18"/>
                <w:szCs w:val="18"/>
                <w:color w:val="auto"/>
              </w:rPr>
              <w:t>17,729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14,819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w:t>
      </w:r>
      <w:r>
        <w:rPr>
          <w:rFonts w:ascii="Arial" w:cs="Arial" w:eastAsia="Arial" w:hAnsi="Arial"/>
          <w:sz w:val="16"/>
          <w:szCs w:val="16"/>
          <w:color w:val="auto"/>
        </w:rPr>
        <w:t>“Derivatives and Hedging” (“ASC No. 815”)</w:t>
      </w:r>
      <w:r>
        <w:rPr>
          <w:rFonts w:ascii="Arial" w:cs="Arial" w:eastAsia="Arial" w:hAnsi="Arial"/>
          <w:sz w:val="18"/>
          <w:szCs w:val="18"/>
          <w:color w:val="auto"/>
        </w:rPr>
        <w:t>. Changes in the fair values of contracts that are deemed effective are recorded as a component of accumulated other comprehensive loss until the settlement of those contracts. The balances as of March 31, 2017 and December 31, 2016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currency translation adjustments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Unrealized gain on cash flow hedges, net of taxes of $2,967 and $1,207</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2,740</w:t>
            </w:r>
          </w:p>
        </w:tc>
      </w:tr>
      <w:tr>
        <w:trPr>
          <w:trHeight w:val="27"/>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($335) and ($342)</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(75,057)</w:t>
            </w:r>
          </w:p>
        </w:tc>
      </w:tr>
      <w:tr>
        <w:trPr>
          <w:trHeight w:val="27"/>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2017 and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excludes accounts receivable, accounts payable and accrued expenses for which fair values approximate their carrying amounts.</w:t>
      </w: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117,084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117,084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117,084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131,251</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800" w:hanging="5180"/>
        <w:spacing w:after="0" w:line="559"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short-term investments carried on fair value option under ASC 825 "Financial Instruments" as of March 31, 2017. 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for derivative financial instruments are based on independent sources including highly rated financial institutions and are classified as Level 2. See Note 13 to our unaudited consolidated financial statements contained herein for further details on Derivatives and Hedge Accounting.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foreign exchange forward contracts that are designated effective and that qualify as cash flow hedges under ASC 815. The Company had outstanding cash flow hedges totaling $240,655 as of March 31, 2017 and $218,545 as of December 31, 2016. The fair value of these cash flow hedges is included in the other comprehensive loss on the Company's unaudited consolidated balance sheet.</w:t>
      </w:r>
    </w:p>
    <w:p>
      <w:pPr>
        <w:spacing w:after="0" w:line="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$91,067 and GBP 8,264 as of March 31, 2017 and amounted to $71,318 and GBP 11,153 as of December 31, 2016.</w:t>
      </w:r>
    </w:p>
    <w:p>
      <w:pPr>
        <w:spacing w:after="0" w:line="16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estimates that approximately $5,938 of net derivative gains included in accumulated other comprehensive loss (“AOCL”) could be reclassified into earnings within the next twelve months based on exchange rates prevailing as of March 31, 2017. At March 31, 2017, the maximum outstanding term of the cash flow hedges was 45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AOCL into earnings during the three months ended March 31, 2017 and 2016.</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5"/>
              </w:rPr>
              <w:t>As of</w:t>
            </w:r>
          </w:p>
        </w:tc>
        <w:tc>
          <w:tcPr>
            <w:tcW w:w="192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7,306</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3,211</w:t>
            </w: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6,804</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2,994</w:t>
            </w: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1,368</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1,430</w:t>
            </w: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696</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828</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0" w:lineRule="exact"/>
        <w:rPr>
          <w:sz w:val="20"/>
          <w:szCs w:val="20"/>
          <w:color w:val="auto"/>
        </w:rPr>
      </w:pPr>
    </w:p>
    <w:p>
      <w:pPr>
        <w:spacing w:after="0" w:line="24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33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03" w:lineRule="exact"/>
        <w:rPr>
          <w:sz w:val="20"/>
          <w:szCs w:val="20"/>
          <w:color w:val="auto"/>
        </w:rPr>
      </w:pPr>
    </w:p>
    <w:p>
      <w:pPr>
        <w:ind w:left="7380"/>
        <w:spacing w:after="0"/>
        <w:tabs>
          <w:tab w:leader="none" w:pos="962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5200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current assets:</w:t>
      </w:r>
    </w:p>
    <w:p>
      <w:pPr>
        <w:spacing w:after="0" w:line="81" w:lineRule="exact"/>
        <w:rPr>
          <w:sz w:val="20"/>
          <w:szCs w:val="20"/>
          <w:color w:val="auto"/>
        </w:rPr>
      </w:pPr>
    </w:p>
    <w:p>
      <w:pPr>
        <w:ind w:left="560"/>
        <w:spacing w:after="0"/>
        <w:tabs>
          <w:tab w:leader="none" w:pos="6740" w:val="left"/>
          <w:tab w:leader="none" w:pos="8680" w:val="left"/>
          <w:tab w:leader="none" w:pos="9100" w:val="left"/>
          <w:tab w:leader="none" w:pos="109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w:t>
        <w:tab/>
        <w:t>$</w:t>
      </w:r>
      <w:r>
        <w:rPr>
          <w:sz w:val="20"/>
          <w:szCs w:val="20"/>
          <w:color w:val="auto"/>
        </w:rPr>
        <w:tab/>
      </w:r>
      <w:r>
        <w:rPr>
          <w:rFonts w:ascii="Arial" w:cs="Arial" w:eastAsia="Arial" w:hAnsi="Arial"/>
          <w:sz w:val="15"/>
          <w:szCs w:val="15"/>
          <w:color w:val="auto"/>
        </w:rPr>
        <w:t>113</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 relationship</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Gain/(loss) recognized in AOCL on derivative - Effective portion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8,723</w:t>
            </w:r>
          </w:p>
        </w:tc>
        <w:tc>
          <w:tcPr>
            <w:tcW w:w="1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2,437</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Gain/(loss) reclassified from AOCL to foreign exchange gain/(loss) - Effective portion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Gain/(loss) recognized in foreign exchange gain/(loss) - Ineffective portion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7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Gain/(loss) recognized in foreign exchange gain/(loss)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1,729</w:t>
            </w:r>
          </w:p>
        </w:tc>
      </w:tr>
      <w:tr>
        <w:trPr>
          <w:trHeight w:val="27"/>
        </w:trPr>
        <w:tc>
          <w:tcPr>
            <w:tcW w:w="7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a revolving credit facility (the “Credit Facility”), including a letter of credit sub-facility, in the amount of $100,000. The Credit Facility has a maturity date of October 24, 2019 and is voluntarily pre-payable from time to time without premium or penalty.</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Borrowings under the Credit Facility may be used for working capital, general corporate purposes and for acquisitions. The amount outstanding as of March 31, 2017 is $45,000, of which $10,000 is expected to be repaid within next twelve months and is included under “short-term borrowings” in the unaudited consolidated balance sheets. The Credit Facility carried an effective interest rate of 2.50% per annum and 1.90% per annum, during the three months ended March 31, 2017 and 2016, respectively.</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financing, the Company incurred certain debt issuance costs, which are deferred and amortized as an adjustment to interest expense over the term of the Credit Facility. The unamortized debt issuance costs as of March 31, 2017 and December 31, 2016 was $248 and $272, respectively, and is included under "other current assets" and "other assets" in the unaudited consolidated balance sheets.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Credit Facility is guaranteed by the Company's domestic subsidiaries and material foreign subsidiaries and is secured by all or substantially all of the assets of the Company and its material domestic subsidiaries. The Credit Agreement contains certain covenants including a restriction on our indebtedness, and a covenant to not permit the interest coverage ratio (the ratio of EBIT to cash interest expense) or the leverage ratio (total funded indebtedness to EBITDA), for the four consecutive quarter period ending on the last day of each fiscal quarter, to be less than 3.5 to 1.0 or 2.5 to 1.0, respectively. As of March 31, 2017, the Company was in compliance with the financial covenants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March 31, 2017 and 2016, the Company acquired 62,784 and 14,548 shares of common stock, respectively, from employees in connection with withholding tax payments related to the vesting of restricted stock for a total consideration of $2,913 and $652, respectively. The weighted average purchase price per share of $46.39 and $44.83,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amount of $100,000. The approval increases the 2017 authorization from $20,000 to $40,000 and authorizes stock repurchases of up to $40,000 in each of 2018 and 2019.</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2017 and 2016, the Company purchased 193,962 and 138,638 shares of its common stock, respectively, for an aggregate purchase price of approximately $9,000 and $6,202, respectively, including commissions, representing an average purchase price per share of $46.40 and $44.74, respectively, under the 2014 and 2017 Repurchase Program.</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30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Amortization of Actuarial loss</w:t>
            </w:r>
          </w:p>
        </w:tc>
        <w:tc>
          <w:tcPr>
            <w:tcW w:w="3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430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21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8.0% on these Gratuity Plans for the period ended March 31, 2017.</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2017</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r>
      <w:tr>
        <w:trPr>
          <w:trHeight w:val="243"/>
        </w:trPr>
        <w:tc>
          <w:tcPr>
            <w:tcW w:w="7640" w:type="dxa"/>
            <w:vAlign w:val="bottom"/>
          </w:tcPr>
          <w:p>
            <w:pPr>
              <w:ind w:left="10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7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March 31, 2017</w:t>
            </w:r>
          </w:p>
        </w:tc>
        <w:tc>
          <w:tcPr>
            <w:tcW w:w="7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several 401(k) Plans under Section 401(k) of the Internal Revenue Code of 1986 (the “Code”), covering all eligible employees, as defined in the Code is a defined contribution plan. The Company may make discretionary contributions of up to a maximum of 4% of employee compensation within certain limits. Contributions to the 401(k) Plans amounting to $1,068 and $932 were made during the three months ended March 31, 2017 and 2016, respectively.</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three months ended March 31, 2017 and 2016, the Company contributed $1,713 and $1,466, respectively, for various defined contribution plans on behalf of its employees in India, the Philippines, Bulgaria, Romania, the Czech Republic, South Africa, Colombia, and Singapore.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under various lease arrangements provided by financial institutions. Future minimum lease payments under these capital leases as of March 31, 2017 are as follows: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Year ending March 31,</w:t>
            </w: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2019</w:t>
            </w:r>
          </w:p>
        </w:tc>
        <w:tc>
          <w:tcPr>
            <w:tcW w:w="4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2021</w:t>
            </w:r>
          </w:p>
        </w:tc>
        <w:tc>
          <w:tcPr>
            <w:tcW w:w="4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4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4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4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4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4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3410"/>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March 31, 2017 are set forth below:</w:t>
      </w:r>
    </w:p>
    <w:p>
      <w:pPr>
        <w:spacing w:after="0" w:line="333"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Year ending March 31,</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straight-line basis over the non-cancelable lease period determined under ASC topic 840, “Leases”. Rent expense under both cancelable and non-cancelable operating leases was $5,667 and $5,148 for the three months ended March 31, 2017 and 2016, respectively. Deferred rent as of March 31, 2017 and December 31, 2016 was $8,441 and $7,915, respectively, and is included under “Accrued expenses and other current liabilities” and “Non-current liabilities” in the unaudited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recorded income tax expense of $3,560 and $5,895 for the three months ended March 31, 2017 and 2016, respectively. The effective tax rate decreased from 29.9% during the three months ended March 31, 2016 to 17.5% (including the impact of a discrete item of $2,057 recognized on adoption of ASU No. 2016-09) during the three months ended March 31, 2017. Other than the impact of the adoption of the accounting standard mentioned above, the decrease is primarily due to higher earnings from our foreign subsidiaries and lower domestic profit in the U.S.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2017 through March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unrecognized tax benefits as of March 31, 2017 of $3,165, if recognized, would impact the effective tax rate.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2017 and 2016, the Company has recognized interest of $51 and $50, respectively, which are included in the income tax expense in the unaudited consolidated statements of income. As of March 31, 2017 and December 31, 2016, the Company has accrued interest and penalties of $1,667 and $1,553, relating to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9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2,372</w:t>
            </w:r>
          </w:p>
        </w:tc>
      </w:tr>
      <w:tr>
        <w:trPr>
          <w:trHeight w:val="27"/>
        </w:trPr>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2,172</w:t>
            </w: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5,956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5,809</w:t>
            </w:r>
          </w:p>
        </w:tc>
      </w:tr>
      <w:tr>
        <w:trPr>
          <w:trHeight w:val="27"/>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2017, the Company had 1,414,544 shares available for grant under the 2015 Amendment and Restatement of the 2006 Omnibus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811,902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803,932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25,031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March 31, 2017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803,932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unrecognized compensation cost for outstanding options as of March 31, 2017 is nil. The Company did not grant any options during the three months ended March 31, 2017 and 2016. The total grant date fair value of options vested during the three months ended March 31, 2017 and 2016 was nil and $706,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Intrinsic Value</w:t>
            </w: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246,940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1,256,288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372,019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222,514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1,243,043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right="800" w:firstLine="8"/>
        <w:spacing w:after="0" w:line="275" w:lineRule="auto"/>
        <w:tabs>
          <w:tab w:leader="none" w:pos="28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2017 and December 31, 2016 restricted stock units vested for which the underlying common stock is yet to be issued are 138,328 and 135,054, respectively.</w:t>
      </w:r>
    </w:p>
    <w:p>
      <w:pPr>
        <w:sectPr>
          <w:pgSz w:w="11900" w:h="16838" w:orient="portrait"/>
          <w:cols w:equalWidth="0" w:num="1">
            <w:col w:w="11420"/>
          </w:cols>
          <w:pgMar w:left="240" w:top="12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2017, unrecognized compensation cost of $50,650 is expected to be expensed over a weighted average period of 3.07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61,123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176,297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2017, unrecognized compensation cost of $12,365 is expected to be expensed over a weighted average period of 2.13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Disclosures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approximately $477 and nil in the three months ended March 31, 2017 and March 31, 2016, respectively, for fees and expense reimbursements from PharmaCord, LLC. At March 31, 2017 and December 31, 2016, the Company had an account receivable of $295 and nil, respectively, related to these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At March 31, 2017, the Company has committed to spend approximately $13,534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18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aggregate disputed amount demanded by Indian tax authorities from the Company related to its transfer pricing issues for years ranging from tax years 2003 to 2014 and its permanent establishment issues ranging from tax years 2003 to 2007 as of March 31, 2017 and December 31, 2016 is $17,906 and $17,963, respectively, of which the Company has made payments or provided bank guarantee to the extent $8,512 and $8,640, respectively. Amounts paid as deposits in respect of such assessments aggregating to $6,469 and $6,690 as of March 31, 2017 and December 31, 2016, respectively, are included in “Other assets” and amounts deposited for bank guarantees aggregating to $2,043 and $1,950 as of March 31, 2017 and December 31, 2016, respectively, are included in “Restricted cash” in the non-current assets section of the Company’s consolidated balance sheets as of March 31, 2017 and December 31, 2016.</w:t>
      </w:r>
    </w:p>
    <w:p>
      <w:pPr>
        <w:spacing w:after="0" w:line="1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2016. Some of the statements in the following discussion are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 ;</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2016. These and other risks could cause actual results to differ materially from those implied by forward-looking statements in this Quarterly Report on Form 10-Q.</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in the business process management (“BPM”) industry and we provide operations management and analytics</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services that help the business enhance growth and profitability. Using our proprietary platforms, methodologies and tools we look deeper to help its clients improve global operations, enhance data-driven insights, increase customer satisfaction, and manage risk and compliance.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 focused operating segments (Insurance, Healthcare, Travel, Transportation and Logistics, Banking and Financial Services, and Utilities) and one “capability” operating segment (Finance and Accounting) that provides services to clients in our industry focused segments as well as clients across other industries. In each of these six operating segments we provide operations management services, which typically involve transfer to the Company of select business operations of a client, after which we administer and manage those operations for our client on an ongoing basis. Our remaining two operating segments are Consulting, which provides industry-specific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prior periods we presented two reportable segments: Operations Management (which included our Insurance, Healthcare, Travel, Transportation and Logistics, Finance and Accounting, Banking and Financial Services, Utilities and Consulting operating segments) and Analytics. Effective for the quarter and year ended December 31, 2016, we present information for the following reportable segments:</w:t>
      </w:r>
    </w:p>
    <w:p>
      <w:pPr>
        <w:spacing w:after="0" w:line="18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Finance and Accounting, 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remaining operating segments which includes our Banking and Financial Services, Utilities and Consulting operating segments have been included in a category called “All Other”. This change in segment presentation does not affect our consolidated statements of income, balance sheets or statements of cash flows. For further descriptions of our operating segments, see Note 3 to the unaudited consolidated financial statements contained herein.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2017, we had revenues of $183.0 million compared to revenues of $167.0 million for the three months ended March 31, 2016, an increase of $16.0 million, or 9.6%.</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82.1% and 14.2%, respectively, of our total revenues for the three months ended March 31, 2017 and approximately 80.3% and 16.4%, respectively, of our revenues for the three months ended March 31, 2016.</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2017 and 2016, our total revenues from our top ten clients accounted for 38.8% and 40.5% of our total revenues, respectively. None of our clients accounted for more than 10% of our total revenues during the three months ended March 31, 2017 and 2016. Although we intend to continue increasing and diversifying our customer base, we expect in the near future that a significant portion of our revenue will continue to be contributed by a limited number of large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Management Services: We provide our clients with a range of operations management services principally in the Insurance, Healthcare, Travel, Transportation and Logistics, Banking and Financial Services and Utilities sectors, among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2017 and 2016:</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2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183.0</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120.1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9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2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394"/>
              <w:spacing w:after="0"/>
              <w:rPr>
                <w:sz w:val="20"/>
                <w:szCs w:val="20"/>
                <w:color w:val="auto"/>
              </w:rPr>
            </w:pPr>
            <w:r>
              <w:rPr>
                <w:rFonts w:ascii="Arial" w:cs="Arial" w:eastAsia="Arial" w:hAnsi="Arial"/>
                <w:sz w:val="18"/>
                <w:szCs w:val="18"/>
                <w:color w:val="auto"/>
              </w:rPr>
              <w:t>30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37"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7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2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97"/>
        </w:trPr>
        <w:tc>
          <w:tcPr>
            <w:tcW w:w="4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183.0</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167.0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three months ended March 31, 2017 were $183.0 million, up $16.0 million or 9.6% compared to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Insurance of $7.6 million was driven by expansion of business from our new and existing clients of $7.4 million, including $1.0 million related to the July 2016 acquisition of Liss Systems Limited ("Liss"). The remaining increase of $0.2 million is attributable to a net impact of appreciation of the South African Rand and Indian rupee and depreciation of the U.K. pound sterling against the U.S. dollar during the three months ended March 31, 2017 compared to the three months ended March 31, 2016. Insurance revenues were 30.6% and 28.9% of our total revenues in the three months ended March 31, 2017 compared to the three months ended March 31, 2016, respectively.</w:t>
      </w:r>
    </w:p>
    <w:p>
      <w:pPr>
        <w:spacing w:after="0" w:line="80" w:lineRule="exact"/>
        <w:rPr>
          <w:sz w:val="20"/>
          <w:szCs w:val="20"/>
          <w:color w:val="auto"/>
        </w:rPr>
      </w:pPr>
    </w:p>
    <w:p>
      <w:pPr>
        <w:jc w:val="both"/>
        <w:ind w:firstLine="554"/>
        <w:spacing w:after="0" w:line="308" w:lineRule="auto"/>
        <w:rPr>
          <w:sz w:val="20"/>
          <w:szCs w:val="20"/>
          <w:color w:val="auto"/>
        </w:rPr>
      </w:pPr>
      <w:r>
        <w:rPr>
          <w:rFonts w:ascii="Arial" w:cs="Arial" w:eastAsia="Arial" w:hAnsi="Arial"/>
          <w:sz w:val="17"/>
          <w:szCs w:val="17"/>
          <w:color w:val="auto"/>
        </w:rPr>
        <w:t>Revenue growth in Healthcare of $2.5 million was driven by expansion of business from our existing clients. Healthcare revenues were 10.3% and 9.8% of our total revenues in the three months ended March 31, 2017 compared to the three months ended March 31, 2016, respectively.</w:t>
      </w:r>
    </w:p>
    <w:p>
      <w:pPr>
        <w:spacing w:after="0" w:line="38"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decline in Travel, Transportation and Logistics ("TT&amp;L") of $0.4 million was primarily driven by net volume decreases from our existing clients of $0.2 million and $0.2 million impact due to depreciation of the Philippines Peso against the U.S. dollar during the three months ended March 31, 2017 compared to the three months ended March 31, 2016. TT&amp;L revenues were 9.3% and 10.5% of our total revenues in the three months ended March 31, 2017 compared to the three months ended March 31, 2016, respectively.</w:t>
      </w:r>
    </w:p>
    <w:p>
      <w:pPr>
        <w:spacing w:after="0" w:line="79"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Finance and Accounting ("F&amp;A") of $1.2 million was driven by expansion of business from our new and existing clients. F&amp;A revenues were 11.5% and 11.9% of our total revenues in the three months ended March 31, 2017 compared to the three months ended March 31, 2016, respectively.</w:t>
      </w:r>
    </w:p>
    <w:p>
      <w:pPr>
        <w:spacing w:after="0" w:line="73"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decline in All Other of $4.9 million was driven primarily by lower revenue in our Consulting and Utilities operating segments, partially offset by higher revenue in our Banking and Financial Services operating segment , aggregating to $4.7 million and $0.2 million impact due to the depreciation of the U.K. pound sterling against the U.S. dollar during the three months ended March 31, 2017 compared to the three months ended March 31, 2016 in our Consulting operating segment. All Other revenues were 11.5% and 15.6% of our total revenues in the three months ended March 31, 2017 and March 31, 2016, respectively.</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Analytics of $10.0 million was driven by our recurring and project based engagements from our new and existing clients of $3.9 million and incremental revenues of $6.4 million from our IQR Consulting Inc. and Datasource Consulting, LLC acquisitions in 2016. The increase was partially offset by a decrease of $0.3 million due to the depreciation of the U.K. pound sterling against the U.S. dollar during the three months ended March 31, 2017 compared to the three months ended March 31, 2016. Analytics revenues were 26.8% and 23.3% of our total revenues in the three months ended March 31, 2017 compared to the three months ended March 31, 2016,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9"/>
              </w:rPr>
              <w:t>Cost of Revenues</w:t>
            </w:r>
          </w:p>
        </w:tc>
        <w:tc>
          <w:tcPr>
            <w:tcW w:w="1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6"/>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Three months ended March</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w:t>
            </w:r>
          </w:p>
        </w:tc>
        <w:tc>
          <w:tcPr>
            <w:tcW w:w="2260" w:type="dxa"/>
            <w:vAlign w:val="bottom"/>
            <w:gridSpan w:val="4"/>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7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vMerge w:val="restart"/>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tcBorders>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15.6 %</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F &amp; A</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12.7 %</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three months ended March 31, 2017, cost of revenues was $120.1 million compared to $108.4 million for the three months ended March 31, 2016, an increase of $11.7 million, or 10.8%. Our gross margin for the three months ended March 31, 2017 was 34.4% compared to 35.1% for three months ended March 31, 2016, a decrease of 70 basis points (bps).</w:t>
      </w:r>
    </w:p>
    <w:p>
      <w:pPr>
        <w:spacing w:after="0" w:line="73"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increase in cost of revenues in Insurance of $4.0 million was primarily due to an increase in employee-related costs of $3.4 million (including $0.6 million related to the Liss acquisition) on account of higher headcount and wage inflation, and technology and infrastructure costs of $1.2 million. This was partially offset by decrease in travel related costs of $0.5 million. There was a net increase of $0.1 million due to the appreciation of the Indian rupee and depreciation of the Philippine peso against the U.S. dollar during the three months ended March 31, 2017 compared to the three months ended March 31, 2016. Gross margin increased by 250 bps during the three months ended March 31, 2017 compared to the three months ended March 31, 2016, primarily due to higher revenues and lower operating costs.</w:t>
      </w:r>
    </w:p>
    <w:p>
      <w:pPr>
        <w:spacing w:after="0" w:line="85"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Healthcare of $1.7 million was primarily due to an increase in employee-related costs of $1.7 million on account of higher headcount and wage inflation, and technology and infrastructure costs of $0.3 million. This was partially offset by $0.3 million due to the depreciation of the Philippine peso against the U.S. dollar during the three months ended March 31, 2017 compared to the three months ended March 31, 2016. Gross margin decreased by 10 bps during the three months ended March 31, 2017 compared to the three months ended March 31, 2016, primarily due to higher employee costs.</w:t>
      </w:r>
    </w:p>
    <w:p>
      <w:pPr>
        <w:spacing w:after="0" w:line="80"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decrease in cost of revenues in TT&amp;L of $0.3 million was primarily due to depreciation of the Philippine peso against the U.S. dollar of $0.2 million during the three months ended March 31, 2017 compared to the three months ended March 31, 2016. Gross margin decreased by 40 bps during the three months ended March 31, 2017 as compared to the three months ended March 31, 2016 due to lower revenues.</w:t>
      </w:r>
    </w:p>
    <w:p>
      <w:pPr>
        <w:spacing w:after="0" w:line="73" w:lineRule="exact"/>
        <w:rPr>
          <w:sz w:val="20"/>
          <w:szCs w:val="20"/>
          <w:color w:val="auto"/>
        </w:rPr>
      </w:pPr>
    </w:p>
    <w:p>
      <w:pPr>
        <w:jc w:val="both"/>
        <w:ind w:firstLine="554"/>
        <w:spacing w:after="0" w:line="276" w:lineRule="auto"/>
        <w:rPr>
          <w:sz w:val="20"/>
          <w:szCs w:val="20"/>
          <w:color w:val="auto"/>
        </w:rPr>
      </w:pPr>
      <w:r>
        <w:rPr>
          <w:rFonts w:ascii="Arial" w:cs="Arial" w:eastAsia="Arial" w:hAnsi="Arial"/>
          <w:sz w:val="17"/>
          <w:szCs w:val="17"/>
          <w:color w:val="auto"/>
        </w:rPr>
        <w:t>The increase in cost of revenues in F&amp;A of $1.5 million was primarily due to an increase in employee-related costs of $0.8 million on account of higher headcount and wage inflation, infrastructure costs of $0.3 million and travel related costs of $0.3 million. There was an increase of $0.1 million due to the appreciation of the Indian rupee against the U.S. dollar during the three months ended March 31, 2017 compared to the three months ended March 31, 2016. Gross margin decreased by 370 bps during the three months ended March 31, 2017 compared to the three months ended March 31, 2016, primarily due to migration costs associated with our new client wins and higher reimbursable travel related costs with minimal or nil gross margin.</w:t>
      </w:r>
    </w:p>
    <w:p>
      <w:pPr>
        <w:spacing w:after="0" w:line="64" w:lineRule="exact"/>
        <w:rPr>
          <w:sz w:val="20"/>
          <w:szCs w:val="20"/>
          <w:color w:val="auto"/>
        </w:rPr>
      </w:pPr>
    </w:p>
    <w:p>
      <w:pPr>
        <w:jc w:val="both"/>
        <w:ind w:firstLine="554"/>
        <w:spacing w:after="0" w:line="293" w:lineRule="auto"/>
        <w:rPr>
          <w:sz w:val="20"/>
          <w:szCs w:val="20"/>
          <w:color w:val="auto"/>
        </w:rPr>
      </w:pPr>
      <w:r>
        <w:rPr>
          <w:rFonts w:ascii="Arial" w:cs="Arial" w:eastAsia="Arial" w:hAnsi="Arial"/>
          <w:sz w:val="16"/>
          <w:szCs w:val="16"/>
          <w:color w:val="auto"/>
        </w:rPr>
        <w:t>The decline in cost of revenues in All Other of $2.4 million was primarily due to a decrease in employee-related costs of $1.5 million on account of lower headcount partially offset by wage inflation. There was also a decrease in travel related costs of $0.5 million and technology, infrastructure costs and other operating expenses aggregating to $0.2 million in the three months ended March 31, 2016 due to lower revenues. The cost of revenues also decreased by $0.2 million due to the depreciation of the Philippines peso and the U.K. pound sterling against the U.S. dollar during the three months ended March 31, 2017 compared to the three months ended March 31, 2016. Gross margin decreased by 350 bps during the three months ended March 31, 2017 compared to the three months ended March 31, 2016, primarily due to lower revenues in our consulting and utilities operating segments.</w:t>
      </w:r>
    </w:p>
    <w:p>
      <w:pPr>
        <w:spacing w:after="0" w:line="57"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increase in cost of revenues in Analytics of $7.2 million was primarily due to an increase in employee-related costs of $8.0 million (including $4.7 million of incremental employee-related costs related to our 2016 acquisitions) on account of higher headcount and wage inflation, and an increase in technology cost of $0.1 million. This was partially offset 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reduction in our travel costs of $0.3 million and other operating expenses of $0.7 million. Gross margin decreased by 180 bps during the three months ended March 31, 2017 compared to the three months ended March 31, 2016, primarily due to higher employee costs and lower gross margin from our 2016 acquisitions.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6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20.5%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increase in SG&amp;A expenses was primarily due to an increase in employee-related costs of $3.5 million (including $0.9 million of incremental employee-related costs related to our 2016 acquisitions) as a result of annual wage increments and an increase in our average headcount to support the increased business volumes. There was an increase of $0.3 million due to infrastructure cost and $0.6 million due to professional fees, which was offset by lower travel costs and other expenses of $0.9 million.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w w:val="97"/>
              </w:rPr>
              <w:t>5.1%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97"/>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Depreciation and amortization expense increased by $1.3 million, or 15.9%, from $8.1 million for the three months ended March 31, 2016 to $9.4 million for the three months ended March 31, 2017. The increase in intangibles amortization expense of $0.8 million was primarily due to amortization of intangibles associated with our 2016 acquisitions. Further, there was an increase in our depreciation expense of $0.5 million, due to depreciation related to our new capital investments in India, South Africa and the Philippines to support our business growth.</w:t>
      </w:r>
    </w:p>
    <w:p>
      <w:pPr>
        <w:spacing w:after="0" w:line="29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$0.5 million, or 3.3%, from $16.4 million for the three months ended March 31,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$15.9 million for the three months ended March 31, 2017. As a percentage of revenues, income from operations decreased from 9.8% for the three months ended March 31, 2016 to 8.7% for the three months ended March 31, 2017.</w:t>
      </w:r>
    </w:p>
    <w:p>
      <w:pPr>
        <w:spacing w:after="0" w:line="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three months ended March 31, 2017. The average exchange rate of the Indian rupee against the U.S. dollar decreased from 67.51 during the three months ended March 31, 2016 to 66.46 during the three months ended March 31, 2017. The average exchange rate of the U.K. pound sterling against the U.S. dollar decreased from 1.42 during the three months ended March 31, 2016 to 1.24 during the three months ended March 31, 2017. The average exchange rate of the Philippine peso against the U.S. dollar increased from 47.09 during the three months ended March 31, 2016 to 50.05 during the three months ended March 31, 2017.</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$ 1.6 million for the three months ended March 31, 2017 compared to 0.5 million for the three months ended March 31,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remained relatively flat at $0.4 million for the three months ended March 31, 2016 and March 31,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Gain on mutual fund investments</w:t>
            </w:r>
          </w:p>
        </w:tc>
        <w:tc>
          <w:tcPr>
            <w:tcW w:w="86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Increase in interest and dividend income of $0.2 million and increase in gain on sale of mutual fund investments of $0.1 million was primarily due to higher cash balances in certain of our foreign subsidiaries during the three months ended March 31, 2017 compared to the three months ended March 31, 2016. Other income increased by $0.1 million primarily due to interest on refund received from income tax authorities in India on completion of tax assessments. We also recorded $0.3 million during the three months ended March 31, 2016 due to the reversal of earn-out liability related to our RPM acquisition.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29.9% during the three months ended March 31, 2016 to 17.5% (including the impact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discrete item of $2.1 million recognized on adoption of ASU No. 2016-09) during the three months ended March 31, 2017. Other than the impact of the adoption of the accounting standard mentioned above, the decrease was primarily due to higher earnings from foreign subsidiaries and lower domestic profit in the U.S.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$13.8 million for the three months ended March 31, 2016 to $16.8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2017, primarily due to lower income tax expense of $2.3 million, higher foreign exchange gain of $1.1 million, partially offset by lower income from operations of $0.5 million. As a percentage of revenues, net income increased from 8.3% for the three months ended March 31, 2016 to 9.2% for the three months ended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6"/>
        </w:trPr>
        <w:tc>
          <w:tcPr>
            <w:tcW w:w="6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213.2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provided by/(used for) operating activities</w:t>
            </w:r>
          </w:p>
        </w:tc>
        <w:tc>
          <w:tcPr>
            <w:tcW w:w="30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91.7</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March 31, 2017 and December 31, 2016, we had $218.2 million and $226.6 million, respectively, in cash, cash equivalents and short-term investments (including $176.5 million and $170.1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flows from operating activities increased by $17.5 million from a negative cash flow from operating activities of $10.4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2016 to a positive cash flow from operating activities of $7.1 million for the three months ended March 31, 2017. Generally, factors that affect our earnings—including pricing, volume of services, costs and productivity—affect our cash flows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7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The increase in cash flows from operations for the three months ended March 31, 2017 compared to the three months ended March 31, 2016 was due to an increase in net income by $3.0 million and decrease in working capital of $15.9 million from $39.0 million during the three months ended March 31, 2016 to $23.1 million during the three months ended March 31,</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37"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2017. The decrease in working capital was primarily due to a change in accounts receivables, accrued expenses and other current liabilities and accrued employee costs, offset by change in account payables.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by $27.3 million from $89.8 million for the three months ended March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$117.1 million for the three months ended March 31, 2017. The increase was primarily due to an increase in short-term investments of $25.6 million (net of redemption) during the three months ended March 31, 2017 compared to the three months ended March 31, 2016 and due to an increase in capital expenditures of $1.7 million.</w:t>
      </w:r>
    </w:p>
    <w:p>
      <w:pPr>
        <w:spacing w:after="0" w:line="18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was $11.8 million during the three months ended March 31, 2017 compared to $10.0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three months ended March 31, 2016. The increase in cash flow used for financing activities between periods is primarily due to higher purchases of treasury stock of $5.1 million and lower proceeds from exercise of stock options of $1.8 million during the three months ended March 31, 2017 compared to the three months ended March 31, 2016. This was partially offset by repayment of borrowings of $5.0 million under the Credit Agreement (as described below in “Financing Arrangements”) during the three months ended March 31, 2016.</w:t>
      </w:r>
    </w:p>
    <w:p>
      <w:pPr>
        <w:spacing w:after="0" w:line="17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$10.2 million of capital expenditures in the three months ended March 31, 2017. We expect to incur capital expenditures of between $30.0 million to $35.0 million in 2017, primarily to meet our growth requirements, including additions to our facilities as well as investments in technology applications and infrastructure, but the actual amount may vary based on economic conditions or other factors.</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21 to our unaudited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On October 24, 2014 we entered into a Credit Agreement that provides for a $50.0 million revolving credit facility (“Credit Facility”). We had an option to increase the commitments under the Credit Facility by up to an additional $50.0 million, which we exercised on February 23, 2015, pursuant to an amendment to the Credit Agreement providing the same terms and conditions which were available in the Credit Agreement. The Credit Facility has a maturity date of October 24, 2019 and is voluntarily pre-payable from time to time without premium or penalty. As of March 31, 2017, we had outstanding indebtedness of $45.0 million, of which $10.0 million is expected to be repaid within the next twelve months and is included under "short-term borrowings" and the balance of which $35.0 million is included under "long term borrowings" in the unaudited consolidated balance sheets.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Borrowings under the Credit Facility may be used for working capital and general corporate purposes of the Company and its subsidiaries and for acquisitions.</w:t>
      </w:r>
    </w:p>
    <w:p>
      <w:pPr>
        <w:spacing w:after="0" w:line="17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2.50% per annum during the three months ended March 31, 2017.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and December 31, 2016, we had no off-balance sheet arrangements or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March 31, 2017:</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Payment Due by Period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2"/>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1-3</w:t>
            </w:r>
          </w:p>
        </w:tc>
        <w:tc>
          <w:tcPr>
            <w:tcW w:w="10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4-5</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30.9</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45.0</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56.4</w:t>
            </w: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109.1</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March 31, 2017.</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Excludes $3.2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our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2017,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2016.</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2017. Based upon that evaluation, the CEO and CFO have concluded that, as of March 31, 2017,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During the three months ended March 31, 2017,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21 to our unaudited consolidated financial statements contained herein for details regarding our tax proceedings.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2016 a number of risks which may materially affect our business, financial condition or results of operations. You should carefully consider the “Risk Factors” set forth in our Annual Report on Form 10-K for the fiscal year ended December 31, 2016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March 31, 2017, purchases of common stock were as follows: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940" w:type="dxa"/>
            <w:vAlign w:val="bottom"/>
            <w:gridSpan w:val="3"/>
            <w:vMerge w:val="continue"/>
            <w:shd w:val="clear" w:color="auto" w:fill="CCEEFF"/>
          </w:tcPr>
          <w:p>
            <w:pPr>
              <w:spacing w:after="0"/>
              <w:rPr>
                <w:sz w:val="9"/>
                <w:szCs w:val="9"/>
                <w:color w:val="auto"/>
              </w:rPr>
            </w:pPr>
          </w:p>
        </w:tc>
        <w:tc>
          <w:tcPr>
            <w:tcW w:w="1940" w:type="dxa"/>
            <w:vAlign w:val="bottom"/>
            <w:gridSpan w:val="2"/>
            <w:vMerge w:val="continue"/>
            <w:shd w:val="clear" w:color="auto" w:fill="CCEEFF"/>
          </w:tcPr>
          <w:p>
            <w:pPr>
              <w:spacing w:after="0"/>
              <w:rPr>
                <w:sz w:val="9"/>
                <w:szCs w:val="9"/>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continue"/>
            <w:shd w:val="clear" w:color="auto" w:fill="CCEEFF"/>
          </w:tcPr>
          <w:p>
            <w:pPr>
              <w:spacing w:after="0"/>
              <w:rPr>
                <w:sz w:val="9"/>
                <w:szCs w:val="9"/>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19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940" w:type="dxa"/>
            <w:vAlign w:val="bottom"/>
            <w:gridSpan w:val="3"/>
            <w:vMerge w:val="continue"/>
            <w:shd w:val="clear" w:color="auto" w:fill="CCEEFF"/>
          </w:tcPr>
          <w:p>
            <w:pPr>
              <w:spacing w:after="0"/>
              <w:rPr>
                <w:sz w:val="10"/>
                <w:szCs w:val="10"/>
                <w:color w:val="auto"/>
              </w:rPr>
            </w:pPr>
          </w:p>
        </w:tc>
        <w:tc>
          <w:tcPr>
            <w:tcW w:w="1940" w:type="dxa"/>
            <w:vAlign w:val="bottom"/>
            <w:gridSpan w:val="2"/>
            <w:vMerge w:val="continue"/>
            <w:shd w:val="clear" w:color="auto" w:fill="CCEEFF"/>
          </w:tcPr>
          <w:p>
            <w:pPr>
              <w:spacing w:after="0"/>
              <w:rPr>
                <w:sz w:val="10"/>
                <w:szCs w:val="10"/>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9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January 1, 2017 through January 31,</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Pr>
          <w:p>
            <w:pPr>
              <w:ind w:left="20"/>
              <w:spacing w:after="0" w:line="257"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78,978</w:t>
            </w:r>
          </w:p>
        </w:tc>
        <w:tc>
          <w:tcPr>
            <w:tcW w:w="12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35,994</w:t>
            </w:r>
          </w:p>
        </w:tc>
        <w:tc>
          <w:tcPr>
            <w:tcW w:w="1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18,275,777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February 1, 2017 through February 28,</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69,105</w:t>
            </w: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49,305</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36,000,012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8"/>
              </w:rPr>
              <w:t>March 1, 2017 through March 31, 2017</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108,663</w:t>
            </w:r>
          </w:p>
        </w:tc>
        <w:tc>
          <w:tcPr>
            <w:tcW w:w="1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108,663</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31,000,021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256,746</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193,962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0"/>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42,984 shares of the Company’s common stock acquired by the Company at the price of $46.45 in connection with satisfaction of tax withholding obligations on vested restricted stock. Price paid per share for the restricted stock was the average of high and low price of common stock on the trading day prior to the vesting date of the restricted stock units.</w:t>
      </w:r>
    </w:p>
    <w:p>
      <w:pPr>
        <w:spacing w:after="0" w:line="181" w:lineRule="exact"/>
        <w:rPr>
          <w:rFonts w:ascii="Arial" w:cs="Arial" w:eastAsia="Arial" w:hAnsi="Arial"/>
          <w:sz w:val="18"/>
          <w:szCs w:val="18"/>
          <w:color w:val="auto"/>
        </w:rPr>
      </w:pPr>
    </w:p>
    <w:p>
      <w:pPr>
        <w:jc w:val="both"/>
        <w:ind w:firstLine="440"/>
        <w:spacing w:after="0" w:line="264" w:lineRule="auto"/>
        <w:tabs>
          <w:tab w:leader="none" w:pos="7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19,800 shares of the Company’s common stock acquired by the Company at the price of $46.27 in connection with satisfaction of tax withholding obligations on vested restricted stock. Price paid per share for the restricted stock was the average of high and low price of common stock on the trading day prior to the vesting date of the restricted stock units.</w:t>
      </w:r>
    </w:p>
    <w:p>
      <w:pPr>
        <w:spacing w:after="0" w:line="181" w:lineRule="exact"/>
        <w:rPr>
          <w:rFonts w:ascii="Arial" w:cs="Arial" w:eastAsia="Arial" w:hAnsi="Arial"/>
          <w:sz w:val="18"/>
          <w:szCs w:val="18"/>
          <w:color w:val="auto"/>
        </w:rPr>
      </w:pPr>
    </w:p>
    <w:p>
      <w:pPr>
        <w:jc w:val="both"/>
        <w:ind w:firstLine="440"/>
        <w:spacing w:after="0" w:line="259" w:lineRule="auto"/>
        <w:tabs>
          <w:tab w:leader="none" w:pos="7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of $100 million. The approval increases the 2017 authorization from $20 million to $40 million and authorizes stock repurchases of up to $40 million in each of 2018 and 2019.</w:t>
      </w: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color w:val="auto"/>
              </w:rPr>
              <w:t>Date: May 2, 2017</w:t>
            </w:r>
          </w:p>
        </w:tc>
        <w:tc>
          <w:tcPr>
            <w:tcW w:w="818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180" w:type="dxa"/>
            <w:vAlign w:val="bottom"/>
          </w:tcPr>
          <w:p>
            <w:pPr>
              <w:spacing w:after="0"/>
              <w:rPr>
                <w:sz w:val="24"/>
                <w:szCs w:val="24"/>
                <w:color w:val="auto"/>
              </w:rPr>
            </w:pPr>
          </w:p>
        </w:tc>
        <w:tc>
          <w:tcPr>
            <w:tcW w:w="8180" w:type="dxa"/>
            <w:vAlign w:val="bottom"/>
            <w:gridSpan w:val="2"/>
          </w:tcPr>
          <w:p>
            <w:pPr>
              <w:ind w:left="182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180" w:type="dxa"/>
            <w:vAlign w:val="bottom"/>
          </w:tcPr>
          <w:p>
            <w:pPr>
              <w:spacing w:after="0"/>
              <w:rPr>
                <w:sz w:val="24"/>
                <w:szCs w:val="24"/>
                <w:color w:val="auto"/>
              </w:rPr>
            </w:pPr>
          </w:p>
        </w:tc>
        <w:tc>
          <w:tcPr>
            <w:tcW w:w="8180" w:type="dxa"/>
            <w:vAlign w:val="bottom"/>
            <w:gridSpan w:val="2"/>
          </w:tcPr>
          <w:p>
            <w:pPr>
              <w:ind w:left="24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00"/>
          </w:cols>
          <w:pgMar w:left="240" w:top="337"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0420" w:type="dxa"/>
            <w:vAlign w:val="bottom"/>
          </w:tcPr>
          <w:p>
            <w:pPr>
              <w:ind w:left="140"/>
              <w:spacing w:after="0"/>
              <w:rPr>
                <w:sz w:val="20"/>
                <w:szCs w:val="20"/>
                <w:color w:val="auto"/>
              </w:rPr>
            </w:pPr>
            <w:r>
              <w:rPr>
                <w:rFonts w:ascii="Arial" w:cs="Arial" w:eastAsia="Arial" w:hAnsi="Arial"/>
                <w:sz w:val="18"/>
                <w:szCs w:val="18"/>
                <w:color w:val="auto"/>
                <w:w w:val="90"/>
              </w:rPr>
              <w:t>Amended and Restated Certificate of Incorporation of the Company, as in effect on the date hereof (incorporated by reference to Exhibit 3.1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the Company’s Current Report on Form 8-K (File No. 1-33089) filed on October 25, 2006).</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Fourth Amended and Restated By-Laws of ExlService Holdings, Inc., as in effect on the date hereof (incorporated by reference to Exhibit 3.2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the Company’s Current Report on Form 8-K (File No. 1-33089) filed on February 28, 2017).</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0420" w:type="dxa"/>
            <w:vAlign w:val="bottom"/>
          </w:tcPr>
          <w:p>
            <w:pPr>
              <w:ind w:left="140"/>
              <w:spacing w:after="0"/>
              <w:rPr>
                <w:sz w:val="20"/>
                <w:szCs w:val="20"/>
                <w:color w:val="auto"/>
              </w:rPr>
            </w:pPr>
            <w:r>
              <w:rPr>
                <w:rFonts w:ascii="Arial" w:cs="Arial" w:eastAsia="Arial" w:hAnsi="Arial"/>
                <w:sz w:val="18"/>
                <w:szCs w:val="18"/>
                <w:color w:val="auto"/>
                <w:w w:val="92"/>
              </w:rPr>
              <w:t>Certification of the Chief Executive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0420" w:type="dxa"/>
            <w:vAlign w:val="bottom"/>
          </w:tcPr>
          <w:p>
            <w:pPr>
              <w:ind w:left="14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10420" w:type="dxa"/>
            <w:vAlign w:val="bottom"/>
            <w:vMerge w:val="restart"/>
          </w:tcPr>
          <w:p>
            <w:pPr>
              <w:ind w:left="47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2, 2017</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2, 2017</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2017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2017</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March 31, 2017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2019-12-29T06:47:48Z</dcterms:created>
  <dcterms:modified xsi:type="dcterms:W3CDTF">2019-12-29T06:47:48Z</dcterms:modified>
</cp:coreProperties>
</file>