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600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0"/>
                <w:szCs w:val="20"/>
                <w:color w:val="auto"/>
              </w:rPr>
            </w:pPr>
            <w:r>
              <w:rPr>
                <w:rFonts w:ascii="Arial" w:cs="Arial" w:eastAsia="Arial" w:hAnsi="Arial"/>
                <w:sz w:val="18"/>
                <w:szCs w:val="18"/>
                <w:color w:val="0000FF"/>
              </w:rPr>
              <w:t>600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254</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47.92</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346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jc w:val="center"/>
              <w:ind w:left="9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600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600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tcPr>
          <w:p>
            <w:pPr>
              <w:ind w:left="380"/>
              <w:spacing w:after="0" w:line="149" w:lineRule="exact"/>
              <w:rPr>
                <w:sz w:val="20"/>
                <w:szCs w:val="20"/>
                <w:color w:val="auto"/>
              </w:rPr>
            </w:pPr>
            <w:r>
              <w:rPr>
                <w:rFonts w:ascii="Arial" w:cs="Arial" w:eastAsia="Arial" w:hAnsi="Arial"/>
                <w:sz w:val="14"/>
                <w:szCs w:val="14"/>
                <w:color w:val="0000FF"/>
              </w:rPr>
              <w:t>5,400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10 percent of the restricted stock units became vested on February 26, 2016, an additional 20 percent of the restricted stock units will vest on February 26, 2017, an additional 30 percent of the restricted stock units will vest on February 26, 2018, and the remaining balance i/n/o 2,400 shares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2019-12-08T02:09:09Z</dcterms:created>
  <dcterms:modified xsi:type="dcterms:W3CDTF">2019-12-08T02:09:09Z</dcterms:modified>
</cp:coreProperties>
</file>