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jc w:val="center"/>
        <w:ind w:left="360"/>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-5715</wp:posOffset>
            </wp:positionV>
            <wp:extent cx="144780" cy="195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780" cy="195580"/>
                    </a:xfrm>
                    <a:prstGeom prst="rect">
                      <a:avLst/>
                    </a:prstGeom>
                    <a:noFill/>
                  </pic:spPr>
                </pic:pic>
              </a:graphicData>
            </a:graphic>
          </wp:anchor>
        </w:drawing>
      </w:r>
    </w:p>
    <w:p>
      <w:pPr>
        <w:jc w:val="both"/>
        <w:ind w:left="360" w:right="360" w:hanging="272"/>
        <w:spacing w:after="0" w:line="187"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331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3146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20" w:space="34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Bloom William A</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07/18/2014</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46"/>
        <w:spacing w:after="0"/>
        <w:rPr>
          <w:sz w:val="20"/>
          <w:szCs w:val="20"/>
          <w:color w:val="auto"/>
        </w:rPr>
      </w:pPr>
      <w:r>
        <w:rPr>
          <w:rFonts w:ascii="Arial" w:cs="Arial" w:eastAsia="Arial" w:hAnsi="Arial"/>
          <w:sz w:val="17"/>
          <w:szCs w:val="17"/>
          <w:color w:val="0000FF"/>
        </w:rPr>
        <w:t>Pres., Global Client Services</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6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10017</w:t>
            </w:r>
          </w:p>
        </w:tc>
      </w:tr>
      <w:tr>
        <w:trPr>
          <w:trHeight w:val="156"/>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3"/>
                <w:szCs w:val="13"/>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8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20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7"/>
                <w:szCs w:val="17"/>
                <w:color w:val="0000FF"/>
              </w:rPr>
              <w:t>07/18/2014</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15,000</w:t>
            </w:r>
          </w:p>
        </w:tc>
        <w:tc>
          <w:tcPr>
            <w:tcW w:w="6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17.75</w:t>
            </w:r>
          </w:p>
        </w:tc>
        <w:tc>
          <w:tcPr>
            <w:tcW w:w="1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35,551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20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7"/>
                <w:szCs w:val="17"/>
                <w:color w:val="0000FF"/>
              </w:rPr>
              <w:t>07/18/2014</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15,000</w:t>
            </w:r>
          </w:p>
        </w:tc>
        <w:tc>
          <w:tcPr>
            <w:tcW w:w="6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28.878</w:t>
            </w:r>
            <w:r>
              <w:rPr>
                <w:rFonts w:ascii="Arial" w:cs="Arial" w:eastAsia="Arial" w:hAnsi="Arial"/>
                <w:sz w:val="22"/>
                <w:szCs w:val="22"/>
                <w:color w:val="008000"/>
                <w:w w:val="93"/>
                <w:vertAlign w:val="superscript"/>
              </w:rPr>
              <w:t>(3)</w:t>
            </w:r>
          </w:p>
        </w:tc>
        <w:tc>
          <w:tcPr>
            <w:tcW w:w="122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20,551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jc w:val="center"/>
              <w:ind w:right="9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100" w:type="dxa"/>
            <w:vAlign w:val="bottom"/>
            <w:gridSpan w:val="8"/>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Arial" w:cs="Arial" w:eastAsia="Arial" w:hAnsi="Arial"/>
                <w:sz w:val="13"/>
                <w:szCs w:val="13"/>
                <w:color w:val="0000FF"/>
                <w:w w:val="98"/>
              </w:rPr>
              <w:t>Common</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vMerge w:val="restart"/>
          </w:tcPr>
          <w:p>
            <w:pPr>
              <w:ind w:left="100"/>
              <w:spacing w:after="0" w:line="295"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(2)</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760" w:type="dxa"/>
            <w:vAlign w:val="bottom"/>
          </w:tcPr>
          <w:p>
            <w:pPr>
              <w:spacing w:after="0"/>
              <w:rPr>
                <w:sz w:val="12"/>
                <w:szCs w:val="12"/>
                <w:color w:val="auto"/>
              </w:rPr>
            </w:pPr>
          </w:p>
        </w:tc>
        <w:tc>
          <w:tcPr>
            <w:tcW w:w="6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660" w:type="dxa"/>
            <w:vAlign w:val="bottom"/>
            <w:vMerge w:val="restart"/>
          </w:tcPr>
          <w:p>
            <w:pPr>
              <w:ind w:left="100"/>
              <w:spacing w:after="0"/>
              <w:rPr>
                <w:sz w:val="20"/>
                <w:szCs w:val="20"/>
                <w:color w:val="auto"/>
              </w:rPr>
            </w:pPr>
            <w:r>
              <w:rPr>
                <w:rFonts w:ascii="Arial" w:cs="Arial" w:eastAsia="Arial" w:hAnsi="Arial"/>
                <w:sz w:val="17"/>
                <w:szCs w:val="17"/>
                <w:color w:val="0000FF"/>
              </w:rPr>
              <w:t>15,000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Options</w:t>
            </w:r>
          </w:p>
        </w:tc>
        <w:tc>
          <w:tcPr>
            <w:tcW w:w="800" w:type="dxa"/>
            <w:vAlign w:val="bottom"/>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17.75</w:t>
            </w:r>
          </w:p>
        </w:tc>
        <w:tc>
          <w:tcPr>
            <w:tcW w:w="1080" w:type="dxa"/>
            <w:vAlign w:val="bottom"/>
          </w:tcPr>
          <w:p>
            <w:pPr>
              <w:jc w:val="right"/>
              <w:ind w:right="138"/>
              <w:spacing w:after="0" w:line="148" w:lineRule="exact"/>
              <w:rPr>
                <w:sz w:val="20"/>
                <w:szCs w:val="20"/>
                <w:color w:val="auto"/>
              </w:rPr>
            </w:pPr>
            <w:r>
              <w:rPr>
                <w:rFonts w:ascii="Arial" w:cs="Arial" w:eastAsia="Arial" w:hAnsi="Arial"/>
                <w:sz w:val="13"/>
                <w:szCs w:val="13"/>
                <w:color w:val="0000FF"/>
              </w:rPr>
              <w:t>07/18/2014</w:t>
            </w: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ind w:left="380"/>
              <w:spacing w:after="0" w:line="148" w:lineRule="exact"/>
              <w:rPr>
                <w:sz w:val="20"/>
                <w:szCs w:val="20"/>
                <w:color w:val="auto"/>
              </w:rPr>
            </w:pPr>
            <w:r>
              <w:rPr>
                <w:rFonts w:ascii="Arial" w:cs="Arial" w:eastAsia="Arial" w:hAnsi="Arial"/>
                <w:sz w:val="13"/>
                <w:szCs w:val="13"/>
                <w:color w:val="0000FF"/>
              </w:rPr>
              <w:t>15,000</w:t>
            </w:r>
          </w:p>
        </w:tc>
        <w:tc>
          <w:tcPr>
            <w:tcW w:w="800" w:type="dxa"/>
            <w:vAlign w:val="bottom"/>
            <w:vMerge w:val="continue"/>
          </w:tcPr>
          <w:p>
            <w:pPr>
              <w:spacing w:after="0"/>
              <w:rPr>
                <w:sz w:val="12"/>
                <w:szCs w:val="12"/>
                <w:color w:val="auto"/>
              </w:rPr>
            </w:pPr>
          </w:p>
        </w:tc>
        <w:tc>
          <w:tcPr>
            <w:tcW w:w="760" w:type="dxa"/>
            <w:vAlign w:val="bottom"/>
          </w:tcPr>
          <w:p>
            <w:pPr>
              <w:ind w:left="80"/>
              <w:spacing w:after="0" w:line="148" w:lineRule="exact"/>
              <w:rPr>
                <w:sz w:val="20"/>
                <w:szCs w:val="20"/>
                <w:color w:val="auto"/>
              </w:rPr>
            </w:pPr>
            <w:r>
              <w:rPr>
                <w:rFonts w:ascii="Arial" w:cs="Arial" w:eastAsia="Arial" w:hAnsi="Arial"/>
                <w:sz w:val="13"/>
                <w:szCs w:val="13"/>
                <w:color w:val="0000FF"/>
              </w:rPr>
              <w:t>07/12/2020</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0000FF"/>
                <w:w w:val="97"/>
              </w:rPr>
              <w:t>par value</w:t>
            </w: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ind w:left="1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8" w:lineRule="exact"/>
              <w:rPr>
                <w:sz w:val="20"/>
                <w:szCs w:val="20"/>
                <w:color w:val="auto"/>
              </w:rPr>
            </w:pPr>
            <w:r>
              <w:rPr>
                <w:rFonts w:ascii="Arial" w:cs="Arial" w:eastAsia="Arial" w:hAnsi="Arial"/>
                <w:sz w:val="13"/>
                <w:szCs w:val="13"/>
                <w:color w:val="0000FF"/>
                <w:w w:val="90"/>
              </w:rPr>
              <w:t>85,000</w:t>
            </w:r>
          </w:p>
        </w:tc>
        <w:tc>
          <w:tcPr>
            <w:tcW w:w="28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Arial" w:cs="Arial" w:eastAsia="Arial" w:hAnsi="Arial"/>
                <w:sz w:val="13"/>
                <w:szCs w:val="13"/>
                <w:color w:val="0000FF"/>
                <w:w w:val="90"/>
              </w:rPr>
              <w:t>per share</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On July 18, 2014 the reporting person exercised previously issued options to purchase an aggregate of 15,000 shares of common stock of ExlService Holdings, Inc.</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1" w:lineRule="exact"/>
        <w:rPr>
          <w:rFonts w:ascii="Arial" w:cs="Arial" w:eastAsia="Arial" w:hAnsi="Arial"/>
          <w:sz w:val="13"/>
          <w:szCs w:val="13"/>
          <w:color w:val="008000"/>
        </w:rPr>
      </w:pPr>
    </w:p>
    <w:p>
      <w:pPr>
        <w:jc w:val="both"/>
        <w:ind w:left="40" w:right="260" w:firstLine="8"/>
        <w:spacing w:after="0" w:line="303" w:lineRule="auto"/>
        <w:tabs>
          <w:tab w:leader="none" w:pos="174"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$28.33 to $29.36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85,000 of these options are currently vested and exercisable.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07/22/2014</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32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2019-12-16T14:57:12Z</dcterms:created>
  <dcterms:modified xsi:type="dcterms:W3CDTF">2019-12-16T14:57:12Z</dcterms:modified>
</cp:coreProperties>
</file>