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3" w:lineRule="exact"/>
        <w:rPr>
          <w:sz w:val="24"/>
          <w:szCs w:val="24"/>
          <w:color w:val="auto"/>
        </w:rPr>
      </w:pPr>
    </w:p>
    <w:p>
      <w:pPr>
        <w:ind w:left="306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6" w:lineRule="exact"/>
        <w:rPr>
          <w:sz w:val="24"/>
          <w:szCs w:val="24"/>
          <w:color w:val="auto"/>
        </w:rPr>
      </w:pPr>
    </w:p>
    <w:p>
      <w:pPr>
        <w:ind w:left="306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CURRENT REPORT</w:t>
      </w:r>
    </w:p>
    <w:p>
      <w:pPr>
        <w:spacing w:after="0" w:line="262" w:lineRule="exact"/>
        <w:rPr>
          <w:sz w:val="24"/>
          <w:szCs w:val="24"/>
          <w:color w:val="auto"/>
        </w:rPr>
      </w:pPr>
    </w:p>
    <w:p>
      <w:pPr>
        <w:ind w:left="3180"/>
        <w:spacing w:after="0"/>
        <w:rPr>
          <w:sz w:val="20"/>
          <w:szCs w:val="20"/>
          <w:color w:val="auto"/>
        </w:rPr>
      </w:pPr>
      <w:r>
        <w:rPr>
          <w:rFonts w:ascii="Arial" w:cs="Arial" w:eastAsia="Arial" w:hAnsi="Arial"/>
          <w:sz w:val="16"/>
          <w:szCs w:val="16"/>
          <w:b w:val="1"/>
          <w:bCs w:val="1"/>
          <w:color w:val="auto"/>
        </w:rPr>
        <w:t>Pursuant to Sections 13 or 15(d) of the Securities Exchange Act of 1934</w:t>
      </w:r>
    </w:p>
    <w:p>
      <w:pPr>
        <w:spacing w:after="0" w:line="63" w:lineRule="exact"/>
        <w:rPr>
          <w:sz w:val="24"/>
          <w:szCs w:val="24"/>
          <w:color w:val="auto"/>
        </w:rPr>
      </w:pPr>
    </w:p>
    <w:p>
      <w:pPr>
        <w:ind w:left="3620"/>
        <w:spacing w:after="0"/>
        <w:rPr>
          <w:sz w:val="20"/>
          <w:szCs w:val="20"/>
          <w:color w:val="auto"/>
        </w:rPr>
      </w:pPr>
      <w:r>
        <w:rPr>
          <w:rFonts w:ascii="Arial" w:cs="Arial" w:eastAsia="Arial" w:hAnsi="Arial"/>
          <w:sz w:val="16"/>
          <w:szCs w:val="16"/>
          <w:color w:val="auto"/>
        </w:rPr>
        <w:t>Date of Report (Date of earliest event reported): July 29, 2021</w:t>
      </w:r>
    </w:p>
    <w:p>
      <w:pPr>
        <w:spacing w:after="0" w:line="51" w:lineRule="exact"/>
        <w:rPr>
          <w:sz w:val="24"/>
          <w:szCs w:val="24"/>
          <w:color w:val="auto"/>
        </w:rPr>
      </w:pPr>
    </w:p>
    <w:p>
      <w:pPr>
        <w:ind w:left="308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EXLSERVICE HOLDINGS,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 w:lineRule="exact"/>
        <w:rPr>
          <w:sz w:val="24"/>
          <w:szCs w:val="24"/>
          <w:color w:val="auto"/>
        </w:rPr>
      </w:pPr>
    </w:p>
    <w:p>
      <w:pPr>
        <w:ind w:left="306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ectPr>
          <w:pgSz w:w="11900" w:h="16838" w:orient="portrait"/>
          <w:cols w:equalWidth="0" w:num="1">
            <w:col w:w="11240"/>
          </w:cols>
          <w:pgMar w:left="320" w:top="1174" w:right="339" w:bottom="1440" w:gutter="0" w:footer="0" w:header="0"/>
        </w:sectPr>
      </w:pPr>
    </w:p>
    <w:p>
      <w:pPr>
        <w:spacing w:after="0" w:line="127" w:lineRule="exact"/>
        <w:rPr>
          <w:sz w:val="24"/>
          <w:szCs w:val="24"/>
          <w:color w:val="auto"/>
        </w:rPr>
      </w:pPr>
    </w:p>
    <w:p>
      <w:pPr>
        <w:ind w:left="1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2300"/>
        <w:spacing w:after="0"/>
        <w:rPr>
          <w:sz w:val="20"/>
          <w:szCs w:val="20"/>
          <w:color w:val="auto"/>
        </w:rPr>
      </w:pPr>
      <w:r>
        <w:rPr>
          <w:rFonts w:ascii="Arial" w:cs="Arial" w:eastAsia="Arial" w:hAnsi="Arial"/>
          <w:sz w:val="14"/>
          <w:szCs w:val="14"/>
          <w:b w:val="1"/>
          <w:bCs w:val="1"/>
          <w:color w:val="auto"/>
        </w:rPr>
        <w:t>001-33089</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82-0572194</w:t>
      </w:r>
    </w:p>
    <w:p>
      <w:pPr>
        <w:spacing w:after="0" w:line="51" w:lineRule="exact"/>
        <w:rPr>
          <w:sz w:val="24"/>
          <w:szCs w:val="24"/>
          <w:color w:val="auto"/>
        </w:rPr>
      </w:pPr>
    </w:p>
    <w:p>
      <w:pPr>
        <w:sectPr>
          <w:pgSz w:w="11900" w:h="16838" w:orient="portrait"/>
          <w:cols w:equalWidth="0" w:num="3">
            <w:col w:w="4540" w:space="720"/>
            <w:col w:w="3000" w:space="720"/>
            <w:col w:w="2260"/>
          </w:cols>
          <w:pgMar w:left="320" w:top="1174" w:right="339" w:bottom="1440" w:gutter="0" w:footer="0" w:header="0"/>
          <w:type w:val="continuous"/>
        </w:sectPr>
      </w:pPr>
    </w:p>
    <w:p>
      <w:pPr>
        <w:jc w:val="center"/>
        <w:ind w:right="260"/>
        <w:spacing w:after="0"/>
        <w:rPr>
          <w:sz w:val="20"/>
          <w:szCs w:val="20"/>
          <w:color w:val="auto"/>
        </w:rPr>
      </w:pPr>
      <w:r>
        <w:rPr>
          <w:rFonts w:ascii="Arial" w:cs="Arial" w:eastAsia="Arial" w:hAnsi="Arial"/>
          <w:sz w:val="16"/>
          <w:szCs w:val="16"/>
          <w:color w:val="auto"/>
        </w:rPr>
        <w:t>(State or other jurisdiction</w:t>
      </w:r>
    </w:p>
    <w:p>
      <w:pPr>
        <w:jc w:val="center"/>
        <w:ind w:right="260"/>
        <w:spacing w:after="0"/>
        <w:rPr>
          <w:sz w:val="20"/>
          <w:szCs w:val="20"/>
          <w:color w:val="auto"/>
        </w:rPr>
      </w:pPr>
      <w:r>
        <w:rPr>
          <w:rFonts w:ascii="Arial" w:cs="Arial" w:eastAsia="Arial" w:hAnsi="Arial"/>
          <w:sz w:val="15"/>
          <w:szCs w:val="15"/>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5"/>
          <w:szCs w:val="15"/>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5"/>
          <w:szCs w:val="15"/>
          <w:color w:val="auto"/>
        </w:rPr>
        <w:t>Identification No.)</w:t>
      </w:r>
    </w:p>
    <w:p>
      <w:pPr>
        <w:spacing w:after="0" w:line="200" w:lineRule="exact"/>
        <w:rPr>
          <w:sz w:val="24"/>
          <w:szCs w:val="24"/>
          <w:color w:val="auto"/>
        </w:rPr>
      </w:pPr>
    </w:p>
    <w:p>
      <w:pPr>
        <w:sectPr>
          <w:pgSz w:w="11900" w:h="16838" w:orient="portrait"/>
          <w:cols w:equalWidth="0" w:num="3">
            <w:col w:w="4000" w:space="720"/>
            <w:col w:w="3320" w:space="720"/>
            <w:col w:w="2480"/>
          </w:cols>
          <w:pgMar w:left="320" w:top="1174" w:right="339" w:bottom="1440" w:gutter="0" w:footer="0" w:header="0"/>
          <w:type w:val="continuous"/>
        </w:sectPr>
      </w:pPr>
    </w:p>
    <w:p>
      <w:pPr>
        <w:spacing w:after="0" w:line="190" w:lineRule="exact"/>
        <w:rPr>
          <w:sz w:val="24"/>
          <w:szCs w:val="24"/>
          <w:color w:val="auto"/>
        </w:rPr>
      </w:pPr>
    </w:p>
    <w:p>
      <w:pPr>
        <w:ind w:left="4480"/>
        <w:spacing w:after="0"/>
        <w:rPr>
          <w:sz w:val="20"/>
          <w:szCs w:val="20"/>
          <w:color w:val="auto"/>
        </w:rPr>
      </w:pPr>
      <w:r>
        <w:rPr>
          <w:rFonts w:ascii="Arial" w:cs="Arial" w:eastAsia="Arial" w:hAnsi="Arial"/>
          <w:sz w:val="14"/>
          <w:szCs w:val="14"/>
          <w:b w:val="1"/>
          <w:bCs w:val="1"/>
          <w:color w:val="auto"/>
        </w:rPr>
        <w:t>320 Park Avenue, 29th Floor,</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10022</w:t>
      </w:r>
    </w:p>
    <w:p>
      <w:pPr>
        <w:spacing w:after="0" w:line="55" w:lineRule="exact"/>
        <w:rPr>
          <w:sz w:val="24"/>
          <w:szCs w:val="24"/>
          <w:color w:val="auto"/>
        </w:rPr>
      </w:pPr>
    </w:p>
    <w:p>
      <w:pPr>
        <w:sectPr>
          <w:pgSz w:w="11900" w:h="16838" w:orient="portrait"/>
          <w:cols w:equalWidth="0" w:num="2">
            <w:col w:w="7620" w:space="720"/>
            <w:col w:w="2900"/>
          </w:cols>
          <w:pgMar w:left="320" w:top="1174" w:right="339" w:bottom="1440" w:gutter="0" w:footer="0" w:header="0"/>
          <w:type w:val="continuous"/>
        </w:sectPr>
      </w:pPr>
    </w:p>
    <w:p>
      <w:pPr>
        <w:ind w:left="4960"/>
        <w:spacing w:after="0"/>
        <w:rPr>
          <w:sz w:val="20"/>
          <w:szCs w:val="20"/>
          <w:color w:val="auto"/>
        </w:rPr>
      </w:pPr>
      <w:r>
        <w:rPr>
          <w:rFonts w:ascii="Arial" w:cs="Arial" w:eastAsia="Arial" w:hAnsi="Arial"/>
          <w:sz w:val="15"/>
          <w:szCs w:val="15"/>
          <w:b w:val="1"/>
          <w:bCs w:val="1"/>
          <w:color w:val="auto"/>
        </w:rPr>
        <w:t>New York, New York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(Zip code)</w:t>
      </w:r>
    </w:p>
    <w:p>
      <w:pPr>
        <w:spacing w:after="0" w:line="44" w:lineRule="exact"/>
        <w:rPr>
          <w:sz w:val="24"/>
          <w:szCs w:val="24"/>
          <w:color w:val="auto"/>
        </w:rPr>
      </w:pPr>
    </w:p>
    <w:p>
      <w:pPr>
        <w:sectPr>
          <w:pgSz w:w="11900" w:h="16838" w:orient="portrait"/>
          <w:cols w:equalWidth="0" w:num="2">
            <w:col w:w="7480" w:space="720"/>
            <w:col w:w="3040"/>
          </w:cols>
          <w:pgMar w:left="320" w:top="1174" w:right="339" w:bottom="1440" w:gutter="0" w:footer="0" w:header="0"/>
          <w:type w:val="continuous"/>
        </w:sectPr>
      </w:pPr>
    </w:p>
    <w:p>
      <w:pPr>
        <w:ind w:left="4580"/>
        <w:spacing w:after="0"/>
        <w:rPr>
          <w:sz w:val="20"/>
          <w:szCs w:val="20"/>
          <w:color w:val="auto"/>
        </w:rPr>
      </w:pPr>
      <w:r>
        <w:rPr>
          <w:rFonts w:ascii="Arial" w:cs="Arial" w:eastAsia="Arial" w:hAnsi="Arial"/>
          <w:sz w:val="16"/>
          <w:szCs w:val="16"/>
          <w:color w:val="auto"/>
        </w:rPr>
        <w:t>(Address of principal executive offices)</w:t>
      </w:r>
    </w:p>
    <w:p>
      <w:pPr>
        <w:spacing w:after="0" w:line="163" w:lineRule="exact"/>
        <w:rPr>
          <w:sz w:val="24"/>
          <w:szCs w:val="24"/>
          <w:color w:val="auto"/>
        </w:rPr>
      </w:pPr>
    </w:p>
    <w:p>
      <w:pPr>
        <w:ind w:left="342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(212) 277-7100</w:t>
      </w:r>
    </w:p>
    <w:p>
      <w:pPr>
        <w:spacing w:after="0" w:line="29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address, if changed since last report)</w:t>
      </w:r>
    </w:p>
    <w:p>
      <w:pPr>
        <w:spacing w:after="0" w:line="3" w:lineRule="exact"/>
        <w:rPr>
          <w:sz w:val="24"/>
          <w:szCs w:val="24"/>
          <w:color w:val="auto"/>
        </w:rPr>
      </w:pPr>
    </w:p>
    <w:p>
      <w:pPr>
        <w:ind w:left="3640"/>
        <w:spacing w:after="0"/>
        <w:rPr>
          <w:sz w:val="20"/>
          <w:szCs w:val="20"/>
          <w:color w:val="auto"/>
        </w:rPr>
      </w:pPr>
      <w:r>
        <w:rPr>
          <w:rFonts w:ascii="Arial" w:cs="Arial" w:eastAsia="Arial" w:hAnsi="Arial"/>
          <w:sz w:val="17"/>
          <w:szCs w:val="17"/>
          <w:b w:val="1"/>
          <w:bCs w:val="1"/>
          <w:color w:val="auto"/>
        </w:rPr>
        <w:t>____________________________________________</w:t>
      </w:r>
    </w:p>
    <w:p>
      <w:pPr>
        <w:sectPr>
          <w:pgSz w:w="11900" w:h="16838" w:orient="portrait"/>
          <w:cols w:equalWidth="0" w:num="1">
            <w:col w:w="11240"/>
          </w:cols>
          <w:pgMar w:left="320" w:top="1174" w:right="339" w:bottom="1440" w:gutter="0" w:footer="0" w:header="0"/>
          <w:type w:val="continuous"/>
        </w:sectPr>
      </w:pP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Arial" w:cs="Arial" w:eastAsia="Arial" w:hAnsi="Arial"/>
          <w:sz w:val="16"/>
          <w:szCs w:val="16"/>
          <w:color w:val="auto"/>
        </w:rPr>
        <w:t>Written communication pursuant to Rule 425 under the Securities Act (17 CFR 230.425)</w:t>
      </w:r>
    </w:p>
    <w:p>
      <w:pPr>
        <w:spacing w:after="0" w:line="168" w:lineRule="exact"/>
        <w:rPr>
          <w:rFonts w:ascii="MS PGothic" w:cs="MS PGothic" w:eastAsia="MS PGothic" w:hAnsi="MS PGothic"/>
          <w:sz w:val="22"/>
          <w:szCs w:val="22"/>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Arial" w:cs="Arial" w:eastAsia="Arial" w:hAnsi="Arial"/>
          <w:sz w:val="16"/>
          <w:szCs w:val="16"/>
          <w:color w:val="auto"/>
        </w:rPr>
        <w:t>Soliciting material pursuant to Rule 14a-12 under the Exchange Act (17 CFR 240.14a-12)</w:t>
      </w:r>
    </w:p>
    <w:p>
      <w:pPr>
        <w:spacing w:after="0" w:line="168" w:lineRule="exact"/>
        <w:rPr>
          <w:rFonts w:ascii="MS PGothic" w:cs="MS PGothic" w:eastAsia="MS PGothic" w:hAnsi="MS PGothic"/>
          <w:sz w:val="22"/>
          <w:szCs w:val="22"/>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Arial" w:cs="Arial" w:eastAsia="Arial" w:hAnsi="Arial"/>
          <w:sz w:val="16"/>
          <w:szCs w:val="16"/>
          <w:color w:val="auto"/>
        </w:rPr>
        <w:t>Pre-commencement communications pursuant to Rule 14d-2(b) under the Exchange Act (17 CFR 240.14d-2(b))</w:t>
      </w:r>
    </w:p>
    <w:p>
      <w:pPr>
        <w:spacing w:after="0" w:line="155" w:lineRule="exact"/>
        <w:rPr>
          <w:rFonts w:ascii="MS PGothic" w:cs="MS PGothic" w:eastAsia="MS PGothic" w:hAnsi="MS PGothic"/>
          <w:sz w:val="22"/>
          <w:szCs w:val="22"/>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Arial" w:cs="Arial" w:eastAsia="Arial" w:hAnsi="Arial"/>
          <w:sz w:val="16"/>
          <w:szCs w:val="16"/>
          <w:color w:val="auto"/>
        </w:rPr>
        <w:t>Pre-commencement communications pursuant to Rule 13e-4(c) under the Exchange Act (17 CFR 240.13e-4(c))</w:t>
      </w:r>
    </w:p>
    <w:p>
      <w:pPr>
        <w:spacing w:after="0" w:line="388"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3" w:lineRule="exact"/>
        <w:rPr>
          <w:sz w:val="24"/>
          <w:szCs w:val="24"/>
          <w:color w:val="auto"/>
        </w:rPr>
      </w:pPr>
    </w:p>
    <w:p>
      <w:pPr>
        <w:ind w:left="620" w:hanging="594"/>
        <w:spacing w:after="0"/>
        <w:tabs>
          <w:tab w:leader="none" w:pos="620" w:val="left"/>
        </w:tabs>
        <w:numPr>
          <w:ilvl w:val="0"/>
          <w:numId w:val="2"/>
        </w:numPr>
        <w:rPr>
          <w:rFonts w:ascii="MS PGothic" w:cs="MS PGothic" w:eastAsia="MS PGothic" w:hAnsi="MS PGothic"/>
          <w:sz w:val="22"/>
          <w:szCs w:val="22"/>
          <w:color w:val="auto"/>
        </w:rPr>
      </w:pPr>
      <w:r>
        <w:rPr>
          <w:rFonts w:ascii="Arial" w:cs="Arial" w:eastAsia="Arial" w:hAnsi="Arial"/>
          <w:sz w:val="16"/>
          <w:szCs w:val="16"/>
          <w:color w:val="auto"/>
        </w:rPr>
        <w:t>Emerging growth company</w:t>
      </w:r>
    </w:p>
    <w:p>
      <w:pPr>
        <w:spacing w:after="0" w:line="225" w:lineRule="exact"/>
        <w:rPr>
          <w:rFonts w:ascii="MS PGothic" w:cs="MS PGothic" w:eastAsia="MS PGothic" w:hAnsi="MS PGothic"/>
          <w:sz w:val="22"/>
          <w:szCs w:val="22"/>
          <w:color w:val="auto"/>
        </w:rPr>
      </w:pPr>
    </w:p>
    <w:p>
      <w:pPr>
        <w:ind w:left="620" w:right="480" w:hanging="594"/>
        <w:spacing w:after="0" w:line="217" w:lineRule="auto"/>
        <w:tabs>
          <w:tab w:leader="none" w:pos="620" w:val="left"/>
        </w:tabs>
        <w:numPr>
          <w:ilvl w:val="0"/>
          <w:numId w:val="2"/>
        </w:numPr>
        <w:rPr>
          <w:rFonts w:ascii="MS PGothic" w:cs="MS PGothic" w:eastAsia="MS PGothic" w:hAnsi="MS PGothic"/>
          <w:sz w:val="22"/>
          <w:szCs w:val="22"/>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72390</wp:posOffset>
            </wp:positionV>
            <wp:extent cx="7123430"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3430" cy="445770"/>
                    </a:xfrm>
                    <a:prstGeom prst="rect">
                      <a:avLst/>
                    </a:prstGeom>
                    <a:noFill/>
                  </pic:spPr>
                </pic:pic>
              </a:graphicData>
            </a:graphic>
          </wp:anchor>
        </w:drawing>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3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4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9"/>
        </w:trPr>
        <w:tc>
          <w:tcPr>
            <w:tcW w:w="20" w:type="dxa"/>
            <w:vAlign w:val="bottom"/>
          </w:tcPr>
          <w:p>
            <w:pPr>
              <w:spacing w:after="0"/>
              <w:rPr>
                <w:sz w:val="18"/>
                <w:szCs w:val="18"/>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$0.001 par value per share</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EXLS</w:t>
            </w:r>
          </w:p>
        </w:tc>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NASDAQ</w:t>
            </w:r>
          </w:p>
        </w:tc>
      </w:tr>
      <w:tr>
        <w:trPr>
          <w:trHeight w:val="361"/>
        </w:trPr>
        <w:tc>
          <w:tcPr>
            <w:tcW w:w="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972"/>
        </w:trPr>
        <w:tc>
          <w:tcPr>
            <w:tcW w:w="2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July 29, 2021, ExlService Holdings, Inc. (the “Company”) reported its results of operations for the three months ended June 30, 2021. A copy of the press release issued by the Company concerning the foregoing is furnished herewith as Exhibit 99.1 and is incorporated herein by reference. The information provided in Item 2.02 of this report, including Exhibit 99.1, shall not be deemed to be “filed” for purposes of Section 18 of the Securities Exchange Act of 1934, as amended.</w:t>
      </w: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020" w:type="dxa"/>
            <w:vAlign w:val="bottom"/>
            <w:gridSpan w:val="2"/>
          </w:tcPr>
          <w:p>
            <w:pPr>
              <w:ind w:left="160"/>
              <w:spacing w:after="0"/>
              <w:rPr>
                <w:sz w:val="20"/>
                <w:szCs w:val="20"/>
                <w:color w:val="auto"/>
              </w:rPr>
            </w:pPr>
            <w:r>
              <w:rPr>
                <w:rFonts w:ascii="Arial" w:cs="Arial" w:eastAsia="Arial" w:hAnsi="Arial"/>
                <w:sz w:val="18"/>
                <w:szCs w:val="18"/>
                <w:color w:val="auto"/>
              </w:rPr>
              <w:t>(d) Exhibits</w:t>
            </w:r>
          </w:p>
        </w:tc>
        <w:tc>
          <w:tcPr>
            <w:tcW w:w="8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820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2140" w:type="dxa"/>
            <w:vAlign w:val="bottom"/>
          </w:tcPr>
          <w:p>
            <w:pPr>
              <w:spacing w:after="0"/>
              <w:rPr>
                <w:sz w:val="18"/>
                <w:szCs w:val="18"/>
                <w:color w:val="auto"/>
              </w:rPr>
            </w:pPr>
          </w:p>
        </w:tc>
        <w:tc>
          <w:tcPr>
            <w:tcW w:w="4960" w:type="dxa"/>
            <w:vAlign w:val="bottom"/>
            <w:tcBorders>
              <w:bottom w:val="single" w:sz="8" w:color="0000FF"/>
            </w:tcBorders>
            <w:gridSpan w:val="2"/>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Press Release, dated July 29, 2021 (furnished pursuant to Item 2.02).</w:t>
              </w:r>
            </w:hyperlink>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00" w:type="dxa"/>
            <w:vAlign w:val="bottom"/>
            <w:gridSpan w:val="2"/>
            <w:vMerge w:val="restart"/>
          </w:tcPr>
          <w:p>
            <w:pPr>
              <w:ind w:left="20"/>
              <w:spacing w:after="0"/>
              <w:rPr>
                <w:sz w:val="20"/>
                <w:szCs w:val="20"/>
                <w:color w:val="auto"/>
              </w:rPr>
            </w:pPr>
            <w:r>
              <w:rPr>
                <w:rFonts w:ascii="Arial" w:cs="Arial" w:eastAsia="Arial" w:hAnsi="Arial"/>
                <w:sz w:val="18"/>
                <w:szCs w:val="18"/>
                <w:color w:val="auto"/>
              </w:rPr>
              <w:t>104</w:t>
            </w:r>
          </w:p>
        </w:tc>
        <w:tc>
          <w:tcPr>
            <w:tcW w:w="2140" w:type="dxa"/>
            <w:vAlign w:val="bottom"/>
          </w:tcPr>
          <w:p>
            <w:pPr>
              <w:spacing w:after="0"/>
              <w:rPr>
                <w:sz w:val="17"/>
                <w:szCs w:val="17"/>
                <w:color w:val="auto"/>
              </w:rPr>
            </w:pPr>
          </w:p>
        </w:tc>
        <w:tc>
          <w:tcPr>
            <w:tcW w:w="8200" w:type="dxa"/>
            <w:vAlign w:val="bottom"/>
            <w:gridSpan w:val="3"/>
          </w:tcPr>
          <w:p>
            <w:pPr>
              <w:spacing w:after="0" w:line="196" w:lineRule="exact"/>
              <w:rPr>
                <w:sz w:val="20"/>
                <w:szCs w:val="20"/>
                <w:color w:val="auto"/>
              </w:rPr>
            </w:pPr>
            <w:r>
              <w:rPr>
                <w:rFonts w:ascii="Arial" w:cs="Arial" w:eastAsia="Arial" w:hAnsi="Arial"/>
                <w:sz w:val="18"/>
                <w:szCs w:val="18"/>
                <w:color w:val="auto"/>
              </w:rPr>
              <w:t>Cover Page Interactive Data File (the cover page XBRL tags are embedded within the inline</w:t>
            </w:r>
          </w:p>
        </w:tc>
        <w:tc>
          <w:tcPr>
            <w:tcW w:w="0" w:type="dxa"/>
            <w:vAlign w:val="bottom"/>
          </w:tcPr>
          <w:p>
            <w:pPr>
              <w:spacing w:after="0"/>
              <w:rPr>
                <w:sz w:val="1"/>
                <w:szCs w:val="1"/>
                <w:color w:val="auto"/>
              </w:rPr>
            </w:pPr>
          </w:p>
        </w:tc>
      </w:tr>
      <w:tr>
        <w:trPr>
          <w:trHeight w:val="230"/>
        </w:trPr>
        <w:tc>
          <w:tcPr>
            <w:tcW w:w="900" w:type="dxa"/>
            <w:vAlign w:val="bottom"/>
            <w:gridSpan w:val="2"/>
            <w:vMerge w:val="continue"/>
          </w:tcPr>
          <w:p>
            <w:pPr>
              <w:spacing w:after="0"/>
              <w:rPr>
                <w:sz w:val="20"/>
                <w:szCs w:val="20"/>
                <w:color w:val="auto"/>
              </w:rPr>
            </w:pPr>
          </w:p>
        </w:tc>
        <w:tc>
          <w:tcPr>
            <w:tcW w:w="2140" w:type="dxa"/>
            <w:vAlign w:val="bottom"/>
          </w:tcPr>
          <w:p>
            <w:pPr>
              <w:spacing w:after="0"/>
              <w:rPr>
                <w:sz w:val="20"/>
                <w:szCs w:val="20"/>
                <w:color w:val="auto"/>
              </w:rPr>
            </w:pPr>
          </w:p>
        </w:tc>
        <w:tc>
          <w:tcPr>
            <w:tcW w:w="8200" w:type="dxa"/>
            <w:vAlign w:val="bottom"/>
            <w:gridSpan w:val="3"/>
          </w:tcPr>
          <w:p>
            <w:pPr>
              <w:spacing w:after="0"/>
              <w:rPr>
                <w:sz w:val="20"/>
                <w:szCs w:val="20"/>
                <w:color w:val="auto"/>
              </w:rPr>
            </w:pPr>
            <w:r>
              <w:rPr>
                <w:rFonts w:ascii="Arial" w:cs="Arial" w:eastAsia="Arial" w:hAnsi="Arial"/>
                <w:sz w:val="18"/>
                <w:szCs w:val="18"/>
                <w:color w:val="auto"/>
              </w:rPr>
              <w:t>XBRL document)</w:t>
            </w:r>
          </w:p>
        </w:tc>
        <w:tc>
          <w:tcPr>
            <w:tcW w:w="0" w:type="dxa"/>
            <w:vAlign w:val="bottom"/>
          </w:tcPr>
          <w:p>
            <w:pPr>
              <w:spacing w:after="0"/>
              <w:rPr>
                <w:sz w:val="1"/>
                <w:szCs w:val="1"/>
                <w:color w:val="auto"/>
              </w:rPr>
            </w:pPr>
          </w:p>
        </w:tc>
      </w:tr>
      <w:tr>
        <w:trPr>
          <w:trHeight w:val="452"/>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980" w:type="dxa"/>
            <w:vAlign w:val="bottom"/>
          </w:tcPr>
          <w:p>
            <w:pPr>
              <w:spacing w:after="0"/>
              <w:rPr>
                <w:sz w:val="17"/>
                <w:szCs w:val="17"/>
                <w:color w:val="auto"/>
              </w:rPr>
            </w:pPr>
          </w:p>
        </w:tc>
        <w:tc>
          <w:tcPr>
            <w:tcW w:w="8240" w:type="dxa"/>
            <w:vAlign w:val="bottom"/>
            <w:gridSpan w:val="2"/>
          </w:tcPr>
          <w:p>
            <w:pPr>
              <w:ind w:left="200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2980" w:type="dxa"/>
            <w:vAlign w:val="bottom"/>
          </w:tcPr>
          <w:p>
            <w:pPr>
              <w:spacing w:after="0"/>
              <w:rPr>
                <w:sz w:val="20"/>
                <w:szCs w:val="20"/>
                <w:color w:val="auto"/>
              </w:rPr>
            </w:pPr>
          </w:p>
        </w:tc>
        <w:tc>
          <w:tcPr>
            <w:tcW w:w="3280" w:type="dxa"/>
            <w:vAlign w:val="bottom"/>
          </w:tcPr>
          <w:p>
            <w:pPr>
              <w:ind w:left="2000"/>
              <w:spacing w:after="0"/>
              <w:rPr>
                <w:sz w:val="20"/>
                <w:szCs w:val="20"/>
                <w:color w:val="auto"/>
              </w:rPr>
            </w:pPr>
            <w:r>
              <w:rPr>
                <w:rFonts w:ascii="Arial" w:cs="Arial" w:eastAsia="Arial" w:hAnsi="Arial"/>
                <w:sz w:val="18"/>
                <w:szCs w:val="18"/>
                <w:color w:val="auto"/>
              </w:rPr>
              <w:t>(Registrant)</w:t>
            </w:r>
          </w:p>
        </w:tc>
        <w:tc>
          <w:tcPr>
            <w:tcW w:w="4960" w:type="dxa"/>
            <w:vAlign w:val="bottom"/>
          </w:tcPr>
          <w:p>
            <w:pPr>
              <w:spacing w:after="0"/>
              <w:rPr>
                <w:sz w:val="20"/>
                <w:szCs w:val="20"/>
                <w:color w:val="auto"/>
              </w:rPr>
            </w:pPr>
          </w:p>
        </w:tc>
      </w:tr>
      <w:tr>
        <w:trPr>
          <w:trHeight w:val="742"/>
        </w:trPr>
        <w:tc>
          <w:tcPr>
            <w:tcW w:w="2980" w:type="dxa"/>
            <w:vAlign w:val="bottom"/>
          </w:tcPr>
          <w:p>
            <w:pPr>
              <w:spacing w:after="0"/>
              <w:rPr>
                <w:sz w:val="20"/>
                <w:szCs w:val="20"/>
                <w:color w:val="auto"/>
              </w:rPr>
            </w:pPr>
            <w:r>
              <w:rPr>
                <w:rFonts w:ascii="Arial" w:cs="Arial" w:eastAsia="Arial" w:hAnsi="Arial"/>
                <w:sz w:val="18"/>
                <w:szCs w:val="18"/>
                <w:color w:val="auto"/>
              </w:rPr>
              <w:t>July 29, 2021</w:t>
            </w:r>
          </w:p>
        </w:tc>
        <w:tc>
          <w:tcPr>
            <w:tcW w:w="3280" w:type="dxa"/>
            <w:vAlign w:val="bottom"/>
          </w:tcPr>
          <w:p>
            <w:pPr>
              <w:ind w:left="2000"/>
              <w:spacing w:after="0"/>
              <w:rPr>
                <w:sz w:val="20"/>
                <w:szCs w:val="20"/>
                <w:color w:val="auto"/>
              </w:rPr>
            </w:pPr>
            <w:r>
              <w:rPr>
                <w:rFonts w:ascii="Arial" w:cs="Arial" w:eastAsia="Arial" w:hAnsi="Arial"/>
                <w:sz w:val="18"/>
                <w:szCs w:val="18"/>
                <w:color w:val="auto"/>
              </w:rPr>
              <w:t>By:</w:t>
            </w:r>
          </w:p>
        </w:tc>
        <w:tc>
          <w:tcPr>
            <w:tcW w:w="4960" w:type="dxa"/>
            <w:vAlign w:val="bottom"/>
          </w:tcPr>
          <w:p>
            <w:pPr>
              <w:ind w:left="20"/>
              <w:spacing w:after="0"/>
              <w:rPr>
                <w:sz w:val="20"/>
                <w:szCs w:val="20"/>
                <w:color w:val="auto"/>
              </w:rPr>
            </w:pPr>
            <w:r>
              <w:rPr>
                <w:rFonts w:ascii="Arial" w:cs="Arial" w:eastAsia="Arial" w:hAnsi="Arial"/>
                <w:sz w:val="18"/>
                <w:szCs w:val="18"/>
                <w:color w:val="auto"/>
              </w:rPr>
              <w:t>/s/ Ajay Ayyappan</w:t>
            </w:r>
          </w:p>
        </w:tc>
      </w:tr>
      <w:tr>
        <w:trPr>
          <w:trHeight w:val="27"/>
        </w:trPr>
        <w:tc>
          <w:tcPr>
            <w:tcW w:w="29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r>
      <w:tr>
        <w:trPr>
          <w:trHeight w:val="236"/>
        </w:trPr>
        <w:tc>
          <w:tcPr>
            <w:tcW w:w="2980" w:type="dxa"/>
            <w:vAlign w:val="bottom"/>
          </w:tcPr>
          <w:p>
            <w:pPr>
              <w:spacing w:after="0"/>
              <w:rPr>
                <w:sz w:val="20"/>
                <w:szCs w:val="20"/>
                <w:color w:val="auto"/>
              </w:rPr>
            </w:pPr>
          </w:p>
        </w:tc>
        <w:tc>
          <w:tcPr>
            <w:tcW w:w="3280" w:type="dxa"/>
            <w:vAlign w:val="bottom"/>
          </w:tcPr>
          <w:p>
            <w:pPr>
              <w:ind w:left="2000"/>
              <w:spacing w:after="0"/>
              <w:rPr>
                <w:sz w:val="20"/>
                <w:szCs w:val="20"/>
                <w:color w:val="auto"/>
              </w:rPr>
            </w:pPr>
            <w:r>
              <w:rPr>
                <w:rFonts w:ascii="Arial" w:cs="Arial" w:eastAsia="Arial" w:hAnsi="Arial"/>
                <w:sz w:val="18"/>
                <w:szCs w:val="18"/>
                <w:color w:val="auto"/>
              </w:rPr>
              <w:t>Name:</w:t>
            </w:r>
          </w:p>
        </w:tc>
        <w:tc>
          <w:tcPr>
            <w:tcW w:w="4960" w:type="dxa"/>
            <w:vAlign w:val="bottom"/>
          </w:tcPr>
          <w:p>
            <w:pPr>
              <w:ind w:left="20"/>
              <w:spacing w:after="0"/>
              <w:rPr>
                <w:sz w:val="20"/>
                <w:szCs w:val="20"/>
                <w:color w:val="auto"/>
              </w:rPr>
            </w:pPr>
            <w:r>
              <w:rPr>
                <w:rFonts w:ascii="Arial" w:cs="Arial" w:eastAsia="Arial" w:hAnsi="Arial"/>
                <w:sz w:val="18"/>
                <w:szCs w:val="18"/>
                <w:color w:val="auto"/>
              </w:rPr>
              <w:t>Ajay Ayyappan</w:t>
            </w:r>
          </w:p>
        </w:tc>
      </w:tr>
      <w:tr>
        <w:trPr>
          <w:trHeight w:val="230"/>
        </w:trPr>
        <w:tc>
          <w:tcPr>
            <w:tcW w:w="2980" w:type="dxa"/>
            <w:vAlign w:val="bottom"/>
          </w:tcPr>
          <w:p>
            <w:pPr>
              <w:spacing w:after="0"/>
              <w:rPr>
                <w:sz w:val="20"/>
                <w:szCs w:val="20"/>
                <w:color w:val="auto"/>
              </w:rPr>
            </w:pPr>
          </w:p>
        </w:tc>
        <w:tc>
          <w:tcPr>
            <w:tcW w:w="3280" w:type="dxa"/>
            <w:vAlign w:val="bottom"/>
          </w:tcPr>
          <w:p>
            <w:pPr>
              <w:ind w:left="2000"/>
              <w:spacing w:after="0"/>
              <w:rPr>
                <w:sz w:val="20"/>
                <w:szCs w:val="20"/>
                <w:color w:val="auto"/>
              </w:rPr>
            </w:pPr>
            <w:r>
              <w:rPr>
                <w:rFonts w:ascii="Arial" w:cs="Arial" w:eastAsia="Arial" w:hAnsi="Arial"/>
                <w:sz w:val="18"/>
                <w:szCs w:val="18"/>
                <w:color w:val="auto"/>
              </w:rPr>
              <w:t>Title:</w:t>
            </w:r>
          </w:p>
        </w:tc>
        <w:tc>
          <w:tcPr>
            <w:tcW w:w="4960" w:type="dxa"/>
            <w:vAlign w:val="bottom"/>
          </w:tcPr>
          <w:p>
            <w:pPr>
              <w:ind w:left="20"/>
              <w:spacing w:after="0"/>
              <w:rPr>
                <w:sz w:val="20"/>
                <w:szCs w:val="20"/>
                <w:color w:val="auto"/>
              </w:rPr>
            </w:pPr>
            <w:r>
              <w:rPr>
                <w:rFonts w:ascii="Arial" w:cs="Arial" w:eastAsia="Arial" w:hAnsi="Arial"/>
                <w:sz w:val="18"/>
                <w:szCs w:val="18"/>
                <w:color w:val="auto"/>
              </w:rPr>
              <w:t>General Counsel and Corporate Secretary</w:t>
            </w:r>
          </w:p>
        </w:tc>
      </w:tr>
    </w:tbl>
    <w:p>
      <w:pPr>
        <w:sectPr>
          <w:pgSz w:w="11900" w:h="16838" w:orient="portrait"/>
          <w:cols w:equalWidth="0" w:num="1">
            <w:col w:w="11240"/>
          </w:cols>
          <w:pgMar w:left="320" w:top="68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EXL REPORTS 2021 SECOND QUARTER RESULTS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2021 Second Quarter Revenues of $275.1 Million, up 23.6% year-over-year</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Q2 Diluted Earnings Per Share (GAAP) of $0.81, up from $0.24 in Q2 of 2020</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 xml:space="preserve">Q2 Adjusted Diluted Earnings Per Share (Non-GAAP) </w:t>
      </w:r>
      <w:r>
        <w:rPr>
          <w:rFonts w:ascii="Arial" w:cs="Arial" w:eastAsia="Arial" w:hAnsi="Arial"/>
          <w:sz w:val="28"/>
          <w:szCs w:val="28"/>
          <w:b w:val="1"/>
          <w:bCs w:val="1"/>
          <w:i w:val="1"/>
          <w:iCs w:val="1"/>
          <w:color w:val="auto"/>
          <w:vertAlign w:val="superscript"/>
        </w:rPr>
        <w:t>(1)</w:t>
      </w:r>
      <w:r>
        <w:rPr>
          <w:rFonts w:ascii="Arial" w:cs="Arial" w:eastAsia="Arial" w:hAnsi="Arial"/>
          <w:sz w:val="22"/>
          <w:szCs w:val="22"/>
          <w:b w:val="1"/>
          <w:bCs w:val="1"/>
          <w:i w:val="1"/>
          <w:iCs w:val="1"/>
          <w:color w:val="auto"/>
        </w:rPr>
        <w:t xml:space="preserve"> of $1.14, up from $0.53 in Q2 of 2020</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right="20"/>
        <w:spacing w:after="0" w:line="324" w:lineRule="auto"/>
        <w:rPr>
          <w:sz w:val="20"/>
          <w:szCs w:val="20"/>
          <w:color w:val="auto"/>
        </w:rPr>
      </w:pPr>
      <w:r>
        <w:rPr>
          <w:rFonts w:ascii="Arial" w:cs="Arial" w:eastAsia="Arial" w:hAnsi="Arial"/>
          <w:sz w:val="18"/>
          <w:szCs w:val="18"/>
          <w:color w:val="auto"/>
        </w:rPr>
        <w:t>New York, NY – July 29, 2021 - ExlService Holdings, Inc. (NASDAQ: EXLS), a leading operations management and analytics company, today announced its financial results for the quarter ended June 30, 2021.</w:t>
      </w:r>
    </w:p>
    <w:p>
      <w:pPr>
        <w:spacing w:after="0" w:line="197"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Rohit Kapoor, Vice Chairman and Chief Executive Officer, said, “EXL generated revenue of $275.1 million, an increase of 23.6% compared to the second quarter of 2020. Analytics continued to lead our growth with a 36.4% revenue increase from the second quarter of 2020 and operations management revenue increased 16.2%. Adjusted diluted earnings per share for the quarter was $1.14, a 115% increase year-over-year. Our significant growth is attributable to the focus on our data-led strategy, wherein we are enabling better business decisions, embedding intelligence directly into operational workflows and increasing speed to action with cloud-based solutions. The market demand for our services remains favorable, positioning us well for continued growth in the second half of 2021.”</w:t>
      </w:r>
    </w:p>
    <w:p>
      <w:pPr>
        <w:spacing w:after="0" w:line="200" w:lineRule="exact"/>
        <w:rPr>
          <w:sz w:val="20"/>
          <w:szCs w:val="20"/>
          <w:color w:val="auto"/>
        </w:rPr>
      </w:pPr>
    </w:p>
    <w:p>
      <w:pPr>
        <w:spacing w:after="0" w:line="260" w:lineRule="exact"/>
        <w:rPr>
          <w:sz w:val="20"/>
          <w:szCs w:val="20"/>
          <w:color w:val="auto"/>
        </w:rPr>
      </w:pPr>
    </w:p>
    <w:p>
      <w:pPr>
        <w:jc w:val="both"/>
        <w:spacing w:after="0" w:line="322" w:lineRule="auto"/>
        <w:rPr>
          <w:sz w:val="20"/>
          <w:szCs w:val="20"/>
          <w:color w:val="auto"/>
        </w:rPr>
      </w:pPr>
      <w:r>
        <w:rPr>
          <w:rFonts w:ascii="Arial" w:cs="Arial" w:eastAsia="Arial" w:hAnsi="Arial"/>
          <w:sz w:val="18"/>
          <w:szCs w:val="18"/>
          <w:color w:val="auto"/>
        </w:rPr>
        <w:t>Maurizio Nicolelli, Chief Financial Officer, said, “Based on our strong first half of the year financial results, and the visibility we have for the remainder of the year, we are increasing our revenue guidance for 2021 to be in the range of $1.08 billion to $1.10 billion, from $1.04 billion to $1.07 billion, representing a 12% to 14% increase year-over-year on a constant currency basis. Our adjusted diluted earnings per share guidance for 2021 is also increasing to $4.30 to $4.50, from $4.00 to $4.30, representing a 22% to 27% increase over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__________________________________________________________</w:t>
      </w:r>
    </w:p>
    <w:p>
      <w:pPr>
        <w:spacing w:after="0" w:line="366" w:lineRule="exact"/>
        <w:rPr>
          <w:sz w:val="20"/>
          <w:szCs w:val="20"/>
          <w:color w:val="auto"/>
        </w:rPr>
      </w:pPr>
    </w:p>
    <w:p>
      <w:pPr>
        <w:jc w:val="both"/>
        <w:ind w:left="500" w:hanging="330"/>
        <w:spacing w:after="0" w:line="249" w:lineRule="auto"/>
        <w:tabs>
          <w:tab w:leader="none" w:pos="498" w:val="left"/>
        </w:tabs>
        <w:numPr>
          <w:ilvl w:val="0"/>
          <w:numId w:val="3"/>
        </w:numPr>
        <w:rPr>
          <w:rFonts w:ascii="Arial" w:cs="Arial" w:eastAsia="Arial" w:hAnsi="Arial"/>
          <w:sz w:val="14"/>
          <w:szCs w:val="14"/>
          <w:color w:val="auto"/>
        </w:rPr>
      </w:pPr>
      <w:r>
        <w:rPr>
          <w:rFonts w:ascii="Arial" w:cs="Arial" w:eastAsia="Arial" w:hAnsi="Arial"/>
          <w:sz w:val="14"/>
          <w:szCs w:val="14"/>
          <w:color w:val="auto"/>
        </w:rPr>
        <w:t>Reconciliations of adjusted (non-GAAP) financial measures to the most directly comparable GAAP measures, where applicable, are included at the end of this release under “Reconciliation of Adjusted Financial Measures to GAAP Measures”. These non-GAAP measures, including adjusted diluted EPS and constant currency measures, are not measures of financial performance prepared in accordance with GAAP.</w:t>
      </w:r>
    </w:p>
    <w:p>
      <w:pPr>
        <w:sectPr>
          <w:pgSz w:w="11900" w:h="16838" w:orient="portrait"/>
          <w:cols w:equalWidth="0" w:num="1">
            <w:col w:w="11240"/>
          </w:cols>
          <w:pgMar w:left="320" w:top="89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Financial Highlights: Second Quarter 2021</w:t>
      </w:r>
    </w:p>
    <w:p>
      <w:pPr>
        <w:spacing w:after="0" w:line="200" w:lineRule="exact"/>
        <w:rPr>
          <w:sz w:val="20"/>
          <w:szCs w:val="20"/>
          <w:color w:val="auto"/>
        </w:rPr>
      </w:pPr>
    </w:p>
    <w:p>
      <w:pPr>
        <w:spacing w:after="0" w:line="232" w:lineRule="exact"/>
        <w:rPr>
          <w:sz w:val="20"/>
          <w:szCs w:val="20"/>
          <w:color w:val="auto"/>
        </w:rPr>
      </w:pPr>
    </w:p>
    <w:p>
      <w:pPr>
        <w:jc w:val="both"/>
        <w:ind w:left="660" w:hanging="328"/>
        <w:spacing w:after="0" w:line="31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Revenues for the quarter ended June 30, 2021 increased to $275.1 million compared to $222.5 million for the second quarter of 2020, an increase of 23.6% on a reported basis and 22.3% on a constant currency basis from the second quarter of 2020. Revenues increased by 5.2% sequentially on a reported basis and on a constant currency basis, from the first quarter of 2021.</w:t>
      </w:r>
    </w:p>
    <w:p>
      <w:pPr>
        <w:spacing w:after="0" w:line="62" w:lineRule="exact"/>
        <w:rPr>
          <w:sz w:val="20"/>
          <w:szCs w:val="20"/>
          <w:color w:val="auto"/>
        </w:rPr>
      </w:pPr>
    </w:p>
    <w:tbl>
      <w:tblPr>
        <w:tblLayout w:type="fixed"/>
        <w:tblInd w:w="660" w:type="dxa"/>
        <w:tblCellMar>
          <w:top w:w="0" w:type="dxa"/>
          <w:left w:w="0" w:type="dxa"/>
          <w:bottom w:w="0" w:type="dxa"/>
          <w:right w:w="0" w:type="dxa"/>
        </w:tblCellMar>
      </w:tblPr>
      <w:tr>
        <w:trPr>
          <w:trHeight w:val="213"/>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7"/>
              </w:rPr>
              <w:t>Revenues</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93"/>
              </w:rPr>
              <w:t>Gross Margin</w:t>
            </w:r>
          </w:p>
        </w:tc>
        <w:tc>
          <w:tcPr>
            <w:tcW w:w="9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6"/>
          </w:tcPr>
          <w:p>
            <w:pPr>
              <w:jc w:val="center"/>
              <w:ind w:left="473"/>
              <w:spacing w:after="0"/>
              <w:rPr>
                <w:sz w:val="20"/>
                <w:szCs w:val="20"/>
                <w:color w:val="auto"/>
              </w:rPr>
            </w:pPr>
            <w:r>
              <w:rPr>
                <w:rFonts w:ascii="Arial" w:cs="Arial" w:eastAsia="Arial" w:hAnsi="Arial"/>
                <w:sz w:val="16"/>
                <w:szCs w:val="16"/>
                <w:b w:val="1"/>
                <w:bCs w:val="1"/>
                <w:color w:val="auto"/>
                <w:w w:val="90"/>
              </w:rPr>
              <w:t>Three months ended</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0"/>
              </w:rPr>
              <w:t>Three months ended</w:t>
            </w:r>
          </w:p>
        </w:tc>
        <w:tc>
          <w:tcPr>
            <w:tcW w:w="9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7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Reportable Segments</w:t>
            </w:r>
          </w:p>
        </w:tc>
        <w:tc>
          <w:tcPr>
            <w:tcW w:w="116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June 30, 2021</w:t>
            </w:r>
          </w:p>
        </w:tc>
        <w:tc>
          <w:tcPr>
            <w:tcW w:w="11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June 30, 2020</w:t>
            </w:r>
          </w:p>
        </w:tc>
        <w:tc>
          <w:tcPr>
            <w:tcW w:w="120" w:type="dxa"/>
            <w:vAlign w:val="bottom"/>
          </w:tcPr>
          <w:p>
            <w:pPr>
              <w:spacing w:after="0"/>
              <w:rPr>
                <w:sz w:val="21"/>
                <w:szCs w:val="21"/>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31,</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6"/>
                <w:szCs w:val="16"/>
                <w:b w:val="1"/>
                <w:bCs w:val="1"/>
                <w:color w:val="auto"/>
                <w:w w:val="97"/>
              </w:rPr>
              <w:t>June 30, 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3"/>
            <w:vMerge w:val="restart"/>
          </w:tcPr>
          <w:p>
            <w:pPr>
              <w:jc w:val="center"/>
              <w:ind w:right="60"/>
              <w:spacing w:after="0"/>
              <w:rPr>
                <w:sz w:val="20"/>
                <w:szCs w:val="20"/>
                <w:color w:val="auto"/>
              </w:rPr>
            </w:pPr>
            <w:r>
              <w:rPr>
                <w:rFonts w:ascii="Arial" w:cs="Arial" w:eastAsia="Arial" w:hAnsi="Arial"/>
                <w:sz w:val="16"/>
                <w:szCs w:val="16"/>
                <w:b w:val="1"/>
                <w:bCs w:val="1"/>
                <w:color w:val="auto"/>
                <w:w w:val="90"/>
              </w:rPr>
              <w:t>June 30, 2020</w:t>
            </w:r>
          </w:p>
        </w:tc>
        <w:tc>
          <w:tcPr>
            <w:tcW w:w="11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6"/>
              </w:rPr>
              <w:t>March 31, 2021</w:t>
            </w:r>
          </w:p>
        </w:tc>
        <w:tc>
          <w:tcPr>
            <w:tcW w:w="0" w:type="dxa"/>
            <w:vAlign w:val="bottom"/>
          </w:tcPr>
          <w:p>
            <w:pPr>
              <w:spacing w:after="0"/>
              <w:rPr>
                <w:sz w:val="1"/>
                <w:szCs w:val="1"/>
                <w:color w:val="auto"/>
              </w:rPr>
            </w:pPr>
          </w:p>
        </w:tc>
      </w:tr>
      <w:tr>
        <w:trPr>
          <w:trHeight w:val="213"/>
        </w:trPr>
        <w:tc>
          <w:tcPr>
            <w:tcW w:w="2700" w:type="dxa"/>
            <w:vAlign w:val="bottom"/>
            <w:gridSpan w:val="2"/>
            <w:vMerge w:val="continue"/>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253"/>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2060" w:type="dxa"/>
            <w:vAlign w:val="bottom"/>
            <w:tcBorders>
              <w:top w:val="single" w:sz="8" w:color="auto"/>
              <w:bottom w:val="single" w:sz="8" w:color="auto"/>
            </w:tcBorders>
            <w:gridSpan w:val="6"/>
          </w:tcPr>
          <w:p>
            <w:pPr>
              <w:jc w:val="center"/>
              <w:ind w:left="453"/>
              <w:spacing w:after="0"/>
              <w:rPr>
                <w:sz w:val="20"/>
                <w:szCs w:val="20"/>
                <w:color w:val="auto"/>
              </w:rPr>
            </w:pPr>
            <w:r>
              <w:rPr>
                <w:rFonts w:ascii="Arial" w:cs="Arial" w:eastAsia="Arial" w:hAnsi="Arial"/>
                <w:sz w:val="16"/>
                <w:szCs w:val="16"/>
                <w:b w:val="1"/>
                <w:bCs w:val="1"/>
                <w:color w:val="auto"/>
                <w:w w:val="92"/>
              </w:rPr>
              <w:t>(dollars in millions)</w:t>
            </w:r>
          </w:p>
        </w:tc>
        <w:tc>
          <w:tcPr>
            <w:tcW w:w="88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Insurance</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700" w:type="dxa"/>
            <w:vAlign w:val="bottom"/>
            <w:gridSpan w:val="2"/>
          </w:tcPr>
          <w:p>
            <w:pPr>
              <w:ind w:left="20"/>
              <w:spacing w:after="0"/>
              <w:rPr>
                <w:sz w:val="20"/>
                <w:szCs w:val="20"/>
                <w:color w:val="auto"/>
              </w:rPr>
            </w:pPr>
            <w:r>
              <w:rPr>
                <w:rFonts w:ascii="Arial" w:cs="Arial" w:eastAsia="Arial" w:hAnsi="Arial"/>
                <w:sz w:val="16"/>
                <w:szCs w:val="16"/>
                <w:color w:val="auto"/>
              </w:rPr>
              <w:t>Healthcare</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21.4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Emerging Business</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700" w:type="dxa"/>
            <w:vAlign w:val="bottom"/>
            <w:gridSpan w:val="2"/>
          </w:tcPr>
          <w:p>
            <w:pPr>
              <w:ind w:left="20"/>
              <w:spacing w:after="0"/>
              <w:rPr>
                <w:sz w:val="20"/>
                <w:szCs w:val="20"/>
                <w:color w:val="auto"/>
              </w:rPr>
            </w:pPr>
            <w:r>
              <w:rPr>
                <w:rFonts w:ascii="Arial" w:cs="Arial" w:eastAsia="Arial" w:hAnsi="Arial"/>
                <w:sz w:val="16"/>
                <w:szCs w:val="16"/>
                <w:color w:val="auto"/>
              </w:rPr>
              <w:t>Analytics</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29.9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8"/>
        </w:trPr>
        <w:tc>
          <w:tcPr>
            <w:tcW w:w="2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Revenues, net</w:t>
            </w:r>
          </w:p>
        </w:tc>
        <w:tc>
          <w:tcPr>
            <w:tcW w:w="34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37.9 %</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28.8 %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39.2 %</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left="660" w:hanging="328"/>
        <w:spacing w:after="0" w:line="32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income margin for the quarter ended June 30, 2021 was 13.0%, compared to an operating income margin of 4.4% for the second quarter of 2020 and operating income margin of 15.9% for the first quarter of 2021. Adjusted operating income margin for the quarter ended June 30, 2021 was 17.9% compared to 9.4% for the second quarter of 2020 and 20.2% for the first quarter of 2021.</w:t>
      </w:r>
    </w:p>
    <w:p>
      <w:pPr>
        <w:spacing w:after="0" w:line="209" w:lineRule="exact"/>
        <w:rPr>
          <w:rFonts w:ascii="Arial" w:cs="Arial" w:eastAsia="Arial" w:hAnsi="Arial"/>
          <w:sz w:val="18"/>
          <w:szCs w:val="18"/>
          <w:color w:val="auto"/>
        </w:rPr>
      </w:pPr>
    </w:p>
    <w:p>
      <w:pPr>
        <w:jc w:val="both"/>
        <w:ind w:left="660" w:hanging="328"/>
        <w:spacing w:after="0" w:line="32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Diluted earnings per share for the quarter ended June 30, 2021 was $0.81 compared to $0.24 for the second quarter of 2020 and $0.93 for the first quarter of 2021. Adjusted diluted earnings per share for the quarter ended June 30, 2021 was $1.14 compared to $0.53 for the second quarter of 2020 and $1.18 for the first quarter of 2021.</w:t>
      </w:r>
    </w:p>
    <w:p>
      <w:pPr>
        <w:sectPr>
          <w:pgSz w:w="11900" w:h="16838" w:orient="portrait"/>
          <w:cols w:equalWidth="0" w:num="1">
            <w:col w:w="11240"/>
          </w:cols>
          <w:pgMar w:left="320" w:top="103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Business Highlights: Second Quarter 2021</w:t>
      </w:r>
    </w:p>
    <w:p>
      <w:pPr>
        <w:spacing w:after="0" w:line="189" w:lineRule="exact"/>
        <w:rPr>
          <w:sz w:val="20"/>
          <w:szCs w:val="20"/>
          <w:color w:val="auto"/>
        </w:rPr>
      </w:pPr>
    </w:p>
    <w:p>
      <w:pPr>
        <w:ind w:left="240" w:hanging="19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Won 16 new clients in the second quarter of 2021, with 10 in our operations management businesses and six in Analytics.</w:t>
      </w:r>
    </w:p>
    <w:p>
      <w:pPr>
        <w:spacing w:after="0" w:line="171" w:lineRule="exact"/>
        <w:rPr>
          <w:rFonts w:ascii="Arial" w:cs="Arial" w:eastAsia="Arial" w:hAnsi="Arial"/>
          <w:sz w:val="18"/>
          <w:szCs w:val="18"/>
          <w:color w:val="auto"/>
        </w:rPr>
      </w:pPr>
    </w:p>
    <w:p>
      <w:pPr>
        <w:ind w:left="260" w:hanging="212"/>
        <w:spacing w:after="0" w:line="340"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Joined the United Nations Global Compact as a Participant, acknowledging our commitment to operate in accordance with universal principles of corporate sustainability in human rights, labor, environment and anti-corruption.</w:t>
      </w:r>
    </w:p>
    <w:p>
      <w:pPr>
        <w:spacing w:after="0" w:line="61" w:lineRule="exact"/>
        <w:rPr>
          <w:rFonts w:ascii="Arial" w:cs="Arial" w:eastAsia="Arial" w:hAnsi="Arial"/>
          <w:sz w:val="18"/>
          <w:szCs w:val="18"/>
          <w:color w:val="auto"/>
        </w:rPr>
      </w:pPr>
    </w:p>
    <w:p>
      <w:pPr>
        <w:ind w:left="240" w:hanging="19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Positioned as a Leader for the seventh consecutive year in the Everest Group Property &amp; Casualty Insurance BPS PEAK Matrix® 2021.</w:t>
      </w:r>
    </w:p>
    <w:p>
      <w:pPr>
        <w:spacing w:after="0" w:line="171" w:lineRule="exact"/>
        <w:rPr>
          <w:rFonts w:ascii="Arial" w:cs="Arial" w:eastAsia="Arial" w:hAnsi="Arial"/>
          <w:sz w:val="18"/>
          <w:szCs w:val="18"/>
          <w:color w:val="auto"/>
        </w:rPr>
      </w:pPr>
    </w:p>
    <w:p>
      <w:pPr>
        <w:ind w:left="260" w:hanging="212"/>
        <w:spacing w:after="0" w:line="340"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Recognized as a Leader in three categories in the ISG Provider Lens™ Insurance BPO Services, U.S. 2020: Life &amp; Retirement Services, Property &amp; Casualty Insurance Services, and Third-Party Administration (TPA).</w:t>
      </w:r>
    </w:p>
    <w:p>
      <w:pPr>
        <w:spacing w:after="0" w:line="61" w:lineRule="exact"/>
        <w:rPr>
          <w:rFonts w:ascii="Arial" w:cs="Arial" w:eastAsia="Arial" w:hAnsi="Arial"/>
          <w:sz w:val="18"/>
          <w:szCs w:val="18"/>
          <w:color w:val="auto"/>
        </w:rPr>
      </w:pPr>
    </w:p>
    <w:p>
      <w:pPr>
        <w:ind w:left="240" w:hanging="19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Recognized as a Leader in all six report categories in the NelsonHall NEAT report for Healthcare Payer BPS 2021.</w:t>
      </w:r>
    </w:p>
    <w:p>
      <w:pPr>
        <w:spacing w:after="0" w:line="171" w:lineRule="exact"/>
        <w:rPr>
          <w:rFonts w:ascii="Arial" w:cs="Arial" w:eastAsia="Arial" w:hAnsi="Arial"/>
          <w:sz w:val="18"/>
          <w:szCs w:val="18"/>
          <w:color w:val="auto"/>
        </w:rPr>
      </w:pPr>
    </w:p>
    <w:p>
      <w:pPr>
        <w:ind w:left="260" w:right="20" w:hanging="212"/>
        <w:spacing w:after="0" w:line="340"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Expanded our collaboration with Amazon.com, Inc.’s Amazon Web Service to help EXL clients operationalize AI, Analytics, Automation, and Cloud technologies within enterprise business processes.</w:t>
      </w:r>
    </w:p>
    <w:p>
      <w:pPr>
        <w:spacing w:after="0" w:line="24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2021 Guidance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Based on current visibility, and a U.S. Dollar to Indian Rupee exchange rate of 74.5, British Pound to U.S. Dollar exchange rate of 1.37, U.S. Dollar to the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Philippine Peso exchange rate of 50.0 and all other currencies at current exchange rates, we are providing the following guidance:</w:t>
      </w:r>
    </w:p>
    <w:p>
      <w:pPr>
        <w:spacing w:after="0" w:line="333" w:lineRule="exact"/>
        <w:rPr>
          <w:sz w:val="20"/>
          <w:szCs w:val="20"/>
          <w:color w:val="auto"/>
        </w:rPr>
      </w:pPr>
    </w:p>
    <w:p>
      <w:pPr>
        <w:ind w:left="660" w:hanging="328"/>
        <w:spacing w:after="0" w:line="286"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Revenue of $1.08 billion to $1.10 billion, representing an increase of 13% to 15% on a reported basis, and 12% to 14% on a constant currency basis, from 2020.</w:t>
      </w:r>
    </w:p>
    <w:p>
      <w:pPr>
        <w:spacing w:after="0" w:line="239"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Adjusted diluted earnings per share of $4.30 to $4.50, representing an increase of 22% to 27% from 2020.</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Conference Call</w:t>
      </w:r>
    </w:p>
    <w:p>
      <w:pPr>
        <w:spacing w:after="0" w:line="293"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 xml:space="preserve">ExlService Holdings, Inc. will host a conference call on Thursday, July 29, 2021 at 10:00 A.M. ET to discuss the Company’s quarterly operating and financial results. The conference call will be available live via the internet by accessing the investor relations section of EXL’s website at </w:t>
      </w:r>
      <w:r>
        <w:rPr>
          <w:rFonts w:ascii="Arial" w:cs="Arial" w:eastAsia="Arial" w:hAnsi="Arial"/>
          <w:sz w:val="18"/>
          <w:szCs w:val="18"/>
          <w:u w:val="single" w:color="auto"/>
          <w:color w:val="0000FF"/>
        </w:rPr>
        <w:t>ir.exlservice.com</w:t>
      </w:r>
      <w:r>
        <w:rPr>
          <w:rFonts w:ascii="Arial" w:cs="Arial" w:eastAsia="Arial" w:hAnsi="Arial"/>
          <w:sz w:val="18"/>
          <w:szCs w:val="18"/>
          <w:color w:val="auto"/>
        </w:rPr>
        <w:t>, where an accompanying investor-friendly spreadsheet of historical operating and financial data can also be accessed. Please access the website at least fifteen minutes prior to the call to register, download and install any necessary audio software.</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 xml:space="preserve">To listen to the conference call via phone, please dial 1-877-303-6384, or if dialing internationally, 1-224-357-2191 and an operator will assist you. For those who cannot access the live broadcast, a replay will be available on the EXL website </w:t>
      </w:r>
      <w:r>
        <w:rPr>
          <w:rFonts w:ascii="Arial" w:cs="Arial" w:eastAsia="Arial" w:hAnsi="Arial"/>
          <w:sz w:val="17"/>
          <w:szCs w:val="17"/>
          <w:u w:val="single" w:color="auto"/>
          <w:color w:val="0000FF"/>
        </w:rPr>
        <w:t>ir.exlservice.com</w:t>
      </w:r>
      <w:r>
        <w:rPr>
          <w:rFonts w:ascii="Arial" w:cs="Arial" w:eastAsia="Arial" w:hAnsi="Arial"/>
          <w:sz w:val="17"/>
          <w:szCs w:val="17"/>
          <w:color w:val="auto"/>
        </w:rPr>
        <w:t xml:space="preserve"> for a period of twelve months.</w:t>
      </w:r>
    </w:p>
    <w:p>
      <w:pPr>
        <w:sectPr>
          <w:pgSz w:w="11900" w:h="16838" w:orient="portrait"/>
          <w:cols w:equalWidth="0" w:num="1">
            <w:col w:w="11240"/>
          </w:cols>
          <w:pgMar w:left="320" w:top="116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216" w:lineRule="exact"/>
        <w:rPr>
          <w:sz w:val="20"/>
          <w:szCs w:val="20"/>
          <w:color w:val="auto"/>
        </w:rPr>
      </w:pPr>
    </w:p>
    <w:p>
      <w:pPr>
        <w:jc w:val="both"/>
        <w:spacing w:after="0" w:line="417" w:lineRule="auto"/>
        <w:rPr>
          <w:sz w:val="20"/>
          <w:szCs w:val="20"/>
          <w:color w:val="auto"/>
        </w:rPr>
      </w:pPr>
      <w:r>
        <w:rPr>
          <w:rFonts w:ascii="Arial" w:cs="Arial" w:eastAsia="Arial" w:hAnsi="Arial"/>
          <w:sz w:val="16"/>
          <w:szCs w:val="16"/>
          <w:color w:val="auto"/>
        </w:rPr>
        <w:t xml:space="preserve">EXL (NASDAQ: EXLS) is a leading operations management and analytics company that helps our clients build and grow sustainable businesses. By orchestrating our domain expertise, data, analytics and digital technology, we look deeper to design and manage agile, customer-centric operating models to improve global operations, drive profitability, enhance customer satisfaction, increase data-driven insights, and manage risk and compliance. Headquartered in New York, EXL has approximately 33,000 professionals in locations throughout the United States, the United Kingdom, Europe, India, the Philippines, Colombia, Canada, Australia and South Africa. EXL serves customers in multiple industries including insurance, healthcare, banking and financial services, utilities, travel, transportation and logistics, media and retail, among others. For more information, visit </w:t>
      </w:r>
      <w:r>
        <w:rPr>
          <w:rFonts w:ascii="Arial" w:cs="Arial" w:eastAsia="Arial" w:hAnsi="Arial"/>
          <w:sz w:val="16"/>
          <w:szCs w:val="16"/>
          <w:u w:val="single" w:color="auto"/>
          <w:color w:val="0000FF"/>
        </w:rPr>
        <w:t>www.exlservice.com.</w:t>
      </w:r>
    </w:p>
    <w:p>
      <w:pPr>
        <w:spacing w:after="0" w:line="265" w:lineRule="exact"/>
        <w:rPr>
          <w:sz w:val="20"/>
          <w:szCs w:val="20"/>
          <w:color w:val="auto"/>
        </w:rPr>
      </w:pPr>
    </w:p>
    <w:p>
      <w:pPr>
        <w:jc w:val="both"/>
        <w:spacing w:after="0" w:line="338" w:lineRule="auto"/>
        <w:rPr>
          <w:sz w:val="20"/>
          <w:szCs w:val="20"/>
          <w:color w:val="auto"/>
        </w:rPr>
      </w:pPr>
      <w:r>
        <w:rPr>
          <w:rFonts w:ascii="Arial" w:cs="Arial" w:eastAsia="Arial" w:hAnsi="Arial"/>
          <w:sz w:val="16"/>
          <w:szCs w:val="16"/>
          <w:b w:val="1"/>
          <w:bCs w:val="1"/>
          <w:color w:val="auto"/>
        </w:rPr>
        <w:t xml:space="preserve">Cautionary Statement Regarding Forward-Looking Statements </w:t>
      </w:r>
      <w:r>
        <w:rPr>
          <w:rFonts w:ascii="Arial" w:cs="Arial" w:eastAsia="Arial" w:hAnsi="Arial"/>
          <w:sz w:val="16"/>
          <w:szCs w:val="16"/>
          <w:i w:val="1"/>
          <w:iCs w:val="1"/>
          <w:color w:val="auto"/>
        </w:rPr>
        <w:t>This press release contains forward-looking statements. You should not place undue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our ability to successfully close and integrate strategic acquisitions, our ability to respond to and manage public health crises, including the outbreak and continued effects of the coronavirus (COVID-19) pandemic, are discussed in more detail in EXL’s filings with the Securities and Exchange Commission, including EXL’s Quarterly Report on Form 10-Q and Annual Report on Form 10-K.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ectPr>
          <w:pgSz w:w="11900" w:h="16838" w:orient="portrait"/>
          <w:cols w:equalWidth="0" w:num="1">
            <w:col w:w="11240"/>
          </w:cols>
          <w:pgMar w:left="320" w:top="945" w:right="339" w:bottom="1440" w:gutter="0" w:footer="0" w:header="0"/>
        </w:sectPr>
      </w:pPr>
    </w:p>
    <w:bookmarkStart w:id="7" w:name="page8"/>
    <w:bookmarkEnd w:id="7"/>
    <w:p>
      <w:pPr>
        <w:ind w:left="4080"/>
        <w:spacing w:after="0"/>
        <w:rPr>
          <w:sz w:val="20"/>
          <w:szCs w:val="20"/>
          <w:color w:val="auto"/>
        </w:rPr>
      </w:pPr>
      <w:r>
        <w:rPr>
          <w:rFonts w:ascii="Arial" w:cs="Arial" w:eastAsia="Arial" w:hAnsi="Arial"/>
          <w:sz w:val="18"/>
          <w:szCs w:val="18"/>
          <w:b w:val="1"/>
          <w:bCs w:val="1"/>
          <w:color w:val="auto"/>
        </w:rPr>
        <w:t>EXLSERVICE HOLDINGS, INC.</w:t>
      </w:r>
    </w:p>
    <w:p>
      <w:pPr>
        <w:spacing w:after="0" w:line="104"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6"/>
                <w:szCs w:val="16"/>
                <w:color w:val="auto"/>
              </w:rPr>
            </w:pPr>
          </w:p>
        </w:tc>
        <w:tc>
          <w:tcPr>
            <w:tcW w:w="232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7"/>
        </w:trPr>
        <w:tc>
          <w:tcPr>
            <w:tcW w:w="54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275,064</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222,473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536,479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468,463</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CCEEFF"/>
            </w:tcBorders>
          </w:tcPr>
          <w:p>
            <w:pPr>
              <w:spacing w:after="0" w:line="230" w:lineRule="exact"/>
              <w:rPr>
                <w:sz w:val="20"/>
                <w:szCs w:val="20"/>
                <w:color w:val="auto"/>
              </w:rPr>
            </w:pPr>
            <w:r>
              <w:rPr>
                <w:rFonts w:ascii="Arial" w:cs="Arial" w:eastAsia="Arial" w:hAnsi="Arial"/>
                <w:sz w:val="18"/>
                <w:szCs w:val="18"/>
                <w:color w:val="auto"/>
              </w:rPr>
              <w:t>Cost of revenues</w:t>
            </w:r>
            <w:r>
              <w:rPr>
                <w:rFonts w:ascii="Arial" w:cs="Arial" w:eastAsia="Arial" w:hAnsi="Arial"/>
                <w:sz w:val="23"/>
                <w:szCs w:val="23"/>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170,701</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158,401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329,522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321,057</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spacing w:after="0" w:line="223" w:lineRule="exact"/>
              <w:rPr>
                <w:sz w:val="20"/>
                <w:szCs w:val="20"/>
                <w:color w:val="auto"/>
              </w:rPr>
            </w:pPr>
            <w:r>
              <w:rPr>
                <w:rFonts w:ascii="Arial" w:cs="Arial" w:eastAsia="Arial" w:hAnsi="Arial"/>
                <w:sz w:val="18"/>
                <w:szCs w:val="18"/>
                <w:b w:val="1"/>
                <w:bCs w:val="1"/>
                <w:color w:val="auto"/>
              </w:rPr>
              <w:t>Gross profit</w:t>
            </w:r>
            <w:r>
              <w:rPr>
                <w:rFonts w:ascii="Arial" w:cs="Arial" w:eastAsia="Arial" w:hAnsi="Arial"/>
                <w:sz w:val="23"/>
                <w:szCs w:val="23"/>
                <w:b w:val="1"/>
                <w:bCs w:val="1"/>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104,363</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64,072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206,957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147,406</w:t>
            </w:r>
          </w:p>
        </w:tc>
        <w:tc>
          <w:tcPr>
            <w:tcW w:w="0" w:type="dxa"/>
            <w:vAlign w:val="bottom"/>
          </w:tcPr>
          <w:p>
            <w:pPr>
              <w:spacing w:after="0"/>
              <w:rPr>
                <w:sz w:val="1"/>
                <w:szCs w:val="1"/>
                <w:color w:val="auto"/>
              </w:rPr>
            </w:pPr>
          </w:p>
        </w:tc>
      </w:tr>
      <w:tr>
        <w:trPr>
          <w:trHeight w:val="209"/>
        </w:trPr>
        <w:tc>
          <w:tcPr>
            <w:tcW w:w="544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36,499</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57,691</w:t>
            </w:r>
          </w:p>
        </w:tc>
        <w:tc>
          <w:tcPr>
            <w:tcW w:w="0" w:type="dxa"/>
            <w:vAlign w:val="bottom"/>
          </w:tcPr>
          <w:p>
            <w:pPr>
              <w:spacing w:after="0"/>
              <w:rPr>
                <w:sz w:val="1"/>
                <w:szCs w:val="1"/>
                <w:color w:val="auto"/>
              </w:rPr>
            </w:pPr>
          </w:p>
        </w:tc>
      </w:tr>
      <w:tr>
        <w:trPr>
          <w:trHeight w:val="230"/>
        </w:trPr>
        <w:tc>
          <w:tcPr>
            <w:tcW w:w="5440" w:type="dxa"/>
            <w:vAlign w:val="bottom"/>
          </w:tcPr>
          <w:p>
            <w:pPr>
              <w:ind w:left="320"/>
              <w:spacing w:after="0"/>
              <w:rPr>
                <w:sz w:val="20"/>
                <w:szCs w:val="20"/>
                <w:color w:val="auto"/>
              </w:rPr>
            </w:pPr>
            <w:r>
              <w:rPr>
                <w:rFonts w:ascii="Arial" w:cs="Arial" w:eastAsia="Arial" w:hAnsi="Arial"/>
                <w:sz w:val="18"/>
                <w:szCs w:val="18"/>
                <w:color w:val="auto"/>
              </w:rPr>
              <w:t>Selling and marketing expenses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19,724</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13,051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37,959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27,507</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 expense</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12,310</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24,855</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68,533</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54,206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129,572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110,053</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35,830</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9,866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77,385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37,353</w:t>
            </w: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Foreign exchange gain, net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1,353</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2,736</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(5,955)</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6,754</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0"/>
              </w:rPr>
              <w:t>Income before income tax expense and earnings from equity affiliates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36,878</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12,567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77,803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40,888</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8,865</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9,927</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earnings from equity affiliates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28,013</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8,495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59,980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30,961</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Gain / (Loss) from equity-method investment</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7"/>
              </w:rPr>
              <w:t>Net income attributable to ExlService Holdings, Inc. stockholders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28,021</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8,429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59,952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30,840</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3"/>
              </w:rPr>
              <w:t>Earnings per share attributable to ExlService Holdings, Inc. stockholders: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4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30"/>
        </w:trPr>
        <w:tc>
          <w:tcPr>
            <w:tcW w:w="5440" w:type="dxa"/>
            <w:vAlign w:val="bottom"/>
          </w:tcPr>
          <w:p>
            <w:pPr>
              <w:ind w:left="52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0.81</w:t>
            </w:r>
          </w:p>
        </w:tc>
        <w:tc>
          <w:tcPr>
            <w:tcW w:w="1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0.24</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175"/>
        </w:trPr>
        <w:tc>
          <w:tcPr>
            <w:tcW w:w="54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0"/>
              </w:rPr>
              <w:t>Weighted-average number of shares used in computing earnings per share</w:t>
            </w: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 ExlService Holdings Inc. stockholders: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52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33,571,074</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34,486,202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3"/>
              </w:rPr>
              <w:t>33,652,146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34,443,884</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34,389,768</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34,597,688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34,353,593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34,659,146</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0"/>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Exclusive of depreciation and amortization expense.</w:t>
      </w:r>
    </w:p>
    <w:p>
      <w:pPr>
        <w:sectPr>
          <w:pgSz w:w="11900" w:h="16838" w:orient="portrait"/>
          <w:cols w:equalWidth="0" w:num="1">
            <w:col w:w="10840"/>
          </w:cols>
          <w:pgMar w:left="540" w:top="1107" w:right="51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Arial" w:cs="Arial" w:eastAsia="Arial" w:hAnsi="Arial"/>
                <w:sz w:val="15"/>
                <w:szCs w:val="15"/>
                <w:b w:val="1"/>
                <w:bCs w:val="1"/>
                <w:color w:val="auto"/>
              </w:rPr>
              <w:t>As of</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 2021</w:t>
            </w:r>
          </w:p>
        </w:tc>
        <w:tc>
          <w:tcPr>
            <w:tcW w:w="120" w:type="dxa"/>
            <w:vAlign w:val="bottom"/>
          </w:tcPr>
          <w:p>
            <w:pPr>
              <w:spacing w:after="0"/>
              <w:rPr>
                <w:sz w:val="18"/>
                <w:szCs w:val="18"/>
                <w:color w:val="auto"/>
              </w:rPr>
            </w:pPr>
          </w:p>
        </w:tc>
        <w:tc>
          <w:tcPr>
            <w:tcW w:w="1460" w:type="dxa"/>
            <w:vAlign w:val="bottom"/>
          </w:tcPr>
          <w:p>
            <w:pPr>
              <w:jc w:val="right"/>
              <w:ind w:right="50"/>
              <w:spacing w:after="0"/>
              <w:rPr>
                <w:sz w:val="20"/>
                <w:szCs w:val="20"/>
                <w:color w:val="auto"/>
              </w:rPr>
            </w:pPr>
            <w:r>
              <w:rPr>
                <w:rFonts w:ascii="Arial" w:cs="Arial" w:eastAsia="Arial" w:hAnsi="Arial"/>
                <w:sz w:val="16"/>
                <w:szCs w:val="16"/>
                <w:b w:val="1"/>
                <w:bCs w:val="1"/>
                <w:color w:val="auto"/>
                <w:w w:val="90"/>
              </w:rPr>
              <w:t>December 31, 2020</w:t>
            </w:r>
          </w:p>
        </w:tc>
        <w:tc>
          <w:tcPr>
            <w:tcW w:w="0" w:type="dxa"/>
            <w:vAlign w:val="bottom"/>
          </w:tcPr>
          <w:p>
            <w:pPr>
              <w:spacing w:after="0"/>
              <w:rPr>
                <w:sz w:val="1"/>
                <w:szCs w:val="1"/>
                <w:color w:val="auto"/>
              </w:rPr>
            </w:pPr>
          </w:p>
        </w:tc>
      </w:tr>
      <w:tr>
        <w:trPr>
          <w:trHeight w:val="199"/>
        </w:trPr>
        <w:tc>
          <w:tcPr>
            <w:tcW w:w="70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150,211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218,530</w:t>
            </w:r>
          </w:p>
        </w:tc>
        <w:tc>
          <w:tcPr>
            <w:tcW w:w="0" w:type="dxa"/>
            <w:vAlign w:val="bottom"/>
          </w:tcPr>
          <w:p>
            <w:pPr>
              <w:spacing w:after="0"/>
              <w:rPr>
                <w:sz w:val="1"/>
                <w:szCs w:val="1"/>
                <w:color w:val="auto"/>
              </w:rPr>
            </w:pPr>
          </w:p>
        </w:tc>
      </w:tr>
      <w:tr>
        <w:trPr>
          <w:trHeight w:val="229"/>
        </w:trPr>
        <w:tc>
          <w:tcPr>
            <w:tcW w:w="7020" w:type="dxa"/>
            <w:vAlign w:val="bottom"/>
          </w:tcPr>
          <w:p>
            <w:pPr>
              <w:ind w:left="340"/>
              <w:spacing w:after="0"/>
              <w:rPr>
                <w:sz w:val="20"/>
                <w:szCs w:val="20"/>
                <w:color w:val="auto"/>
              </w:rPr>
            </w:pPr>
            <w:r>
              <w:rPr>
                <w:rFonts w:ascii="Arial" w:cs="Arial" w:eastAsia="Arial" w:hAnsi="Arial"/>
                <w:sz w:val="16"/>
                <w:szCs w:val="16"/>
                <w:color w:val="auto"/>
              </w:rPr>
              <w:t>Short-term investments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144,533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184,286</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Restricted cash</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0" w:type="dxa"/>
            <w:vAlign w:val="bottom"/>
          </w:tcPr>
          <w:p>
            <w:pPr>
              <w:spacing w:after="0"/>
              <w:rPr>
                <w:sz w:val="1"/>
                <w:szCs w:val="1"/>
                <w:color w:val="auto"/>
              </w:rPr>
            </w:pPr>
          </w:p>
        </w:tc>
      </w:tr>
      <w:tr>
        <w:trPr>
          <w:trHeight w:val="229"/>
        </w:trPr>
        <w:tc>
          <w:tcPr>
            <w:tcW w:w="7020" w:type="dxa"/>
            <w:vAlign w:val="bottom"/>
          </w:tcPr>
          <w:p>
            <w:pPr>
              <w:ind w:left="34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182,111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147,635</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11,344</w:t>
            </w:r>
          </w:p>
        </w:tc>
        <w:tc>
          <w:tcPr>
            <w:tcW w:w="0" w:type="dxa"/>
            <w:vAlign w:val="bottom"/>
          </w:tcPr>
          <w:p>
            <w:pPr>
              <w:spacing w:after="0"/>
              <w:rPr>
                <w:sz w:val="1"/>
                <w:szCs w:val="1"/>
                <w:color w:val="auto"/>
              </w:rPr>
            </w:pPr>
          </w:p>
        </w:tc>
      </w:tr>
      <w:tr>
        <w:trPr>
          <w:trHeight w:val="229"/>
        </w:trPr>
        <w:tc>
          <w:tcPr>
            <w:tcW w:w="7020" w:type="dxa"/>
            <w:vAlign w:val="bottom"/>
          </w:tcPr>
          <w:p>
            <w:pPr>
              <w:ind w:left="340"/>
              <w:spacing w:after="0"/>
              <w:rPr>
                <w:sz w:val="20"/>
                <w:szCs w:val="20"/>
                <w:color w:val="auto"/>
              </w:rPr>
            </w:pPr>
            <w:r>
              <w:rPr>
                <w:rFonts w:ascii="Arial" w:cs="Arial" w:eastAsia="Arial" w:hAnsi="Arial"/>
                <w:sz w:val="16"/>
                <w:szCs w:val="16"/>
                <w:color w:val="auto"/>
              </w:rPr>
              <w:t>Advance income tax, net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13,567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5,684</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33,615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37,109</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current assets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541,162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609,278</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92,875</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83,280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91,918</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6"/>
                <w:szCs w:val="16"/>
                <w:color w:val="auto"/>
              </w:rPr>
              <w:t>Deferred tax assets, net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24,132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7,749</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59,594</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348,747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349,088</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32,099</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 in equity affiliate</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1,169,346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1,247,857</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0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3,877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6,992</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portion of long-term borrowings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29"/>
        </w:trPr>
        <w:tc>
          <w:tcPr>
            <w:tcW w:w="702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12,017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32,649</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employee costs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70,496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67,645</w:t>
            </w:r>
          </w:p>
        </w:tc>
        <w:tc>
          <w:tcPr>
            <w:tcW w:w="0" w:type="dxa"/>
            <w:vAlign w:val="bottom"/>
          </w:tcPr>
          <w:p>
            <w:pPr>
              <w:spacing w:after="0"/>
              <w:rPr>
                <w:sz w:val="1"/>
                <w:szCs w:val="1"/>
                <w:color w:val="auto"/>
              </w:rPr>
            </w:pPr>
          </w:p>
        </w:tc>
      </w:tr>
      <w:tr>
        <w:trPr>
          <w:trHeight w:val="230"/>
        </w:trPr>
        <w:tc>
          <w:tcPr>
            <w:tcW w:w="7020" w:type="dxa"/>
            <w:vAlign w:val="bottom"/>
          </w:tcPr>
          <w:p>
            <w:pPr>
              <w:ind w:left="340"/>
              <w:spacing w:after="0"/>
              <w:rPr>
                <w:sz w:val="20"/>
                <w:szCs w:val="20"/>
                <w:color w:val="auto"/>
              </w:rPr>
            </w:pPr>
            <w:r>
              <w:rPr>
                <w:rFonts w:ascii="Arial" w:cs="Arial" w:eastAsia="Arial" w:hAnsi="Arial"/>
                <w:sz w:val="16"/>
                <w:szCs w:val="16"/>
                <w:color w:val="auto"/>
              </w:rPr>
              <w:t>Accrued expenses and other current liabilities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76,424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66,410</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portion of operating lease liabilities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18,894</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Income taxes payable, net</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3,488</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current liabilities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207,109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221,078</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6"/>
                <w:szCs w:val="16"/>
                <w:color w:val="auto"/>
              </w:rPr>
              <w:t>Long-term borrowings, less current portion</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139,432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201,961</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less current portion</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84,874</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6"/>
                <w:szCs w:val="16"/>
                <w:color w:val="auto"/>
              </w:rPr>
              <w:t>Income taxes payable</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 net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18,135</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441,332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528,685</w:t>
            </w:r>
          </w:p>
        </w:tc>
        <w:tc>
          <w:tcPr>
            <w:tcW w:w="0" w:type="dxa"/>
            <w:vAlign w:val="bottom"/>
          </w:tcPr>
          <w:p>
            <w:pPr>
              <w:spacing w:after="0"/>
              <w:rPr>
                <w:sz w:val="1"/>
                <w:szCs w:val="1"/>
                <w:color w:val="auto"/>
              </w:rPr>
            </w:pPr>
          </w:p>
        </w:tc>
      </w:tr>
      <w:tr>
        <w:trPr>
          <w:trHeight w:val="193"/>
        </w:trPr>
        <w:tc>
          <w:tcPr>
            <w:tcW w:w="702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stock, $0.001 par value; 15,000,000 shares authorized, none issued</w:t>
            </w:r>
          </w:p>
        </w:tc>
        <w:tc>
          <w:tcPr>
            <w:tcW w:w="2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7020" w:type="dxa"/>
            <w:vAlign w:val="bottom"/>
          </w:tcPr>
          <w:p>
            <w:pPr>
              <w:ind w:left="20"/>
              <w:spacing w:after="0"/>
              <w:rPr>
                <w:sz w:val="20"/>
                <w:szCs w:val="20"/>
                <w:color w:val="auto"/>
              </w:rPr>
            </w:pPr>
            <w:r>
              <w:rPr>
                <w:rFonts w:ascii="Arial" w:cs="Arial" w:eastAsia="Arial" w:hAnsi="Arial"/>
                <w:sz w:val="16"/>
                <w:szCs w:val="16"/>
                <w:b w:val="1"/>
                <w:bCs w:val="1"/>
                <w:color w:val="auto"/>
              </w:rPr>
              <w:t>ExlService Holdings, Inc. Stockholders’ equity:</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7020" w:type="dxa"/>
            <w:vAlign w:val="bottom"/>
            <w:shd w:val="clear" w:color="auto" w:fill="CCEEFF"/>
          </w:tcPr>
          <w:p>
            <w:pPr>
              <w:ind w:left="340"/>
              <w:spacing w:after="0" w:line="168" w:lineRule="exact"/>
              <w:rPr>
                <w:sz w:val="20"/>
                <w:szCs w:val="20"/>
                <w:color w:val="auto"/>
              </w:rPr>
            </w:pPr>
            <w:r>
              <w:rPr>
                <w:rFonts w:ascii="Arial" w:cs="Arial" w:eastAsia="Arial" w:hAnsi="Arial"/>
                <w:sz w:val="16"/>
                <w:szCs w:val="16"/>
                <w:color w:val="auto"/>
                <w:w w:val="96"/>
              </w:rPr>
              <w:t>Common stock, $0.001 par value; 100,000,000 shares authorized, 39,283,853 shares issued and</w:t>
            </w:r>
          </w:p>
        </w:tc>
        <w:tc>
          <w:tcPr>
            <w:tcW w:w="2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20" w:type="dxa"/>
            <w:vAlign w:val="bottom"/>
            <w:shd w:val="clear" w:color="auto" w:fill="CCEEFF"/>
          </w:tcPr>
          <w:p>
            <w:pPr>
              <w:ind w:left="340"/>
              <w:spacing w:after="0" w:line="162" w:lineRule="exact"/>
              <w:rPr>
                <w:sz w:val="20"/>
                <w:szCs w:val="20"/>
                <w:color w:val="auto"/>
              </w:rPr>
            </w:pPr>
            <w:r>
              <w:rPr>
                <w:rFonts w:ascii="Arial" w:cs="Arial" w:eastAsia="Arial" w:hAnsi="Arial"/>
                <w:sz w:val="16"/>
                <w:szCs w:val="16"/>
                <w:color w:val="auto"/>
                <w:w w:val="95"/>
              </w:rPr>
              <w:t>33,249,709 shares outstanding as of June 30, 2021 and 38,968,052 shares issued and 33,559,434</w:t>
            </w:r>
          </w:p>
        </w:tc>
        <w:tc>
          <w:tcPr>
            <w:tcW w:w="24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2"/>
        </w:trPr>
        <w:tc>
          <w:tcPr>
            <w:tcW w:w="7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shares outstanding as of December 31, 2020</w:t>
            </w:r>
          </w:p>
        </w:tc>
        <w:tc>
          <w:tcPr>
            <w:tcW w:w="24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34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439,051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420,976</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Retained earnings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701,331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641,379</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(86,745)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(74,984)</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including shares held in treasury</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1,053,676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987,410</w:t>
            </w:r>
          </w:p>
        </w:tc>
        <w:tc>
          <w:tcPr>
            <w:tcW w:w="0" w:type="dxa"/>
            <w:vAlign w:val="bottom"/>
          </w:tcPr>
          <w:p>
            <w:pPr>
              <w:spacing w:after="0"/>
              <w:rPr>
                <w:sz w:val="1"/>
                <w:szCs w:val="1"/>
                <w:color w:val="auto"/>
              </w:rPr>
            </w:pPr>
          </w:p>
        </w:tc>
      </w:tr>
      <w:tr>
        <w:trPr>
          <w:trHeight w:val="166"/>
        </w:trPr>
        <w:tc>
          <w:tcPr>
            <w:tcW w:w="7020" w:type="dxa"/>
            <w:vAlign w:val="bottom"/>
          </w:tcPr>
          <w:p>
            <w:pPr>
              <w:ind w:left="20"/>
              <w:spacing w:after="0" w:line="166" w:lineRule="exact"/>
              <w:rPr>
                <w:sz w:val="20"/>
                <w:szCs w:val="20"/>
                <w:color w:val="auto"/>
              </w:rPr>
            </w:pPr>
            <w:r>
              <w:rPr>
                <w:rFonts w:ascii="Arial" w:cs="Arial" w:eastAsia="Arial" w:hAnsi="Arial"/>
                <w:sz w:val="16"/>
                <w:szCs w:val="16"/>
                <w:color w:val="auto"/>
                <w:w w:val="98"/>
              </w:rPr>
              <w:t>Less: 6,034,144 shares as of June 30, 2021 and 5,408,618 shares as of December 31, 2020, held in</w:t>
            </w:r>
          </w:p>
        </w:tc>
        <w:tc>
          <w:tcPr>
            <w:tcW w:w="24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(325,662)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(268,238)</w:t>
            </w:r>
          </w:p>
        </w:tc>
        <w:tc>
          <w:tcPr>
            <w:tcW w:w="0" w:type="dxa"/>
            <w:vAlign w:val="bottom"/>
          </w:tcPr>
          <w:p>
            <w:pPr>
              <w:spacing w:after="0"/>
              <w:rPr>
                <w:sz w:val="1"/>
                <w:szCs w:val="1"/>
                <w:color w:val="auto"/>
              </w:rPr>
            </w:pPr>
          </w:p>
        </w:tc>
      </w:tr>
      <w:tr>
        <w:trPr>
          <w:trHeight w:val="212"/>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treasury, at cost</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728,014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719,172</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equity</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728,014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719,172</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1,169,346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1,247,857</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360"/>
          </w:cols>
          <w:pgMar w:left="760" w:top="891" w:right="7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283" w:lineRule="exact"/>
        <w:rPr>
          <w:sz w:val="20"/>
          <w:szCs w:val="20"/>
          <w:color w:val="auto"/>
        </w:rPr>
      </w:pPr>
    </w:p>
    <w:p>
      <w:pPr>
        <w:ind w:firstLine="405"/>
        <w:spacing w:after="0" w:line="324" w:lineRule="auto"/>
        <w:rPr>
          <w:sz w:val="20"/>
          <w:szCs w:val="20"/>
          <w:color w:val="auto"/>
        </w:rPr>
      </w:pPr>
      <w:r>
        <w:rPr>
          <w:rFonts w:ascii="Arial" w:cs="Arial" w:eastAsia="Arial" w:hAnsi="Arial"/>
          <w:sz w:val="18"/>
          <w:szCs w:val="18"/>
          <w:color w:val="auto"/>
        </w:rPr>
        <w:t>In addition to its reported operating results in accordance with U.S. generally accepted accounting principles (GAAP), EXL has included in this release certain financial measures that are considered non-GAAP financial measures, including the following:</w:t>
      </w:r>
    </w:p>
    <w:p>
      <w:pPr>
        <w:spacing w:after="0" w:line="89"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operating income and adjusted operating income margin;</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and adjusted EBITDA margin;</w:t>
      </w:r>
    </w:p>
    <w:p>
      <w:pPr>
        <w:spacing w:after="0" w:line="49"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net income and adjusted diluted earnings per share; and</w:t>
      </w:r>
    </w:p>
    <w:p>
      <w:pPr>
        <w:spacing w:after="0" w:line="49"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growth on a constant currency basis.</w:t>
      </w:r>
    </w:p>
    <w:p>
      <w:pPr>
        <w:spacing w:after="0" w:line="293" w:lineRule="exact"/>
        <w:rPr>
          <w:sz w:val="20"/>
          <w:szCs w:val="20"/>
          <w:color w:val="auto"/>
        </w:rPr>
      </w:pPr>
    </w:p>
    <w:p>
      <w:pPr>
        <w:jc w:val="both"/>
        <w:ind w:firstLine="405"/>
        <w:spacing w:after="0" w:line="340" w:lineRule="auto"/>
        <w:rPr>
          <w:sz w:val="20"/>
          <w:szCs w:val="20"/>
          <w:color w:val="auto"/>
        </w:rPr>
      </w:pPr>
      <w:r>
        <w:rPr>
          <w:rFonts w:ascii="Arial" w:cs="Arial" w:eastAsia="Arial" w:hAnsi="Arial"/>
          <w:sz w:val="16"/>
          <w:szCs w:val="16"/>
          <w:color w:val="auto"/>
        </w:rPr>
        <w:t>These non-GAAP financial measures are not based on any comprehensive set of accounting rules or principles, should not be considered a substitute for, or superior to, financial measures calculated in accordance with GAAP, and may be different from non-GAAP financial measures used by other companies. Accordingly, the financial results calculated in accordance with GAAP and reconciliations from those financial statements should be carefully evaluated. EXL believes that providing these non-GAAP financial measures may help investors better understand EXL’s underlying financial performance. Management also believes that these non-GAAP financial measures, when read in conjunction with EXL’s reported results, can provide useful supplemental information for investors analyzing period-to-period comparisons of the Company’s results and comparisons of the Company’s results with the results of other companies. Additionally, management considers some of these non-GAAP financial measures to determine variable compensation of its employees. The Company believes that it is unreasonably difficult to provide its earnings per share financial guidance in accordance with GAAP, or a qualitative reconciliation thereof, for a number of reasons, including, without limitation, the Company’s inability to predict its future stock-based compensation expense under ASC Topic 718, the amortization of intangibles associated with further acquisitions and the currency fluctuations and associated tax impacts. As such, the Company presents guidance with respect to adjusted diluted earnings per share. The Company also incurs significant non-cash charges for depreciation that may not be indicative of the Company’s ability to generate cash flow.</w:t>
      </w:r>
    </w:p>
    <w:p>
      <w:pPr>
        <w:spacing w:after="0" w:line="193" w:lineRule="exact"/>
        <w:rPr>
          <w:sz w:val="20"/>
          <w:szCs w:val="20"/>
          <w:color w:val="auto"/>
        </w:rPr>
      </w:pPr>
    </w:p>
    <w:p>
      <w:pPr>
        <w:jc w:val="both"/>
        <w:ind w:firstLine="405"/>
        <w:spacing w:after="0" w:line="322" w:lineRule="auto"/>
        <w:rPr>
          <w:sz w:val="20"/>
          <w:szCs w:val="20"/>
          <w:color w:val="auto"/>
        </w:rPr>
      </w:pPr>
      <w:r>
        <w:rPr>
          <w:rFonts w:ascii="Arial" w:cs="Arial" w:eastAsia="Arial" w:hAnsi="Arial"/>
          <w:sz w:val="17"/>
          <w:szCs w:val="17"/>
          <w:color w:val="auto"/>
        </w:rPr>
        <w:t>EXL non-GAAP financial measures exclude, where applicable, stock-based compensation expense, amortization of acquisition-related intangible assets, impairment charges of acquired long-lived and intangible assets including goodwill, provision for litigation settlement, non-cash interest expense on convertible senior notes, restructuring charges and other acquisition-related expenses or benefits. Acquisition-related expenses or benefits include, changes in the fair value of earn-out consideration liabilities, external deal costs, integration expenses, direct and incremental travel costs and non-recurring benefits. In addition to excluding the above items, our adjusted net income and adjusted diluted EPS also excludes the effect of any non-recurring other tax adjustments and income tax impact of the above pre-tax items, as applicable. The income tax impact of each item is calculated by applying the statutory rate and local tax regulations in the jurisdiction in which the item was incurred.</w:t>
      </w:r>
    </w:p>
    <w:p>
      <w:pPr>
        <w:spacing w:after="0" w:line="203" w:lineRule="exact"/>
        <w:rPr>
          <w:sz w:val="20"/>
          <w:szCs w:val="20"/>
          <w:color w:val="auto"/>
        </w:rPr>
      </w:pPr>
    </w:p>
    <w:p>
      <w:pPr>
        <w:jc w:val="both"/>
        <w:ind w:firstLine="405"/>
        <w:spacing w:after="0" w:line="304" w:lineRule="auto"/>
        <w:rPr>
          <w:sz w:val="20"/>
          <w:szCs w:val="20"/>
          <w:color w:val="auto"/>
        </w:rPr>
      </w:pPr>
      <w:r>
        <w:rPr>
          <w:rFonts w:ascii="Arial" w:cs="Arial" w:eastAsia="Arial" w:hAnsi="Arial"/>
          <w:sz w:val="18"/>
          <w:szCs w:val="18"/>
          <w:color w:val="auto"/>
        </w:rPr>
        <w:t>A limitation of using non-GAAP financial measures versus financial measures calculated in accordance with GAAP is that non-GAAP financial measures do not reflect all of the amounts associated with our operating results as determined in accordance with GAAP and exclude costs that are recurring, namely stock-based compensation and amortization of acquisition-related intangible assets. EXL compensates for these limitations by providing specific information regarding the GAAP amounts excluded from non-GAAP financial measures to allow investors to evaluate such non-GAAP financial measures.</w:t>
      </w:r>
    </w:p>
    <w:p>
      <w:pPr>
        <w:spacing w:after="0" w:line="215" w:lineRule="exact"/>
        <w:rPr>
          <w:sz w:val="20"/>
          <w:szCs w:val="20"/>
          <w:color w:val="auto"/>
        </w:rPr>
      </w:pPr>
    </w:p>
    <w:p>
      <w:pPr>
        <w:jc w:val="both"/>
        <w:ind w:firstLine="405"/>
        <w:spacing w:after="0" w:line="346" w:lineRule="auto"/>
        <w:rPr>
          <w:sz w:val="20"/>
          <w:szCs w:val="20"/>
          <w:color w:val="auto"/>
        </w:rPr>
      </w:pPr>
      <w:r>
        <w:rPr>
          <w:rFonts w:ascii="Arial" w:cs="Arial" w:eastAsia="Arial" w:hAnsi="Arial"/>
          <w:sz w:val="16"/>
          <w:szCs w:val="16"/>
          <w:color w:val="auto"/>
        </w:rPr>
        <w:t>The information provided on a constant currency basis reflects a comparison of current period results translated at the prior period currency rates. This information is provided because EXL believes that it provides useful comparative incremental information to investors regarding EXL’s true operating performance. EXL’s primary exchange rate exposure is with the Indian Rupee, the U.K. pound sterling and the Philippine Peso. The average exchange rate of the U.S. Dollar against the Indian Rupee decreased from 75.41 during the quarter ended June 30, 2020 to 73.67 during the quarter ended June 30, 2021, representing a depreciation of 2.3%. The average exchange rate of the U.S. Dollar against the Philippine Peso decreased from 50.28 during the quarter ended June 30, 2020 to 48.20 during the quarter ended June 30, 2021, representing a depreciation of 4.1%. The average</w:t>
      </w:r>
    </w:p>
    <w:p>
      <w:pPr>
        <w:sectPr>
          <w:pgSz w:w="11900" w:h="16838" w:orient="portrait"/>
          <w:cols w:equalWidth="0" w:num="1">
            <w:col w:w="11240"/>
          </w:cols>
          <w:pgMar w:left="320" w:top="931" w:right="339" w:bottom="1440" w:gutter="0" w:footer="0" w:header="0"/>
        </w:sectPr>
      </w:pPr>
    </w:p>
    <w:bookmarkStart w:id="10" w:name="page11"/>
    <w:bookmarkEnd w:id="10"/>
    <w:p>
      <w:pPr>
        <w:spacing w:after="0" w:line="324" w:lineRule="auto"/>
        <w:rPr>
          <w:sz w:val="20"/>
          <w:szCs w:val="20"/>
          <w:color w:val="auto"/>
        </w:rPr>
      </w:pPr>
      <w:r>
        <w:rPr>
          <w:rFonts w:ascii="Arial" w:cs="Arial" w:eastAsia="Arial" w:hAnsi="Arial"/>
          <w:sz w:val="18"/>
          <w:szCs w:val="18"/>
          <w:color w:val="auto"/>
        </w:rPr>
        <w:t>exchange rate of the British Pound against the U.S. Dollar increased from 1.24 during the quarter ended June 30, 2020 to 1.40 during the quarter ended June 30, 2021, representing a depreciation of 13.0%.</w:t>
      </w:r>
    </w:p>
    <w:p>
      <w:pPr>
        <w:spacing w:after="0" w:line="197" w:lineRule="exact"/>
        <w:rPr>
          <w:sz w:val="20"/>
          <w:szCs w:val="20"/>
          <w:color w:val="auto"/>
        </w:rPr>
      </w:pPr>
    </w:p>
    <w:p>
      <w:pPr>
        <w:ind w:right="20" w:firstLine="405"/>
        <w:spacing w:after="0" w:line="324" w:lineRule="auto"/>
        <w:rPr>
          <w:sz w:val="20"/>
          <w:szCs w:val="20"/>
          <w:color w:val="auto"/>
        </w:rPr>
      </w:pPr>
      <w:r>
        <w:rPr>
          <w:rFonts w:ascii="Arial" w:cs="Arial" w:eastAsia="Arial" w:hAnsi="Arial"/>
          <w:sz w:val="18"/>
          <w:szCs w:val="18"/>
          <w:color w:val="auto"/>
        </w:rPr>
        <w:t>The following table shows the reconciliation of these non-GAAP financial measures for the three months ended June 30, 2021 and June 30, 2020, and the three months ended March 31, 2021:</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Adjusted Operating Income and Adjusted EBITDA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thousands)</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223"/>
        </w:trPr>
        <w:tc>
          <w:tcPr>
            <w:tcW w:w="6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w w:val="88"/>
              </w:rPr>
              <w:t>Three months ended</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09"/>
        </w:trPr>
        <w:tc>
          <w:tcPr>
            <w:tcW w:w="6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6"/>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(GAAP)</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28,021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8,429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31,931</w:t>
            </w:r>
          </w:p>
        </w:tc>
        <w:tc>
          <w:tcPr>
            <w:tcW w:w="0" w:type="dxa"/>
            <w:vAlign w:val="bottom"/>
          </w:tcPr>
          <w:p>
            <w:pPr>
              <w:spacing w:after="0"/>
              <w:rPr>
                <w:sz w:val="1"/>
                <w:szCs w:val="1"/>
                <w:color w:val="auto"/>
              </w:rPr>
            </w:pPr>
          </w:p>
        </w:tc>
      </w:tr>
      <w:tr>
        <w:trPr>
          <w:trHeight w:val="229"/>
        </w:trPr>
        <w:tc>
          <w:tcPr>
            <w:tcW w:w="6140" w:type="dxa"/>
            <w:vAlign w:val="bottom"/>
          </w:tcPr>
          <w:p>
            <w:pPr>
              <w:ind w:left="340"/>
              <w:spacing w:after="0"/>
              <w:rPr>
                <w:sz w:val="20"/>
                <w:szCs w:val="20"/>
                <w:color w:val="auto"/>
              </w:rPr>
            </w:pPr>
            <w:r>
              <w:rPr>
                <w:rFonts w:ascii="Arial" w:cs="Arial" w:eastAsia="Arial" w:hAnsi="Arial"/>
                <w:sz w:val="16"/>
                <w:szCs w:val="16"/>
                <w:color w:val="auto"/>
              </w:rPr>
              <w:t>add: Income tax expense</w:t>
            </w:r>
          </w:p>
        </w:tc>
        <w:tc>
          <w:tcPr>
            <w:tcW w:w="30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8,865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4,072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8,958</w:t>
            </w:r>
          </w:p>
        </w:tc>
        <w:tc>
          <w:tcPr>
            <w:tcW w:w="0" w:type="dxa"/>
            <w:vAlign w:val="bottom"/>
          </w:tcPr>
          <w:p>
            <w:pPr>
              <w:spacing w:after="0"/>
              <w:rPr>
                <w:sz w:val="1"/>
                <w:szCs w:val="1"/>
                <w:color w:val="auto"/>
              </w:rPr>
            </w:pPr>
          </w:p>
        </w:tc>
      </w:tr>
      <w:tr>
        <w:trPr>
          <w:trHeight w:val="166"/>
        </w:trPr>
        <w:tc>
          <w:tcPr>
            <w:tcW w:w="6140" w:type="dxa"/>
            <w:vAlign w:val="bottom"/>
            <w:shd w:val="clear" w:color="auto" w:fill="CCEEFF"/>
          </w:tcPr>
          <w:p>
            <w:pPr>
              <w:ind w:left="340"/>
              <w:spacing w:after="0" w:line="166" w:lineRule="exact"/>
              <w:rPr>
                <w:sz w:val="20"/>
                <w:szCs w:val="20"/>
                <w:color w:val="auto"/>
              </w:rPr>
            </w:pPr>
            <w:r>
              <w:rPr>
                <w:rFonts w:ascii="Arial" w:cs="Arial" w:eastAsia="Arial" w:hAnsi="Arial"/>
                <w:sz w:val="16"/>
                <w:szCs w:val="16"/>
                <w:color w:val="auto"/>
                <w:w w:val="95"/>
              </w:rPr>
              <w:t>add/(subtract): Interest expense, foreign exchange gain, net, loss from equity-method</w:t>
            </w:r>
          </w:p>
        </w:tc>
        <w:tc>
          <w:tcPr>
            <w:tcW w:w="3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(1,056)</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(2,635)</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2"/>
        </w:trPr>
        <w:tc>
          <w:tcPr>
            <w:tcW w:w="6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investment and other income, net</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40" w:type="dxa"/>
            <w:vAlign w:val="bottom"/>
          </w:tcPr>
          <w:p>
            <w:pPr>
              <w:ind w:left="20"/>
              <w:spacing w:after="0"/>
              <w:rPr>
                <w:sz w:val="20"/>
                <w:szCs w:val="20"/>
                <w:color w:val="auto"/>
              </w:rPr>
            </w:pPr>
            <w:r>
              <w:rPr>
                <w:rFonts w:ascii="Arial" w:cs="Arial" w:eastAsia="Arial" w:hAnsi="Arial"/>
                <w:sz w:val="16"/>
                <w:szCs w:val="16"/>
                <w:b w:val="1"/>
                <w:bCs w:val="1"/>
                <w:color w:val="auto"/>
              </w:rPr>
              <w:t>Income from operations (GAAP)</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ind w:right="131"/>
              <w:spacing w:after="0"/>
              <w:rPr>
                <w:sz w:val="20"/>
                <w:szCs w:val="20"/>
                <w:color w:val="auto"/>
              </w:rPr>
            </w:pPr>
            <w:r>
              <w:rPr>
                <w:rFonts w:ascii="Arial" w:cs="Arial" w:eastAsia="Arial" w:hAnsi="Arial"/>
                <w:sz w:val="18"/>
                <w:szCs w:val="18"/>
                <w:b w:val="1"/>
                <w:bCs w:val="1"/>
                <w:color w:val="auto"/>
              </w:rPr>
              <w:t>35,830</w:t>
            </w:r>
          </w:p>
        </w:tc>
        <w:tc>
          <w:tcPr>
            <w:tcW w:w="12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ind w:right="131"/>
              <w:spacing w:after="0"/>
              <w:rPr>
                <w:sz w:val="20"/>
                <w:szCs w:val="20"/>
                <w:color w:val="auto"/>
              </w:rPr>
            </w:pPr>
            <w:r>
              <w:rPr>
                <w:rFonts w:ascii="Arial" w:cs="Arial" w:eastAsia="Arial" w:hAnsi="Arial"/>
                <w:sz w:val="18"/>
                <w:szCs w:val="18"/>
                <w:b w:val="1"/>
                <w:bCs w:val="1"/>
                <w:color w:val="auto"/>
              </w:rPr>
              <w:t>9,866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Pr>
          <w:p>
            <w:pPr>
              <w:jc w:val="right"/>
              <w:ind w:right="131"/>
              <w:spacing w:after="0"/>
              <w:rPr>
                <w:sz w:val="20"/>
                <w:szCs w:val="20"/>
                <w:color w:val="auto"/>
              </w:rPr>
            </w:pPr>
            <w:r>
              <w:rPr>
                <w:rFonts w:ascii="Arial" w:cs="Arial" w:eastAsia="Arial" w:hAnsi="Arial"/>
                <w:sz w:val="18"/>
                <w:szCs w:val="18"/>
                <w:b w:val="1"/>
                <w:bCs w:val="1"/>
                <w:color w:val="auto"/>
              </w:rPr>
              <w:t>41,555</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 Stock-based compensation expense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10,070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7,726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7,832</w:t>
            </w:r>
          </w:p>
        </w:tc>
        <w:tc>
          <w:tcPr>
            <w:tcW w:w="0" w:type="dxa"/>
            <w:vAlign w:val="bottom"/>
          </w:tcPr>
          <w:p>
            <w:pPr>
              <w:spacing w:after="0"/>
              <w:rPr>
                <w:sz w:val="1"/>
                <w:szCs w:val="1"/>
                <w:color w:val="auto"/>
              </w:rPr>
            </w:pPr>
          </w:p>
        </w:tc>
      </w:tr>
      <w:tr>
        <w:trPr>
          <w:trHeight w:val="229"/>
        </w:trPr>
        <w:tc>
          <w:tcPr>
            <w:tcW w:w="61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add: Amortization of acquisition-related intangibles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3,397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3,430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3,361</w:t>
            </w:r>
          </w:p>
        </w:tc>
        <w:tc>
          <w:tcPr>
            <w:tcW w:w="0" w:type="dxa"/>
            <w:vAlign w:val="bottom"/>
          </w:tcPr>
          <w:p>
            <w:pPr>
              <w:spacing w:after="0"/>
              <w:rPr>
                <w:sz w:val="1"/>
                <w:szCs w:val="1"/>
                <w:color w:val="auto"/>
              </w:rPr>
            </w:pPr>
          </w:p>
        </w:tc>
      </w:tr>
      <w:tr>
        <w:trPr>
          <w:trHeight w:val="248"/>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operating income (Non-GAAP)</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49,297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21,022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52,748</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40" w:type="dxa"/>
            <w:vAlign w:val="bottom"/>
          </w:tcPr>
          <w:p>
            <w:pPr>
              <w:ind w:left="20"/>
              <w:spacing w:after="0"/>
              <w:rPr>
                <w:sz w:val="20"/>
                <w:szCs w:val="20"/>
                <w:color w:val="auto"/>
              </w:rPr>
            </w:pPr>
            <w:r>
              <w:rPr>
                <w:rFonts w:ascii="Arial" w:cs="Arial" w:eastAsia="Arial" w:hAnsi="Arial"/>
                <w:sz w:val="16"/>
                <w:szCs w:val="16"/>
                <w:i w:val="1"/>
                <w:iCs w:val="1"/>
                <w:color w:val="auto"/>
              </w:rPr>
              <w:t>Adjusted operating income margin as a % of Revenues (Non-GAAP)</w:t>
            </w:r>
          </w:p>
        </w:tc>
        <w:tc>
          <w:tcPr>
            <w:tcW w:w="30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i w:val="1"/>
                <w:iCs w:val="1"/>
                <w:color w:val="auto"/>
              </w:rPr>
              <w:t>17.9 %</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i w:val="1"/>
                <w:iCs w:val="1"/>
                <w:color w:val="auto"/>
              </w:rPr>
              <w:t>9.4 %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18"/>
                <w:szCs w:val="18"/>
                <w:i w:val="1"/>
                <w:iCs w:val="1"/>
                <w:color w:val="auto"/>
              </w:rPr>
              <w:t>20.2 %</w:t>
            </w: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8,913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8,975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8,740</w:t>
            </w:r>
          </w:p>
        </w:tc>
        <w:tc>
          <w:tcPr>
            <w:tcW w:w="0" w:type="dxa"/>
            <w:vAlign w:val="bottom"/>
          </w:tcPr>
          <w:p>
            <w:pPr>
              <w:spacing w:after="0"/>
              <w:rPr>
                <w:sz w:val="1"/>
                <w:szCs w:val="1"/>
                <w:color w:val="auto"/>
              </w:rPr>
            </w:pPr>
          </w:p>
        </w:tc>
      </w:tr>
      <w:tr>
        <w:trPr>
          <w:trHeight w:val="223"/>
        </w:trPr>
        <w:tc>
          <w:tcPr>
            <w:tcW w:w="6140" w:type="dxa"/>
            <w:vAlign w:val="bottom"/>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58,210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29,997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61,488</w:t>
            </w:r>
          </w:p>
        </w:tc>
        <w:tc>
          <w:tcPr>
            <w:tcW w:w="0" w:type="dxa"/>
            <w:vAlign w:val="bottom"/>
          </w:tcPr>
          <w:p>
            <w:pPr>
              <w:spacing w:after="0"/>
              <w:rPr>
                <w:sz w:val="1"/>
                <w:szCs w:val="1"/>
                <w:color w:val="auto"/>
              </w:rPr>
            </w:pP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Adjusted EBITDA margin as a % of revenue (Non-GAAP)</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21.2 %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13.5 %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23.5 %</w:t>
            </w:r>
          </w:p>
        </w:tc>
        <w:tc>
          <w:tcPr>
            <w:tcW w:w="0" w:type="dxa"/>
            <w:vAlign w:val="bottom"/>
          </w:tcPr>
          <w:p>
            <w:pPr>
              <w:spacing w:after="0"/>
              <w:rPr>
                <w:sz w:val="1"/>
                <w:szCs w:val="1"/>
                <w:color w:val="auto"/>
              </w:rPr>
            </w:pPr>
          </w:p>
        </w:tc>
      </w:tr>
    </w:tbl>
    <w:p>
      <w:pPr>
        <w:sectPr>
          <w:pgSz w:w="11900" w:h="16838" w:orient="portrait"/>
          <w:cols w:equalWidth="0" w:num="1">
            <w:col w:w="11240"/>
          </w:cols>
          <w:pgMar w:left="320" w:top="922"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Reconciliation of Adjusted Net Income and Adjusted Diluted Earnings Per Share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thousands, except per share data)</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13"/>
        </w:trPr>
        <w:tc>
          <w:tcPr>
            <w:tcW w:w="5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w w:val="96"/>
              </w:rPr>
              <w:t>Three months ended</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0"/>
        </w:trPr>
        <w:tc>
          <w:tcPr>
            <w:tcW w:w="59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6"/>
        </w:trPr>
        <w:tc>
          <w:tcPr>
            <w:tcW w:w="5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 (GAAP)</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28,021</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31,931</w:t>
            </w:r>
          </w:p>
        </w:tc>
        <w:tc>
          <w:tcPr>
            <w:tcW w:w="0" w:type="dxa"/>
            <w:vAlign w:val="bottom"/>
          </w:tcPr>
          <w:p>
            <w:pPr>
              <w:spacing w:after="0"/>
              <w:rPr>
                <w:sz w:val="1"/>
                <w:szCs w:val="1"/>
                <w:color w:val="auto"/>
              </w:rPr>
            </w:pPr>
          </w:p>
        </w:tc>
      </w:tr>
      <w:tr>
        <w:trPr>
          <w:trHeight w:val="230"/>
        </w:trPr>
        <w:tc>
          <w:tcPr>
            <w:tcW w:w="5940" w:type="dxa"/>
            <w:vAlign w:val="bottom"/>
          </w:tcPr>
          <w:p>
            <w:pPr>
              <w:ind w:left="320"/>
              <w:spacing w:after="0"/>
              <w:rPr>
                <w:sz w:val="20"/>
                <w:szCs w:val="20"/>
                <w:color w:val="auto"/>
              </w:rPr>
            </w:pPr>
            <w:r>
              <w:rPr>
                <w:rFonts w:ascii="Arial" w:cs="Arial" w:eastAsia="Arial" w:hAnsi="Arial"/>
                <w:sz w:val="16"/>
                <w:szCs w:val="16"/>
                <w:color w:val="auto"/>
              </w:rPr>
              <w:t>add: Stock-based compensation expense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7,832</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add: Amortization of acquisition-related intangibles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w:t>
            </w:r>
          </w:p>
        </w:tc>
        <w:tc>
          <w:tcPr>
            <w:tcW w:w="0" w:type="dxa"/>
            <w:vAlign w:val="bottom"/>
          </w:tcPr>
          <w:p>
            <w:pPr>
              <w:spacing w:after="0"/>
              <w:rPr>
                <w:sz w:val="1"/>
                <w:szCs w:val="1"/>
                <w:color w:val="auto"/>
              </w:rPr>
            </w:pPr>
          </w:p>
        </w:tc>
      </w:tr>
      <w:tr>
        <w:trPr>
          <w:trHeight w:val="230"/>
        </w:trPr>
        <w:tc>
          <w:tcPr>
            <w:tcW w:w="5940" w:type="dxa"/>
            <w:vAlign w:val="bottom"/>
          </w:tcPr>
          <w:p>
            <w:pPr>
              <w:ind w:left="320"/>
              <w:spacing w:after="0"/>
              <w:rPr>
                <w:sz w:val="20"/>
                <w:szCs w:val="20"/>
                <w:color w:val="auto"/>
              </w:rPr>
            </w:pPr>
            <w:r>
              <w:rPr>
                <w:rFonts w:ascii="Arial" w:cs="Arial" w:eastAsia="Arial" w:hAnsi="Arial"/>
                <w:sz w:val="16"/>
                <w:szCs w:val="16"/>
                <w:color w:val="auto"/>
              </w:rPr>
              <w:t>add: Non-cash interest expense related to convertible senior notes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add: Non-recurring tax expense (a)</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40" w:type="dxa"/>
            <w:vAlign w:val="bottom"/>
          </w:tcPr>
          <w:p>
            <w:pPr>
              <w:ind w:left="320"/>
              <w:spacing w:after="0"/>
              <w:rPr>
                <w:sz w:val="20"/>
                <w:szCs w:val="20"/>
                <w:color w:val="auto"/>
              </w:rPr>
            </w:pPr>
            <w:r>
              <w:rPr>
                <w:rFonts w:ascii="Arial" w:cs="Arial" w:eastAsia="Arial" w:hAnsi="Arial"/>
                <w:sz w:val="16"/>
                <w:szCs w:val="16"/>
                <w:color w:val="auto"/>
              </w:rPr>
              <w:t>subtract: Other non-recurring benefits (b)</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subtract: Tax impact on stock-based compensation expense (c)</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r>
        <w:trPr>
          <w:trHeight w:val="229"/>
        </w:trPr>
        <w:tc>
          <w:tcPr>
            <w:tcW w:w="5940" w:type="dxa"/>
            <w:vAlign w:val="bottom"/>
          </w:tcPr>
          <w:p>
            <w:pPr>
              <w:ind w:left="320"/>
              <w:spacing w:after="0"/>
              <w:rPr>
                <w:sz w:val="20"/>
                <w:szCs w:val="20"/>
                <w:color w:val="auto"/>
              </w:rPr>
            </w:pPr>
            <w:r>
              <w:rPr>
                <w:rFonts w:ascii="Arial" w:cs="Arial" w:eastAsia="Arial" w:hAnsi="Arial"/>
                <w:sz w:val="16"/>
                <w:szCs w:val="16"/>
                <w:color w:val="auto"/>
              </w:rPr>
              <w:t>subtract: Tax impact on amortization of acquisition-related intangibles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2"/>
              </w:rPr>
              <w:t>subtract: Tax impact on non-cash interest expense related to convertible senior notes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add: Tax impact on other non-recurring benefits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Adjusted net income (Non-GAAP)</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39,174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40,519</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Adjusted diluted earnings per share (Non-GAAP)</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940" w:type="dxa"/>
            <w:vAlign w:val="bottom"/>
            <w:vMerge w:val="continue"/>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1.14</w:t>
            </w:r>
          </w:p>
        </w:tc>
        <w:tc>
          <w:tcPr>
            <w:tcW w:w="1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0.53</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ind w:left="480" w:hanging="229"/>
        <w:spacing w:after="0"/>
        <w:tabs>
          <w:tab w:leader="none" w:pos="48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non-recurring tax expense related to certain deferred tax assets and liabilities.</w:t>
      </w:r>
    </w:p>
    <w:p>
      <w:pPr>
        <w:spacing w:after="0" w:line="59" w:lineRule="exact"/>
        <w:rPr>
          <w:rFonts w:ascii="Arial" w:cs="Arial" w:eastAsia="Arial" w:hAnsi="Arial"/>
          <w:sz w:val="16"/>
          <w:szCs w:val="16"/>
          <w:i w:val="1"/>
          <w:iCs w:val="1"/>
          <w:color w:val="auto"/>
        </w:rPr>
      </w:pPr>
    </w:p>
    <w:p>
      <w:pPr>
        <w:ind w:left="480" w:hanging="229"/>
        <w:spacing w:after="0"/>
        <w:tabs>
          <w:tab w:leader="none" w:pos="48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non-recurring benefits related to wind down of the Health Integrated business.</w:t>
      </w:r>
    </w:p>
    <w:p>
      <w:pPr>
        <w:spacing w:after="0" w:line="113" w:lineRule="exact"/>
        <w:rPr>
          <w:rFonts w:ascii="Arial" w:cs="Arial" w:eastAsia="Arial" w:hAnsi="Arial"/>
          <w:sz w:val="16"/>
          <w:szCs w:val="16"/>
          <w:i w:val="1"/>
          <w:iCs w:val="1"/>
          <w:color w:val="auto"/>
        </w:rPr>
      </w:pPr>
    </w:p>
    <w:p>
      <w:pPr>
        <w:ind w:left="500" w:hanging="249"/>
        <w:spacing w:after="0" w:line="275" w:lineRule="auto"/>
        <w:tabs>
          <w:tab w:leader="none" w:pos="492"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Tax impact includes $97 and $23 during the three months ended June 30, 2021 and 2020 respectively, and $931 during the three months ended March 31, 2021, related to discrete benefits recognized in income tax expense on adoption of ASU No. 2016-09, Compensation - Stock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Contact: Steven N. Barlow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ind w:right="9880" w:firstLine="8"/>
        <w:spacing w:after="0" w:line="323" w:lineRule="auto"/>
        <w:tabs>
          <w:tab w:leader="none" w:pos="435"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596-7684 </w:t>
      </w:r>
      <w:r>
        <w:rPr>
          <w:rFonts w:ascii="Arial" w:cs="Arial" w:eastAsia="Arial" w:hAnsi="Arial"/>
          <w:sz w:val="16"/>
          <w:szCs w:val="16"/>
          <w:u w:val="single" w:color="auto"/>
          <w:color w:val="0000FF"/>
        </w:rPr>
        <w:t>ir@exlservice.com</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lowerRoman"/>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decimal"/>
      <w:start w:val="9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2021-07-29T05:49:20Z</dcterms:created>
  <dcterms:modified xsi:type="dcterms:W3CDTF">2021-07-29T05:49:20Z</dcterms:modified>
</cp:coreProperties>
</file>