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7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716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jc w:val="center"/>
              <w:ind w:right="153"/>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01/30/2017</w:t>
            </w:r>
          </w:p>
        </w:tc>
        <w:tc>
          <w:tcPr>
            <w:tcW w:w="1140" w:type="dxa"/>
            <w:vAlign w:val="bottom"/>
          </w:tcPr>
          <w:p>
            <w:pPr>
              <w:spacing w:after="0"/>
              <w:rPr>
                <w:sz w:val="22"/>
                <w:szCs w:val="22"/>
                <w:color w:val="auto"/>
              </w:rPr>
            </w:pPr>
          </w:p>
        </w:tc>
        <w:tc>
          <w:tcPr>
            <w:tcW w:w="820" w:type="dxa"/>
            <w:vAlign w:val="bottom"/>
            <w:vMerge w:val="restart"/>
          </w:tcPr>
          <w:p>
            <w:pPr>
              <w:jc w:val="center"/>
              <w:ind w:right="297"/>
              <w:spacing w:after="0"/>
              <w:rPr>
                <w:sz w:val="20"/>
                <w:szCs w:val="20"/>
                <w:color w:val="auto"/>
              </w:rPr>
            </w:pPr>
            <w:r>
              <w:rPr>
                <w:rFonts w:ascii="Arial" w:cs="Arial" w:eastAsia="Arial" w:hAnsi="Arial"/>
                <w:sz w:val="14"/>
                <w:szCs w:val="14"/>
                <w:color w:val="0000FF"/>
              </w:rPr>
              <w:t>A</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56,379</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780" w:type="dxa"/>
            <w:vAlign w:val="bottom"/>
            <w:vMerge w:val="restart"/>
          </w:tcPr>
          <w:p>
            <w:pPr>
              <w:jc w:val="right"/>
              <w:ind w:right="249"/>
              <w:spacing w:after="0"/>
              <w:rPr>
                <w:sz w:val="20"/>
                <w:szCs w:val="20"/>
                <w:color w:val="auto"/>
              </w:rPr>
            </w:pPr>
            <w:r>
              <w:rPr>
                <w:rFonts w:ascii="Arial" w:cs="Arial" w:eastAsia="Arial" w:hAnsi="Arial"/>
                <w:sz w:val="11"/>
                <w:szCs w:val="11"/>
                <w:color w:val="008000"/>
              </w:rPr>
              <w:t>(1)</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352,064</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01/30/2017</w:t>
            </w:r>
          </w:p>
        </w:tc>
        <w:tc>
          <w:tcPr>
            <w:tcW w:w="1140" w:type="dxa"/>
            <w:vAlign w:val="bottom"/>
          </w:tcPr>
          <w:p>
            <w:pPr>
              <w:spacing w:after="0"/>
              <w:rPr>
                <w:sz w:val="22"/>
                <w:szCs w:val="22"/>
                <w:color w:val="auto"/>
              </w:rPr>
            </w:pPr>
          </w:p>
        </w:tc>
        <w:tc>
          <w:tcPr>
            <w:tcW w:w="820" w:type="dxa"/>
            <w:vAlign w:val="bottom"/>
            <w:vMerge w:val="restart"/>
          </w:tcPr>
          <w:p>
            <w:pPr>
              <w:jc w:val="center"/>
              <w:ind w:right="277"/>
              <w:spacing w:after="0"/>
              <w:rPr>
                <w:sz w:val="20"/>
                <w:szCs w:val="20"/>
                <w:color w:val="auto"/>
              </w:rPr>
            </w:pPr>
            <w:r>
              <w:rPr>
                <w:rFonts w:ascii="Arial" w:cs="Arial" w:eastAsia="Arial" w:hAnsi="Arial"/>
                <w:sz w:val="14"/>
                <w:szCs w:val="14"/>
                <w:color w:val="0000FF"/>
                <w:w w:val="92"/>
              </w:rPr>
              <w:t>F</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26,008</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46.45</w:t>
            </w:r>
            <w:r>
              <w:rPr>
                <w:rFonts w:ascii="Arial" w:cs="Arial" w:eastAsia="Arial" w:hAnsi="Arial"/>
                <w:sz w:val="22"/>
                <w:szCs w:val="22"/>
                <w:color w:val="008000"/>
                <w:w w:val="93"/>
                <w:vertAlign w:val="superscript"/>
              </w:rPr>
              <w:t>(3)</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326,056</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13, 2014 and voluntarily reported in a Form 4 filed on February 18, 2014.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40" w:right="1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reported in this report were deemed earned on January 30, 2017 based on the Compensation Committee of the Board of Directors administering the award certifying the achievement of performance targets applicable to the PRSUs for the performance period ending on December 31, 2016. Pursuant to the agreement governing the grant of the PRSUs and pursuant to the Company's 2006 Omnibus Award Plan, pursuant to which such PRSUs were granted, the closing price of the Common Stock on the Nasdaq Global Select Market on the preceding day, January 27, 2017 in this case, is used for purposes of computing tax reporting and withholding.</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p>
      <w:pPr>
        <w:spacing w:after="0" w:line="5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2019-12-04T00:59:23Z</dcterms:created>
  <dcterms:modified xsi:type="dcterms:W3CDTF">2019-12-04T00:59:23Z</dcterms:modified>
</cp:coreProperties>
</file>