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ind w:left="3140"/>
        <w:spacing w:after="0" w:line="217" w:lineRule="auto"/>
        <w:rPr>
          <w:sz w:val="20"/>
          <w:szCs w:val="20"/>
          <w:color w:val="auto"/>
        </w:rPr>
      </w:pPr>
      <w:r>
        <w:rPr>
          <w:rFonts w:ascii="Arial" w:cs="Arial" w:eastAsia="Arial" w:hAnsi="Arial"/>
          <w:sz w:val="18"/>
          <w:szCs w:val="18"/>
          <w:b w:val="1"/>
          <w:bCs w:val="1"/>
          <w:color w:val="auto"/>
        </w:rPr>
        <w:t>_________________________________________________________</w:t>
      </w:r>
    </w:p>
    <w:p>
      <w:pPr>
        <w:jc w:val="center"/>
        <w:ind w:right="-39"/>
        <w:spacing w:after="0" w:line="234" w:lineRule="auto"/>
        <w:rPr>
          <w:sz w:val="20"/>
          <w:szCs w:val="20"/>
          <w:color w:val="auto"/>
        </w:rPr>
      </w:pPr>
      <w:r>
        <w:rPr>
          <w:rFonts w:ascii="Arial" w:cs="Arial" w:eastAsia="Arial" w:hAnsi="Arial"/>
          <w:sz w:val="29"/>
          <w:szCs w:val="29"/>
          <w:b w:val="1"/>
          <w:bCs w:val="1"/>
          <w:color w:val="auto"/>
        </w:rPr>
        <w:t>FORM 10-K</w:t>
      </w: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rPr>
          <w:sz w:val="20"/>
          <w:szCs w:val="20"/>
          <w:color w:val="auto"/>
        </w:rPr>
      </w:pPr>
      <w:r>
        <w:rPr>
          <w:rFonts w:ascii="Arial" w:cs="Arial" w:eastAsia="Arial" w:hAnsi="Arial"/>
          <w:sz w:val="16"/>
          <w:szCs w:val="16"/>
          <w:b w:val="1"/>
          <w:bCs w:val="1"/>
          <w:color w:val="auto"/>
        </w:rPr>
        <w:t>(Mark One)</w:t>
      </w:r>
    </w:p>
    <w:p>
      <w:pPr>
        <w:spacing w:after="0" w:line="158"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39"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2"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001-33089</w:t>
      </w:r>
    </w:p>
    <w:p>
      <w:pPr>
        <w:spacing w:after="0" w:line="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jc w:val="center"/>
        <w:ind w:right="-39"/>
        <w:spacing w:after="0" w:line="232" w:lineRule="auto"/>
        <w:rPr>
          <w:sz w:val="20"/>
          <w:szCs w:val="20"/>
          <w:color w:val="auto"/>
        </w:rPr>
      </w:pPr>
      <w:r>
        <w:rPr>
          <w:rFonts w:ascii="Arial" w:cs="Arial" w:eastAsia="Arial" w:hAnsi="Arial"/>
          <w:sz w:val="16"/>
          <w:szCs w:val="16"/>
          <w:b w:val="1"/>
          <w:bCs w:val="1"/>
          <w:color w:val="auto"/>
        </w:rPr>
        <w:t>(Exact name of registrant as specified in its charter)</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__________________________________________________________</w:t>
      </w:r>
    </w:p>
    <w:p>
      <w:pPr>
        <w:spacing w:after="0" w:line="129" w:lineRule="exact"/>
        <w:rPr>
          <w:sz w:val="24"/>
          <w:szCs w:val="24"/>
          <w:color w:val="auto"/>
        </w:rPr>
      </w:pPr>
    </w:p>
    <w:tbl>
      <w:tblPr>
        <w:tblLayout w:type="fixed"/>
        <w:tblInd w:w="2080" w:type="dxa"/>
        <w:tblCellMar>
          <w:top w:w="0" w:type="dxa"/>
          <w:left w:w="0" w:type="dxa"/>
          <w:bottom w:w="0" w:type="dxa"/>
          <w:right w:w="0" w:type="dxa"/>
        </w:tblCellMar>
      </w:tblPr>
      <w:tr>
        <w:trPr>
          <w:trHeight w:val="210"/>
        </w:trPr>
        <w:tc>
          <w:tcPr>
            <w:tcW w:w="3860" w:type="dxa"/>
            <w:vAlign w:val="bottom"/>
          </w:tcPr>
          <w:p>
            <w:pPr>
              <w:jc w:val="center"/>
              <w:ind w:right="1423"/>
              <w:spacing w:after="0"/>
              <w:rPr>
                <w:sz w:val="20"/>
                <w:szCs w:val="20"/>
                <w:color w:val="auto"/>
              </w:rPr>
            </w:pPr>
            <w:r>
              <w:rPr>
                <w:rFonts w:ascii="Arial" w:cs="Arial" w:eastAsia="Arial" w:hAnsi="Arial"/>
                <w:sz w:val="16"/>
                <w:szCs w:val="16"/>
                <w:b w:val="1"/>
                <w:bCs w:val="1"/>
                <w:color w:val="auto"/>
                <w:w w:val="91"/>
              </w:rPr>
              <w:t>Delaware</w:t>
            </w:r>
          </w:p>
        </w:tc>
        <w:tc>
          <w:tcPr>
            <w:tcW w:w="262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3860" w:type="dxa"/>
            <w:vAlign w:val="bottom"/>
          </w:tcPr>
          <w:p>
            <w:pPr>
              <w:jc w:val="center"/>
              <w:ind w:right="1423"/>
              <w:spacing w:after="0"/>
              <w:rPr>
                <w:sz w:val="20"/>
                <w:szCs w:val="20"/>
                <w:color w:val="auto"/>
              </w:rPr>
            </w:pPr>
            <w:r>
              <w:rPr>
                <w:rFonts w:ascii="Arial" w:cs="Arial" w:eastAsia="Arial" w:hAnsi="Arial"/>
                <w:sz w:val="14"/>
                <w:szCs w:val="14"/>
                <w:b w:val="1"/>
                <w:bCs w:val="1"/>
                <w:color w:val="auto"/>
                <w:w w:val="93"/>
              </w:rPr>
              <w:t>(State or other jurisdiction of</w:t>
            </w:r>
          </w:p>
        </w:tc>
        <w:tc>
          <w:tcPr>
            <w:tcW w:w="2620" w:type="dxa"/>
            <w:vAlign w:val="bottom"/>
          </w:tcPr>
          <w:p>
            <w:pPr>
              <w:jc w:val="center"/>
              <w:ind w:left="142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tcPr>
          <w:p>
            <w:pPr>
              <w:jc w:val="center"/>
              <w:ind w:right="1423"/>
              <w:spacing w:after="0"/>
              <w:rPr>
                <w:sz w:val="20"/>
                <w:szCs w:val="20"/>
                <w:color w:val="auto"/>
              </w:rPr>
            </w:pPr>
            <w:r>
              <w:rPr>
                <w:rFonts w:ascii="Arial" w:cs="Arial" w:eastAsia="Arial" w:hAnsi="Arial"/>
                <w:sz w:val="14"/>
                <w:szCs w:val="14"/>
                <w:b w:val="1"/>
                <w:bCs w:val="1"/>
                <w:color w:val="auto"/>
                <w:w w:val="94"/>
              </w:rPr>
              <w:t>incorporation or organization)</w:t>
            </w:r>
          </w:p>
        </w:tc>
        <w:tc>
          <w:tcPr>
            <w:tcW w:w="2620" w:type="dxa"/>
            <w:vAlign w:val="bottom"/>
          </w:tcPr>
          <w:p>
            <w:pPr>
              <w:jc w:val="center"/>
              <w:ind w:left="1424"/>
              <w:spacing w:after="0"/>
              <w:rPr>
                <w:sz w:val="20"/>
                <w:szCs w:val="20"/>
                <w:color w:val="auto"/>
              </w:rPr>
            </w:pPr>
            <w:r>
              <w:rPr>
                <w:rFonts w:ascii="Arial" w:cs="Arial" w:eastAsia="Arial" w:hAnsi="Arial"/>
                <w:sz w:val="14"/>
                <w:szCs w:val="14"/>
                <w:b w:val="1"/>
                <w:bCs w:val="1"/>
                <w:color w:val="auto"/>
                <w:w w:val="94"/>
              </w:rPr>
              <w:t>Identification No.)</w:t>
            </w:r>
          </w:p>
        </w:tc>
      </w:tr>
      <w:tr>
        <w:trPr>
          <w:trHeight w:val="371"/>
        </w:trPr>
        <w:tc>
          <w:tcPr>
            <w:tcW w:w="3860" w:type="dxa"/>
            <w:vAlign w:val="bottom"/>
          </w:tcPr>
          <w:p>
            <w:pPr>
              <w:ind w:left="200"/>
              <w:spacing w:after="0"/>
              <w:rPr>
                <w:sz w:val="20"/>
                <w:szCs w:val="20"/>
                <w:color w:val="auto"/>
              </w:rPr>
            </w:pPr>
            <w:r>
              <w:rPr>
                <w:rFonts w:ascii="Arial" w:cs="Arial" w:eastAsia="Arial" w:hAnsi="Arial"/>
                <w:sz w:val="16"/>
                <w:szCs w:val="16"/>
                <w:b w:val="1"/>
                <w:bCs w:val="1"/>
                <w:color w:val="auto"/>
              </w:rPr>
              <w:t>320 Park Avenue, 29th Floor,</w:t>
            </w:r>
          </w:p>
        </w:tc>
        <w:tc>
          <w:tcPr>
            <w:tcW w:w="2620" w:type="dxa"/>
            <w:vAlign w:val="bottom"/>
          </w:tcPr>
          <w:p>
            <w:pPr>
              <w:spacing w:after="0"/>
              <w:rPr>
                <w:sz w:val="24"/>
                <w:szCs w:val="24"/>
                <w:color w:val="auto"/>
              </w:rPr>
            </w:pPr>
          </w:p>
        </w:tc>
      </w:tr>
      <w:tr>
        <w:trPr>
          <w:trHeight w:val="257"/>
        </w:trPr>
        <w:tc>
          <w:tcPr>
            <w:tcW w:w="3860" w:type="dxa"/>
            <w:vAlign w:val="bottom"/>
          </w:tcPr>
          <w:p>
            <w:pPr>
              <w:ind w:left="680"/>
              <w:spacing w:after="0"/>
              <w:rPr>
                <w:sz w:val="20"/>
                <w:szCs w:val="20"/>
                <w:color w:val="auto"/>
              </w:rPr>
            </w:pPr>
            <w:r>
              <w:rPr>
                <w:rFonts w:ascii="Arial" w:cs="Arial" w:eastAsia="Arial" w:hAnsi="Arial"/>
                <w:sz w:val="16"/>
                <w:szCs w:val="16"/>
                <w:b w:val="1"/>
                <w:bCs w:val="1"/>
                <w:color w:val="auto"/>
              </w:rPr>
              <w:t>New York, New York</w:t>
            </w:r>
          </w:p>
        </w:tc>
        <w:tc>
          <w:tcPr>
            <w:tcW w:w="2620" w:type="dxa"/>
            <w:vAlign w:val="bottom"/>
          </w:tcPr>
          <w:p>
            <w:pPr>
              <w:jc w:val="right"/>
              <w:ind w:right="284"/>
              <w:spacing w:after="0"/>
              <w:rPr>
                <w:sz w:val="20"/>
                <w:szCs w:val="20"/>
                <w:color w:val="auto"/>
              </w:rPr>
            </w:pPr>
            <w:r>
              <w:rPr>
                <w:rFonts w:ascii="Arial" w:cs="Arial" w:eastAsia="Arial" w:hAnsi="Arial"/>
                <w:sz w:val="16"/>
                <w:szCs w:val="16"/>
                <w:b w:val="1"/>
                <w:bCs w:val="1"/>
                <w:color w:val="auto"/>
              </w:rPr>
              <w:t>10022</w:t>
            </w:r>
          </w:p>
        </w:tc>
      </w:tr>
      <w:tr>
        <w:trPr>
          <w:trHeight w:val="237"/>
        </w:trPr>
        <w:tc>
          <w:tcPr>
            <w:tcW w:w="3860" w:type="dxa"/>
            <w:vAlign w:val="bottom"/>
          </w:tcPr>
          <w:p>
            <w:pPr>
              <w:jc w:val="center"/>
              <w:ind w:right="140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20" w:type="dxa"/>
            <w:vAlign w:val="bottom"/>
          </w:tcPr>
          <w:p>
            <w:pPr>
              <w:jc w:val="center"/>
              <w:ind w:left="1424"/>
              <w:spacing w:after="0"/>
              <w:rPr>
                <w:sz w:val="20"/>
                <w:szCs w:val="20"/>
                <w:color w:val="auto"/>
              </w:rPr>
            </w:pPr>
            <w:r>
              <w:rPr>
                <w:rFonts w:ascii="Arial" w:cs="Arial" w:eastAsia="Arial" w:hAnsi="Arial"/>
                <w:sz w:val="14"/>
                <w:szCs w:val="14"/>
                <w:b w:val="1"/>
                <w:bCs w:val="1"/>
                <w:color w:val="auto"/>
                <w:w w:val="95"/>
              </w:rPr>
              <w:t>(Zip code)</w:t>
            </w:r>
          </w:p>
        </w:tc>
      </w:tr>
    </w:tbl>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(212) 277-7100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100965</wp:posOffset>
            </wp:positionV>
            <wp:extent cx="6843395" cy="797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3395" cy="797560"/>
                    </a:xfrm>
                    <a:prstGeom prst="rect">
                      <a:avLst/>
                    </a:prstGeom>
                    <a:noFill/>
                  </pic:spPr>
                </pic:pic>
              </a:graphicData>
            </a:graphic>
          </wp:anchor>
        </w:drawing>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56" w:lineRule="exact"/>
        <w:rPr>
          <w:sz w:val="24"/>
          <w:szCs w:val="24"/>
          <w:color w:val="auto"/>
        </w:rPr>
      </w:pPr>
    </w:p>
    <w:tbl>
      <w:tblPr>
        <w:tblLayout w:type="fixed"/>
        <w:tblInd w:w="340" w:type="dxa"/>
        <w:tblCellMar>
          <w:top w:w="0" w:type="dxa"/>
          <w:left w:w="0" w:type="dxa"/>
          <w:bottom w:w="0" w:type="dxa"/>
          <w:right w:w="0" w:type="dxa"/>
        </w:tblCellMar>
      </w:tblPr>
      <w:tr>
        <w:trPr>
          <w:trHeight w:val="203"/>
        </w:trPr>
        <w:tc>
          <w:tcPr>
            <w:tcW w:w="140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right w:val="single" w:sz="8" w:color="auto"/>
            </w:tcBorders>
            <w:gridSpan w:val="2"/>
          </w:tcPr>
          <w:p>
            <w:pPr>
              <w:jc w:val="center"/>
              <w:ind w:right="1400"/>
              <w:spacing w:after="0"/>
              <w:rPr>
                <w:sz w:val="20"/>
                <w:szCs w:val="20"/>
                <w:color w:val="auto"/>
              </w:rPr>
            </w:pPr>
            <w:r>
              <w:rPr>
                <w:rFonts w:ascii="Arial" w:cs="Arial" w:eastAsia="Arial" w:hAnsi="Arial"/>
                <w:sz w:val="14"/>
                <w:szCs w:val="14"/>
                <w:b w:val="1"/>
                <w:bCs w:val="1"/>
                <w:color w:val="auto"/>
                <w:w w:val="92"/>
              </w:rPr>
              <w:t>Title of Each Class:</w:t>
            </w:r>
          </w:p>
        </w:tc>
        <w:tc>
          <w:tcPr>
            <w:tcW w:w="7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symbol(s)</w:t>
            </w:r>
          </w:p>
        </w:tc>
        <w:tc>
          <w:tcPr>
            <w:tcW w:w="780" w:type="dxa"/>
            <w:vAlign w:val="bottom"/>
            <w:tcBorders>
              <w:top w:val="single" w:sz="8" w:color="auto"/>
              <w:bottom w:val="single" w:sz="8" w:color="auto"/>
              <w:right w:val="single" w:sz="8" w:color="auto"/>
            </w:tcBorders>
          </w:tcPr>
          <w:p>
            <w:pPr>
              <w:spacing w:after="0"/>
              <w:rPr>
                <w:sz w:val="17"/>
                <w:szCs w:val="17"/>
                <w:color w:val="auto"/>
              </w:rPr>
            </w:pPr>
          </w:p>
        </w:tc>
        <w:tc>
          <w:tcPr>
            <w:tcW w:w="3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4"/>
        </w:trPr>
        <w:tc>
          <w:tcPr>
            <w:tcW w:w="1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244"/>
        </w:trPr>
        <w:tc>
          <w:tcPr>
            <w:tcW w:w="40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1"/>
              </w:rPr>
              <w:t>Common Stock, par value $0.001 per share</w:t>
            </w:r>
          </w:p>
        </w:tc>
        <w:tc>
          <w:tcPr>
            <w:tcW w:w="76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rPr>
              <w:t>EXLS</w:t>
            </w:r>
          </w:p>
        </w:tc>
        <w:tc>
          <w:tcPr>
            <w:tcW w:w="5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6"/>
                <w:szCs w:val="16"/>
                <w:color w:val="auto"/>
              </w:rPr>
              <w:t>NASDAQ</w:t>
            </w:r>
          </w:p>
        </w:tc>
      </w:tr>
    </w:tbl>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_______________________________</w:t>
      </w:r>
    </w:p>
    <w:p>
      <w:pPr>
        <w:ind w:left="340" w:right="2660"/>
        <w:spacing w:after="0" w:line="21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60" w:firstLine="324"/>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firstLine="324"/>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520"/>
        <w:spacing w:after="0" w:line="33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40"/>
        </w:trPr>
        <w:tc>
          <w:tcPr>
            <w:tcW w:w="22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80"/>
              <w:spacing w:after="0"/>
              <w:rPr>
                <w:sz w:val="20"/>
                <w:szCs w:val="20"/>
                <w:color w:val="auto"/>
              </w:rPr>
            </w:pPr>
            <w:r>
              <w:rPr>
                <w:rFonts w:ascii="Arial" w:cs="Arial" w:eastAsia="Arial" w:hAnsi="Arial"/>
                <w:sz w:val="15"/>
                <w:szCs w:val="15"/>
                <w:color w:val="auto"/>
              </w:rPr>
              <w:t>Accelerated filer</w:t>
            </w:r>
          </w:p>
        </w:tc>
        <w:tc>
          <w:tcPr>
            <w:tcW w:w="620" w:type="dxa"/>
            <w:vAlign w:val="bottom"/>
          </w:tcPr>
          <w:p>
            <w:pPr>
              <w:ind w:left="4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92"/>
        </w:trPr>
        <w:tc>
          <w:tcPr>
            <w:tcW w:w="226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580"/>
              <w:spacing w:after="0"/>
              <w:rPr>
                <w:sz w:val="20"/>
                <w:szCs w:val="20"/>
                <w:color w:val="auto"/>
              </w:rPr>
            </w:pPr>
            <w:r>
              <w:rPr>
                <w:rFonts w:ascii="Arial" w:cs="Arial" w:eastAsia="Arial" w:hAnsi="Arial"/>
                <w:sz w:val="15"/>
                <w:szCs w:val="15"/>
                <w:color w:val="auto"/>
              </w:rPr>
              <w:t>Smaller reporting company</w:t>
            </w:r>
          </w:p>
        </w:tc>
        <w:tc>
          <w:tcPr>
            <w:tcW w:w="620" w:type="dxa"/>
            <w:vAlign w:val="bottom"/>
          </w:tcPr>
          <w:p>
            <w:pPr>
              <w:ind w:left="4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92"/>
        </w:trPr>
        <w:tc>
          <w:tcPr>
            <w:tcW w:w="22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62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0" w:lineRule="exact"/>
        <w:rPr>
          <w:sz w:val="24"/>
          <w:szCs w:val="24"/>
          <w:color w:val="auto"/>
        </w:rPr>
      </w:pPr>
    </w:p>
    <w:p>
      <w:pPr>
        <w:jc w:val="both"/>
        <w:ind w:right="420" w:firstLine="324"/>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40" w:right="296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30, 2019, the aggregate market value of common stock held by non-affiliates was approximately $2,189,025,465.</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February 25, 2020, there were 34,364,691 shares of the registrant’s common stock outstanding, par value $0.001 per share.</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 w:lineRule="exact"/>
        <w:rPr>
          <w:sz w:val="24"/>
          <w:szCs w:val="24"/>
          <w:color w:val="auto"/>
        </w:rPr>
      </w:pPr>
    </w:p>
    <w:p>
      <w:pPr>
        <w:ind w:right="180"/>
        <w:spacing w:after="0" w:line="258" w:lineRule="auto"/>
        <w:rPr>
          <w:sz w:val="20"/>
          <w:szCs w:val="20"/>
          <w:color w:val="auto"/>
        </w:rPr>
      </w:pPr>
      <w:r>
        <w:rPr>
          <w:rFonts w:ascii="Arial" w:cs="Arial" w:eastAsia="Arial" w:hAnsi="Arial"/>
          <w:sz w:val="15"/>
          <w:szCs w:val="15"/>
          <w:color w:val="auto"/>
        </w:rPr>
        <w:t>Part III incorporates information from certain portions of the registrant’s definitive proxy statement to be filed with the Securities and Exchange Commission within 120 days after the fiscal year end of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40" w:type="dxa"/>
            <w:vAlign w:val="bottom"/>
            <w:gridSpan w:val="11"/>
          </w:tcPr>
          <w:p>
            <w:pPr>
              <w:ind w:left="2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723"/>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189"/>
        </w:trPr>
        <w:tc>
          <w:tcPr>
            <w:tcW w:w="640" w:type="dxa"/>
            <w:vAlign w:val="bottom"/>
            <w:tcBorders>
              <w:bottom w:val="single" w:sz="8" w:color="0000EE"/>
            </w:tcBorders>
          </w:tcPr>
          <w:p>
            <w:pPr>
              <w:spacing w:after="0" w:line="189" w:lineRule="exact"/>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1440" w:type="dxa"/>
            <w:vAlign w:val="bottom"/>
            <w:gridSpan w:val="6"/>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980" w:type="dxa"/>
            <w:vAlign w:val="bottom"/>
            <w:gridSpan w:val="19"/>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7720" w:type="dxa"/>
            <w:vAlign w:val="bottom"/>
            <w:gridSpan w:val="17"/>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11</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1B.</w:t>
            </w:r>
          </w:p>
        </w:tc>
        <w:tc>
          <w:tcPr>
            <w:tcW w:w="86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580" w:type="dxa"/>
            <w:vAlign w:val="bottom"/>
            <w:gridSpan w:val="12"/>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3.</w:t>
            </w:r>
          </w:p>
        </w:tc>
        <w:tc>
          <w:tcPr>
            <w:tcW w:w="86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4.</w:t>
            </w:r>
          </w:p>
        </w:tc>
        <w:tc>
          <w:tcPr>
            <w:tcW w:w="86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250"/>
        </w:trPr>
        <w:tc>
          <w:tcPr>
            <w:tcW w:w="2080" w:type="dxa"/>
            <w:vAlign w:val="bottom"/>
            <w:gridSpan w:val="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6.</w:t>
            </w:r>
          </w:p>
        </w:tc>
        <w:tc>
          <w:tcPr>
            <w:tcW w:w="86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6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160" w:type="dxa"/>
            <w:vAlign w:val="bottom"/>
            <w:gridSpan w:val="3"/>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4260" w:type="dxa"/>
            <w:vAlign w:val="bottom"/>
            <w:gridSpan w:val="6"/>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8.</w:t>
            </w:r>
          </w:p>
        </w:tc>
        <w:tc>
          <w:tcPr>
            <w:tcW w:w="862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9.</w:t>
            </w:r>
          </w:p>
        </w:tc>
        <w:tc>
          <w:tcPr>
            <w:tcW w:w="862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Changes in and Disagreement with Accountants on Accounting and Financial Disclosure</w:t>
              </w:r>
            </w:hyperlink>
          </w:p>
        </w:tc>
        <w:tc>
          <w:tcPr>
            <w:tcW w:w="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9A.</w:t>
            </w:r>
          </w:p>
        </w:tc>
        <w:tc>
          <w:tcPr>
            <w:tcW w:w="6400" w:type="dxa"/>
            <w:vAlign w:val="bottom"/>
            <w:tcBorders>
              <w:top w:val="single" w:sz="8" w:color="0000EE"/>
            </w:tcBorders>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2220" w:type="dxa"/>
            <w:vAlign w:val="bottom"/>
            <w:gridSpan w:val="4"/>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6860" w:type="dxa"/>
            <w:vAlign w:val="bottom"/>
            <w:gridSpan w:val="14"/>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III.</w:t>
              </w:r>
            </w:hyperlink>
          </w:p>
        </w:tc>
        <w:tc>
          <w:tcPr>
            <w:tcW w:w="1300" w:type="dxa"/>
            <w:vAlign w:val="bottom"/>
            <w:gridSpan w:val="3"/>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10.</w:t>
            </w:r>
          </w:p>
        </w:tc>
        <w:tc>
          <w:tcPr>
            <w:tcW w:w="862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1"/>
                <w:szCs w:val="21"/>
                <w:color w:val="auto"/>
              </w:rPr>
            </w:pPr>
          </w:p>
        </w:tc>
        <w:tc>
          <w:tcPr>
            <w:tcW w:w="4540" w:type="dxa"/>
            <w:vAlign w:val="bottom"/>
            <w:gridSpan w:val="7"/>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12.</w:t>
            </w:r>
          </w:p>
        </w:tc>
        <w:tc>
          <w:tcPr>
            <w:tcW w:w="862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1340" w:type="dxa"/>
            <w:vAlign w:val="bottom"/>
            <w:gridSpan w:val="2"/>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3180" w:type="dxa"/>
            <w:vAlign w:val="bottom"/>
            <w:gridSpan w:val="5"/>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250"/>
        </w:trPr>
        <w:tc>
          <w:tcPr>
            <w:tcW w:w="2080" w:type="dxa"/>
            <w:vAlign w:val="bottom"/>
            <w:gridSpan w:val="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
        </w:trPr>
        <w:tc>
          <w:tcPr>
            <w:tcW w:w="7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080" w:type="dxa"/>
            <w:vAlign w:val="bottom"/>
            <w:gridSpan w:val="7"/>
          </w:tcPr>
          <w:p>
            <w:pPr>
              <w:ind w:left="460"/>
              <w:spacing w:after="0"/>
              <w:rPr>
                <w:sz w:val="20"/>
                <w:szCs w:val="20"/>
                <w:color w:val="auto"/>
              </w:rPr>
            </w:pPr>
            <w:r>
              <w:rPr>
                <w:rFonts w:ascii="Arial" w:cs="Arial" w:eastAsia="Arial" w:hAnsi="Arial"/>
                <w:sz w:val="18"/>
                <w:szCs w:val="18"/>
                <w:color w:val="auto"/>
              </w:rPr>
              <w:t>ITEM 15.</w:t>
            </w:r>
          </w:p>
        </w:tc>
        <w:tc>
          <w:tcPr>
            <w:tcW w:w="862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 and Financial Statement Schedules</w:t>
              </w:r>
            </w:hyperlink>
          </w:p>
        </w:tc>
        <w:tc>
          <w:tcPr>
            <w:tcW w:w="66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tc>
      </w:tr>
      <w:tr>
        <w:trPr>
          <w:trHeight w:val="372"/>
        </w:trPr>
        <w:tc>
          <w:tcPr>
            <w:tcW w:w="2080" w:type="dxa"/>
            <w:vAlign w:val="bottom"/>
            <w:gridSpan w:val="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 INDEX</w:t>
              </w:r>
            </w:hyperlink>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r>
        <w:trPr>
          <w:trHeight w:val="372"/>
        </w:trPr>
        <w:tc>
          <w:tcPr>
            <w:tcW w:w="10700" w:type="dxa"/>
            <w:vAlign w:val="bottom"/>
            <w:gridSpan w:val="2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INDEX TO CONSOLIDATED FINANCIAL STATEMENTS</w:t>
              </w:r>
            </w:hyperlink>
          </w:p>
        </w:tc>
        <w:tc>
          <w:tcPr>
            <w:tcW w:w="6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F-1</w:t>
              </w:r>
            </w:hyperlink>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1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ExlService Holdings, Inc. (“EXL”, “we”, “us", "our" or the "Company"), incorporated in Delaware in 2002, is a leading operations management and analytics company that helps its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 Headquartered in New York, we have more than 31,700 professionals in locations throughout the United States, the United Kingdom, Europe, India, the Philippines, Colombia, Australia and South Africa.</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operate in the business process management (“BPM”) industry, and we provide operations management and analytics services. As described below, effective January 1, 2020, we realigned our operating and reportable segments, but the presentation in this Annual Report, including the discussion in the next two paragraphs, refers to the structure in place prior to such realignment.</w:t>
      </w:r>
    </w:p>
    <w:p>
      <w:pPr>
        <w:spacing w:after="0" w:line="7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Our eight operating segments are strategic business units that align our products and services with how we manage our business, approach our key markets and interact with our clients. Five of those operating segments provide BPM or “operations management” services, which we organize into industry-focused operating segments (Insurance, Healthcare, Travel, Transportation and Logistics, Banking and Financial Services, and Utilities) and one of the operating segments is a “capability”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 Together, our operations management and analytics services support our customers’ digital transformation agendas, through our differentiated strategy and approach that we call Digital Intelligence. Digital Intelligence combines our capabilities across domain and data to create context that enables us find opportunities for our clients to improve performance, enhance customer experiences and increase profitability. Our digital professionals then orchestrate domain expertise, process excellence and advanced digital technologies in the right mix to deliver significant business outcomes.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present information for the following reportable segments:</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(consisting of our remaining operating segments, including our Banking and Financial Services, Utilities and Consulting operating segments).</w:t>
      </w:r>
    </w:p>
    <w:p>
      <w:pPr>
        <w:spacing w:after="0" w:line="17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Effective January 1, 2020, we made certain operational and structural changes to more closely integrate our businesses and to simplify our organizational structure. We now manage and report financial information through our four strategic business units: Insurance, Healthcare, Analytics and Emerging Business, which reflects how management will review financial information and make operating decisions. These business units will develop client-specific solutions, build capabilities, maintain a unified go-to-market approach and be integrally responsible for service delivery, customer satisfaction, growth and profitability. In line with our strategy of vertical integration and focus on domain expertise, we have integrated our Finance &amp; Accounting and Consulting operating segments within each of the Insurance and Healthcare operating segments based on the respective industry-specific clients. Finance &amp; Accounting and Consulting Services to clients outside of those industries, will now be part of our newly formed business unit and reportable segment ‘Emerging Business’.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new reportable segments effective January 1, 2020 are as follows: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Business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This change in segment presentation will not have any effect on our consolidated statements of income, balance sheets or statements of cash flows. The revised presentation will be reflected in our subsequent periodic and annual reports.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Management Services</w:t>
      </w:r>
    </w:p>
    <w:p>
      <w:pPr>
        <w:spacing w:after="0" w:line="22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operations management services, which we provide from our Insurance, Healthcare, Travel, Transportation and Logistics, Finance and Accounting, Banking and Financial Services, and Utilities operating segments, typically involve the transfer to EXL business operations of a client such as claims processing, clinical operations, or financial transaction processing, after which we administer and manage those operations for our client on an ongoing basis, or in case of consulting, consulting services related to transformation services, including digital transformation services. We use a focused industry vertical approach to manage our business and to provide a suite of integrated BPM services to organizations in the insurance, healthcare, travel transportation and logistics, banking and financial services and utilities industries in addition to providing finance and accounting and consulting services across these industries as well as to clients in other industries like manufacturing and media among others.</w:t>
      </w:r>
    </w:p>
    <w:p>
      <w:pPr>
        <w:spacing w:after="0" w:line="70"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key differentiators and salient features of our BPM services include our agile operating and delivery model utilizing domain and data expertise and process excellence, the Digital EXLerator Framework</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 our ability to deploy a Business Process-as-a-Service (“BPaaS”) delivery model, business process automation (including robotics), consulting-driven digital transformation and our industry vertical focused approach. The Digital EXLerator Framework</w:t>
      </w:r>
      <w:r>
        <w:rPr>
          <w:rFonts w:ascii="Arial" w:cs="Arial" w:eastAsia="Arial" w:hAnsi="Arial"/>
          <w:sz w:val="25"/>
          <w:szCs w:val="25"/>
          <w:color w:val="auto"/>
          <w:vertAlign w:val="superscript"/>
        </w:rPr>
        <w:t>TM</w:t>
      </w:r>
      <w:r>
        <w:rPr>
          <w:rFonts w:ascii="Arial" w:cs="Arial" w:eastAsia="Arial" w:hAnsi="Arial"/>
          <w:sz w:val="18"/>
          <w:szCs w:val="18"/>
          <w:color w:val="auto"/>
        </w:rPr>
        <w:t>, is our integrated approach to operations management which enables us to drive better customer outcomes by using advanced automation (such as robotics, advanced analytics and artificial intelligence), process optimization (lean six-sigma), along with smart workflow, driving better orchestration of human talent and technology.</w:t>
      </w:r>
    </w:p>
    <w:p>
      <w:pPr>
        <w:spacing w:after="0" w:line="9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While the majority of our operations management services are provided to clients using client-owned or licensed technology platforms, we also deliver our services across clients and industries using a BPaaS delivery model. The BPaaS delivery model includes the provision of a technology platform along with process management services. The service offering typically requires lower capital outlay, is faster to implement and is priced based on the number of transactions or usage by the client. These services may use standardized and shared technology and operational delivery infrastructure enabling us to leverage technology and infrastructure investments across multiple clients.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operating segments providing operations management services are described below:</w:t>
      </w:r>
    </w:p>
    <w:p>
      <w:pPr>
        <w:spacing w:after="0" w:line="113"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operating segment serves property and casualty insurance, life insurance, disability insurance, annuity and retirement services companies. We provide BPM services related to business processes in the insurance industry such as claims processing, subrogation, premium and benefit administration, agency management, account reconciliation, policy research, underwriting support, new business processing, policy servicing, premium audit, surveys, billing and collection, commercial and residential survey, and customer service using the Digital EXLerator Framework</w:t>
      </w:r>
      <w:r>
        <w:rPr>
          <w:rFonts w:ascii="Arial" w:cs="Arial" w:eastAsia="Arial" w:hAnsi="Arial"/>
          <w:sz w:val="25"/>
          <w:szCs w:val="25"/>
          <w:color w:val="auto"/>
          <w:vertAlign w:val="superscript"/>
        </w:rPr>
        <w:t>TM</w:t>
      </w:r>
      <w:r>
        <w:rPr>
          <w:rFonts w:ascii="Arial" w:cs="Arial" w:eastAsia="Arial" w:hAnsi="Arial"/>
          <w:sz w:val="18"/>
          <w:szCs w:val="18"/>
          <w:color w:val="auto"/>
        </w:rPr>
        <w:t>, robotics and advanced automation. We provide insurance policy administration and digital customer acquisition services using a BPaaS delivery model through our LifePRO ® and Liss platforms in order to help clients administer life insurance, health insurance, annuities and credit life and disability insurance policies. We also provide subrogation services to property and casualty insurers using a BPaaS delivery model and our proprietary Subrosource ® software platform, the largest commercial end-to-end subrogation platform. Subrosource ® integrates with client systems, manages recovery workflow, increases recoveries and reduces costs.</w:t>
      </w:r>
    </w:p>
    <w:p>
      <w:pPr>
        <w:spacing w:after="0" w:line="20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Healthcare</w:t>
      </w:r>
      <w:r>
        <w:rPr>
          <w:rFonts w:ascii="Arial" w:cs="Arial" w:eastAsia="Arial" w:hAnsi="Arial"/>
          <w:sz w:val="18"/>
          <w:szCs w:val="18"/>
          <w:color w:val="auto"/>
        </w:rPr>
        <w:t xml:space="preserve"> operating segment primarily serves U.S.-based healthcare payers, providers and life sciences organizations. We provide BPM services related to Care Management, Utilization Management, disease management, payment integrity, revenue optimization and customer engagement directly addressing the market need for improved healthcare outcomes, reduced claims, medical and administrative costs, and improved access to the healthcare system in the healthcare market.</w:t>
      </w:r>
    </w:p>
    <w:p>
      <w:pPr>
        <w:spacing w:after="0" w:line="18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offer BPaaS, software-as-a-service ("SaaS") and platform BPM services designed to serve the healthcare industry as well as proprietary technology platforms, robotics and advanced analytics. EXL’s CareRadius® and MaxMC® applications connect payors, providers and members with critical clinical information, and automates a payor's operations to increase efficiencies across all aspects of care management, including behavioral health.</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Travel, Transportation and Logistics</w:t>
      </w:r>
      <w:r>
        <w:rPr>
          <w:rFonts w:ascii="Arial" w:cs="Arial" w:eastAsia="Arial" w:hAnsi="Arial"/>
          <w:sz w:val="16"/>
          <w:szCs w:val="16"/>
          <w:color w:val="auto"/>
        </w:rPr>
        <w:t xml:space="preserve"> operating segment primarily serves clients in the travel &amp; leisure and transportation and logistics industries, including less-than-truckload (LTL), truckload and intermodal logistics sectors. We provide BPM services related to business processes in corporate and leisure travel such as reservations, customer service, fulfillment and finance and accounting. Our operating model encompasses analytics driven transformation aimed at cost reduction and customer experience enhancement. In addition, we have expertise in processing transportation and logistics transactions, including supply chain management, warehousing, transportation management and international logistics services using advanced automation, including robotics process automation. For companies in the transportation and logistics sector, we provide sales, billing, collection, claims management, revenue management, accounting freight audit and payment and logistics engineering services. We are focused on developing new integrated solutions in this operating segment in the areas of customer experience and finance and accounting operations by combining our domain, data and digital capabilities. Our advanced analytics-based inside sales and revenue leakage prevention solutions are designed to deliver a direct topline impact to our customers.</w:t>
      </w:r>
    </w:p>
    <w:p>
      <w:pPr>
        <w:spacing w:after="0" w:line="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Finance and Accounting (“F&amp;A”)</w:t>
      </w:r>
      <w:r>
        <w:rPr>
          <w:rFonts w:ascii="Arial" w:cs="Arial" w:eastAsia="Arial" w:hAnsi="Arial"/>
          <w:sz w:val="17"/>
          <w:szCs w:val="17"/>
          <w:color w:val="auto"/>
        </w:rPr>
        <w:t xml:space="preserve"> operating segment provides finance and accounting BPM and Digital Transformation services across an array of F&amp;A processes, including procure-to-pay, order-to-cash, hire-to-retire, record-to-report, regulatory reporting, financial planning and analysis, audit and assurance, reconciliations, treasury and tax processes. This operating segment provides services across the five industry verticals within operations management as well as to clients in other industries like manufacturing, business services, media and retail among others. We partner with our clients to provide digital transformation services to help them simplify and scale their F&amp;A processes, drive customer centricity, improve controls and compliance, reduce operating costs and deliver rich data driven insights to their businesses. We do this by meaningfully combining our deep capabilities in finance transformation, risk management, advanced analytics and intelligent automation, including Artificial Intelligence ("AI") and machine learning.</w:t>
      </w:r>
    </w:p>
    <w:p>
      <w:pPr>
        <w:spacing w:after="0" w:line="17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Banking and Financial Services</w:t>
      </w:r>
      <w:r>
        <w:rPr>
          <w:rFonts w:ascii="Arial" w:cs="Arial" w:eastAsia="Arial" w:hAnsi="Arial"/>
          <w:sz w:val="17"/>
          <w:szCs w:val="17"/>
          <w:color w:val="auto"/>
        </w:rPr>
        <w:t xml:space="preserve"> operating segment offers a comprehensive range of BPM services across the spectrum of the banking and financial services industry, including residential mortgage lending, retail banking and credit cards, commercial banking and investment management. Our operating models encompass process re-engineering with improved customer experience and cost reduction. We integrate front, middle and back-office operations as one seamless experience with a digitally enabled customer journey and experience framework. Leveraging our deep end-to-end expertise within analytics, we are able to enhance the effectiveness of our client operations. EXL uses robotics process automation and proprietary business intelligence tools to innovate workflow management, transaction monitoring, and management information and reporting to enhance transparency in regulatory and management reporting. In addition to banks and financial services firms, EXL works with financial technology companies to supplement their marketing and sales operations, support their processing and underwriting as well as enhance their servicing and collections efforts.</w:t>
      </w:r>
    </w:p>
    <w:p>
      <w:pPr>
        <w:spacing w:after="0" w:line="17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Utilities</w:t>
      </w:r>
      <w:r>
        <w:rPr>
          <w:rFonts w:ascii="Arial" w:cs="Arial" w:eastAsia="Arial" w:hAnsi="Arial"/>
          <w:sz w:val="18"/>
          <w:szCs w:val="18"/>
          <w:color w:val="auto"/>
        </w:rPr>
        <w:t xml:space="preserve"> operating segment services offers BPM services related to enhancing operating models, improving customer experience, reducing costs, shortening turnaround time and simplifying compliance for our clients. By leveraging our “Model Office” framework, we combine domain expertise, customer-centric operations management practices, robotics and advanced analytics capabilities with cloud-based billing and customer relationship management platform, digital services, industry-specific products, business process automation and robotics. We remain focused on bringing new analytics-led integrated solutions in this operating segment that are designed to deliver higher operational efficiencies and improved end customer experience for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Consulting</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Consulting</w:t>
      </w:r>
      <w:r>
        <w:rPr>
          <w:rFonts w:ascii="Arial" w:cs="Arial" w:eastAsia="Arial" w:hAnsi="Arial"/>
          <w:sz w:val="17"/>
          <w:szCs w:val="17"/>
          <w:color w:val="auto"/>
        </w:rPr>
        <w:t xml:space="preserve"> operating segment provides industry-specific digital transformational services, targeting select industries and functions across Insurance, Healthcare, Travel, Transportation and Logistics, Banking and Financial Services and Finance and Accounting. Our services are designed to address contemporary problems across the aforementioned domains, embracing the digital and analytics revolution, to deliver business models that help our clients realize their business and innovation goals and improve their strategic competitive position. Our digital consulting offerings include leveraging design thinking to help improve customer experience, using lean models to drive process excellence and using agile delivery models to implement digital technologies and interventions like customer experience transformation, advanced automation and robotics and enterprise architecture. Our approach to consulting is focused on delivering goals across growth and scalability, customer experience improvement, cost and efficiency as well as scale. We are focused on building and delivering industry solutions in insurance, healthcare and other verticals to drive end-to-end transformation across the service delivery value chain, spanning contact center automation, content extraction capabilities and onboarding, underwriting, claims processing, policy administration and finance, audit and compliance transformation.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offer a full range of finance transformation services to the CFO suite, including finance platform modernization and implementation, finance process transformation and digitization as well as governance, risk and compliance support. Our Finance Transformation practice works with CFOs and Chief Audit Executives to make their finance functions more efficient by improving the management of their risk and compliance efforts, enhancing performance, reducing cost, and increasing automation.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Analytics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a “Strategic Digital Transformation Partner” for our clients in analytics. By leveraging our full suite of analytics capabilities, our Analytics services focus on driving improved business outcomes for our customers by generating data-driven insights across all parts of our customers’ businesses. Our teams deliver predictive and prescriptive analytics in the areas of customer acquisition and life cycle management, risk underwriting and pricing, operational effectiveness, credit and operational risk monitoring and governance, regulatory reporting, and data management. We use a spectrum of advanced analytical tools and techniques, including our in-house Machine Learning (“ML”) and "AI" capabilities. We leverage and deploy our proprietary ML and AI solutions to help deliver improved business outcomes throughout our client's value chain and to address a range of complex industry-wide problems including:</w:t>
      </w:r>
    </w:p>
    <w:p>
      <w:pPr>
        <w:spacing w:after="0" w:line="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natural language understanding and deep learning models to address unstructured text and data,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Computer-assisted vision and deep learning-based image analytics to analyze photos and videos,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pattern recognition techniques to identify consumer behavior triggers embedded in multiple formats of data.</w:t>
      </w:r>
    </w:p>
    <w:p>
      <w:pPr>
        <w:spacing w:after="0" w:line="279"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Our Analytics team comprises over 4,500 professionals, including data scientists, data architects, business analysts, statisticians, modelers, industry domain specialists and data experts.</w:t>
      </w:r>
    </w:p>
    <w:p>
      <w:pPr>
        <w:spacing w:after="0" w:line="17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help our customers leverage internal and external data sources, enhance their data assets, identify and visualize data patterns, and utilize data-driven insights to improve their effectiveness. Our Analytics services for our customers include:</w:t>
      </w:r>
    </w:p>
    <w:p>
      <w:pPr>
        <w:spacing w:after="0" w:line="170" w:lineRule="exact"/>
        <w:rPr>
          <w:sz w:val="20"/>
          <w:szCs w:val="20"/>
          <w:color w:val="auto"/>
        </w:rPr>
      </w:pPr>
    </w:p>
    <w:p>
      <w:pPr>
        <w:ind w:firstLine="400"/>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cleansing, matching and use of structured, semi-structured and unstructured data available both internally to our customer’s organization and externally;</w:t>
      </w:r>
    </w:p>
    <w:p>
      <w:pPr>
        <w:spacing w:after="0" w:line="170" w:lineRule="exact"/>
        <w:rPr>
          <w:rFonts w:ascii="Arial" w:cs="Arial" w:eastAsia="Arial" w:hAnsi="Arial"/>
          <w:sz w:val="18"/>
          <w:szCs w:val="18"/>
          <w:color w:val="auto"/>
        </w:rPr>
      </w:pPr>
    </w:p>
    <w:p>
      <w:pPr>
        <w:ind w:firstLine="400"/>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70" w:lineRule="exact"/>
        <w:rPr>
          <w:rFonts w:ascii="Arial" w:cs="Arial" w:eastAsia="Arial" w:hAnsi="Arial"/>
          <w:sz w:val="18"/>
          <w:szCs w:val="18"/>
          <w:color w:val="auto"/>
        </w:rPr>
      </w:pPr>
    </w:p>
    <w:p>
      <w:pPr>
        <w:ind w:firstLine="400"/>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and implementation of services enabling data visualization and management reporting enabling business users to segment, drill-down, and filter data; and</w:t>
      </w:r>
    </w:p>
    <w:p>
      <w:pPr>
        <w:spacing w:after="0" w:line="170" w:lineRule="exact"/>
        <w:rPr>
          <w:rFonts w:ascii="Arial" w:cs="Arial" w:eastAsia="Arial" w:hAnsi="Arial"/>
          <w:sz w:val="18"/>
          <w:szCs w:val="18"/>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of data insights and predictive models in the real-time decision making processes to drive measurable business impact.</w:t>
      </w:r>
    </w:p>
    <w:p>
      <w:pPr>
        <w:spacing w:after="0" w:line="225"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Our Analytics engagements span both project work and longer-term arrangements where EXL provides ongoing analytics modeling and services for a year or more. We utilize domain and industry knowledge related to the business problem being considered to support these Analytics engagements across our various competencies including Data management, Advanced Analytics/AI, Functional, Data-enabled Marketing Solutions and Strategic Data Assets.</w:t>
      </w:r>
    </w:p>
    <w:p>
      <w:pPr>
        <w:spacing w:after="0" w:line="14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Our Analytics services support: (1) retail banking, commercial banking and investment banking and management for the banking and financial services industry; (2) actuarial, claims, informatics, CRM and marketing analysis, medical cost and care management, payment integrity and operational effectiveness in the healthcare industry; (3) marketing and agency management, actuarial, servicing and operations, customer management, and claims and money movement in the insurance industry; and (4) marketing analytics in the retail and media industries.</w:t>
      </w:r>
    </w:p>
    <w:p>
      <w:pPr>
        <w:spacing w:after="0" w:line="6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July 1, 2018, we completed the acquisition of SCIO pursuant to an Agreement of Merger dated April 28, 2018 (the "Merger Agreement"). SCIO is a health analytics solution and services company serving healthcare organizations including providers, health plans, pharmacy benefit managers, employers, health services and global life sciences companies. SCIO provides Payment Integrity services mainly in the area of claims overpayment and abuse and waste related to healthcare spending. The acquisition of SCIO broadened our spectrum of healthcare capabilities to deliver more complex reimbursement optimization, subrogation as well care and risk and quality management to the healthcare industry. SCIO provides scalable predictive analytic solutions and services that transform data into actionable insights, helping healthcare organizations identify opportunities and prescribe actions to drive operational performance and address the healthcare waste epidemic while improving care quality industry.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EXL is a business process management company providing operations management and analytics services and is a “Strategic Digital Transformation Partner” for our clients by deploying our Digital Intelligence framework. We help our clients become digitally intelligent by leveraging capabilities across data, advanced analytics, digital operations and domain expertise to deliver business outcomes across customer experience, efficiency and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services in large addressable markets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continue to focus on the insurance, healthcare and banking industries, which are large markets with high demand. We will also continue to build our client portfolio in Finance and Accounting and within our other business segments in an opportunistic manner. As we can continue to refine our focus, we are pursuing opportunities in other industries. We are uniquely equipped to support clients across every step of the digital transformation value chain with capabilities across Data and Data management, Business intelligence and Analytics, Digital Transformation Consulting, Digital Integration and Operations. Demand for these services is expected to exhibit strong growth in the next several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Integrating our capabilities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deep domain expertise has been central to our market differentiation. We are also well-positioned as one of the few players in the market with a full suite of analytics, strong operational excellence, technological platforms and digital toolkit to create integrated solutions and services under one brand.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 Training, and Retaining the Most Talented Professionals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an integrated talent management framework that employs active collaboration between our recruitment, capability development and business human resource functions. We deploy innovative methods to recruit, train and retain our skilled employees. We focus on recruiting the right talent and developing them further on relevant competencies through our learning academies, rigorous promotion standards, client and industry specific training and competitive compensation packages that include incentive-based compensation. We are able to leverage shared resources across our services through personnel who have skillsets applicable to a wide variety of BPM services. We also have specialized experts in various domains, who develop specialization in our chosen industries and subject matters through our training academies. Our employee relations function ensures that we understand the pulse of our employees, and are able to swiftly respond to specific needs and concerns as they arise, through a central team of experts.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Cultivating Long-term Relationships and Expanding our Client Base</w:t>
      </w:r>
    </w:p>
    <w:p>
      <w:pPr>
        <w:spacing w:after="0" w:line="11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62" w:lineRule="exact"/>
        <w:rPr>
          <w:sz w:val="20"/>
          <w:szCs w:val="20"/>
          <w:color w:val="auto"/>
        </w:rPr>
      </w:pPr>
    </w:p>
    <w:p>
      <w:pPr>
        <w:ind w:left="820" w:hanging="4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depth and breadth of the services we provide across new client business, functions and geographies;</w:t>
      </w:r>
    </w:p>
    <w:p>
      <w:pPr>
        <w:spacing w:after="0" w:line="23" w:lineRule="exact"/>
        <w:rPr>
          <w:rFonts w:ascii="Arial" w:cs="Arial" w:eastAsia="Arial" w:hAnsi="Arial"/>
          <w:sz w:val="18"/>
          <w:szCs w:val="18"/>
          <w:color w:val="auto"/>
        </w:rPr>
      </w:pPr>
    </w:p>
    <w:p>
      <w:pPr>
        <w:ind w:left="820" w:hanging="420"/>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Offering the full suite of EXL services that includes operations management (including consulting; digital transformation) and analytics; and</w:t>
      </w:r>
    </w:p>
    <w:p>
      <w:pPr>
        <w:spacing w:after="0" w:line="20" w:lineRule="exact"/>
        <w:rPr>
          <w:rFonts w:ascii="Arial" w:cs="Arial" w:eastAsia="Arial" w:hAnsi="Arial"/>
          <w:sz w:val="17"/>
          <w:szCs w:val="17"/>
          <w:color w:val="auto"/>
        </w:rPr>
      </w:pPr>
    </w:p>
    <w:p>
      <w:pPr>
        <w:ind w:left="820" w:hanging="4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Supporting our clients’ geographic expansion leveraging our global footprint.</w:t>
      </w:r>
    </w:p>
    <w:p>
      <w:pPr>
        <w:spacing w:after="0" w:line="10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intend to continue building a portfolio of Fortune 500 and Global 2000 companies in our focus industries that have the most complex and diverse processes and, accordingly, stand to benefit significantly from our services. We also intend to cultivate long-term relationships with medium-sized companies in our focus industries leveraging our BPaaS and technology offerings.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Global Delivery Footprint and Operational Infrastructure</w:t>
      </w:r>
    </w:p>
    <w:p>
      <w:pPr>
        <w:spacing w:after="0" w:line="11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intend to further expand and invest in our network of delivery centers to service our clients. In 2019, we expanded our operations centers in India, South Africa and in the Philippines.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intend to continue making selective acquisitions in our focus industry verticals as well as to add to our capabilities. We consider selective strategic relationships with industry leaders that add new long-term client relationships, enhance the depth and breadth of our services and complement our business strategy. We also pursue select partnerships, alliances or investments that will expand the scope and effectiveness of our services by adding technology assets and intellectual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adding new clients or allowing us to enter new geographic markets. In 2018, we launched our Connected Intelligence Partnership programs to expand our technology and innovation ecosystem to accelerate client business outcomes from digital transformation. The Connected Intelligence program has enhanced our go-to-market opportunities with new programs for emerging innovators and startups, digital technology partners, industry solution partners and alliances and associations to deliver leading digital solutions and services to its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Management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Companies are increasingly looking to BPM service providers to provide a suite of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BPM service providers who can develop industry-specific analytics expertise are especially well poised to benefit from this global trend.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Client Management</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and consulting. Our sales and client management teams operate from the U.S., Europe, Australia and South Africa are supported by our business development teams.</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 or web presence, brand awareness and participation in industry forums and conferences. As of December 31, 2019, we employed approximately 150 sales, marketing, business development and client management professionals with the majority of them based in either the U.S. or Europe. Our professionals generally have significant experience in business process services, technology, operations, analytics and consulting.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EXL generated revenues from approximately 470 clients and 480 clients in 2019 and 2018, respectively (with annual revenue exceeding $50,000 per client). We have won 28 and 50 new clients during 2019 and 2018, respectively.</w:t>
      </w:r>
    </w:p>
    <w:p>
      <w:pPr>
        <w:spacing w:after="0" w:line="170"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top three, five and ten clients generated 15.2%, 22.0% and 36.1% of our revenues, respectively, in 2019. Our top three, five and ten clients generated 16.4%, 23.7% and 37.2% of our revenues, respectively, in 2018. No client accounted for more than 10% of our total revenues in 2019 or 2018.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“Item 1A. Risk Factors-Risks Related to Our Business-We derive a substantial portion of our revenues from a limited number of clients.”</w:t>
      </w:r>
    </w:p>
    <w:p>
      <w:pPr>
        <w:spacing w:after="0" w:line="17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long-term relationships with our clients typically evolve from providing a single, discrete service or process into providing a series of complex, integrated processes across multiple business lines. For operations management services other than consulting, we enter into long-term agreements with our clients with typical initial terms of between three to five years. Consulting engagements have typical terms of six to twelve months. Agreements for Analytics services are either project based or have shorter initial terms, which are typically between one to three years. However, each agreement is individually negotiated with the client.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Competition in the BPM services industry is intense and growing. See “Item 1A. Risk Factors-Risks Related to Our Business-We face significant competition from U.S.-based and non-U.S.-based BPM and information technology (“IT”) companies and from our clients, who may build shared services centers to perform these services themselves, either in-house, in the U.S. or through offshore groups or other arrangements.” Many companies, including certain of our clients, choose to perform some or all of their customer-facing and back-office processes internally, utilizing their own employees to provide these services as part of their regular business operations. Some companies have moved portions of their in-house customer management functions offshore, including to offshore affiliates. We believe our key advantage over in-house business processes management is that we provide companies the opportunity to focus on their core products and markets while we focus on service delivery and operational excellence. We compete primarily against:</w:t>
      </w:r>
    </w:p>
    <w:p>
      <w:pPr>
        <w:spacing w:after="0" w:line="59" w:lineRule="exact"/>
        <w:rPr>
          <w:sz w:val="20"/>
          <w:szCs w:val="20"/>
          <w:color w:val="auto"/>
        </w:rPr>
      </w:pPr>
    </w:p>
    <w:p>
      <w:pPr>
        <w:ind w:left="820" w:hanging="420"/>
        <w:spacing w:after="0" w:line="25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 global companies with BPM solutions and delivery capabilities in offshore locations, such as Genpact Limited, WNS (Holdings) Limited, Accenture, Cognizant Technology Solutions, Infosys and Tata Consultancy Services;</w:t>
      </w:r>
    </w:p>
    <w:p>
      <w:pPr>
        <w:spacing w:after="0" w:line="1" w:lineRule="exact"/>
        <w:rPr>
          <w:rFonts w:ascii="Arial" w:cs="Arial" w:eastAsia="Arial" w:hAnsi="Arial"/>
          <w:sz w:val="18"/>
          <w:szCs w:val="18"/>
          <w:color w:val="auto"/>
        </w:rPr>
      </w:pPr>
    </w:p>
    <w:p>
      <w:pPr>
        <w:ind w:left="820" w:hanging="4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niche providers that provide services in a specific geographic market, industry or service area, such as analytics or healthcare; and</w:t>
      </w:r>
    </w:p>
    <w:p>
      <w:pPr>
        <w:spacing w:after="0" w:line="9" w:lineRule="exact"/>
        <w:rPr>
          <w:rFonts w:ascii="Arial" w:cs="Arial" w:eastAsia="Arial" w:hAnsi="Arial"/>
          <w:sz w:val="18"/>
          <w:szCs w:val="18"/>
          <w:color w:val="auto"/>
        </w:rPr>
      </w:pPr>
    </w:p>
    <w:p>
      <w:pPr>
        <w:ind w:left="820" w:hanging="420"/>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0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technology and BPaaS solutions, and sophisticated analytic and consulting capabilities, which enable us to respond rapidly to market trends and the evolving needs of our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intellectual property consists of proprietary and licensed platforms, software and databases, trade secrets, methodologies and know-how, trademarks, copyrighted software, operating procedures and other materials and patents and pending patent applications. We have numerous registered trademarks and logos registered with the U.S. Patent and Trademark Office and certain foreign jurisdictions and several pending trademark applications, as well as, three issued patents. We consider many of our business processes and implementation methodologies to be trade secrets or proprietary know-how and confidential information. To provide our services, in addition to our own proprietary tools, we use software and data licensed by us or our clients from third parties. We also use SaaS services from third parties pursuant to contracts with us or our clients. In particular, we have developed several strategic partnerships with robotics and process automation software companies to facilitate our offering of automation to our clients.</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Clients and business partners sign nondisclosure agreements requiring confidential treatment of our information. Our employees are required to sign work-for-hire and confidentiality covenants as a condition to their employment.</w:t>
      </w:r>
    </w:p>
    <w:p>
      <w:pPr>
        <w:spacing w:after="0" w:line="170"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Our technology group and various business lines develop proprietary tools that we deploy to support services for our clients. We typically retain ownership of any pre-existing tools. While working on client engagements, we also often develop new tools or methodologies, including robotics and process automation software or “bots,” and we endeavor to negotiate contracts that give us ownership or licenses to use or demonstrate such tools for other clients.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 and Data Privacy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Overseen by management and our board of directors, we maintain a comprehensive program that focuses on information security, cyber security, data privacy and the protection of our clients’ and their customers’ confidential personal and sensitive information. We have invested in our information security and cyber security posture and protocols to support compliance with our contractual obligations and the laws and regulations governing our activities. These investments include people, processes and technology intended to protect information throughout its life cycle.</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EXL focuses on implementing and maintaining cyber security capabilities to identify, protect, detect, respond and recover from cyber threats, incidents and attacks; reduce vulnerabilities and minimize the impact of cyber incidents. We emphasize compliance and institutional governance built upon and supported by policies and processes, tools and technologies, and knowledge and awareness training. EXL takes into account guidance from relevant regulatory and governance bodies, including but not limited to the Cyber Security Framework of the National Institute of Standards and Technology of the U.S. Department of Commerce, in designing controls and policies regarding security for sensitive and confidential information of EXL's clients, employee, partners, third parties and EXL’s owned products and services. EXL has undertaken measures designed to comply with new privacy regulations, including the European General Data Protection Regulation (EU) 2016/679 (“GDPR”) and the California Consumer Privacy Act (“CCPA”), as well as other national and state laws or regulations.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According to the needs of our clients as well as the regulatory requirements of the geographies in which we operate, many of our delivery centers are certified related to information security and health and environmental safety, such as the ISO 27001:2013 standard for information security management systems, the ISO 22301:2012 for Business continuity management systems, the ISO 9001:2008 standard for quality management system, the ISO 14001 for environmental management standards and the OHSAS 18001:2007 standard for occupational health and safety management systems. Certain delivery centers and processes are also compliant with HITRUST CSF™ and certified for other similar requirements. Some of our centers in the Philippines and South Africa and certain client processes in other operation centers in India are compliant with the Payment Card Industry Data Security Standard (PCI-DSS) version 3.2 or higher requirements. We engage independent firms to conduct General Controls and business process (SOC1and SOC2 - Type II) assessments on managed hosting environments that we offer in our Insurance and Healthcare verticals. EXL also engages third parties to conduct vulnerability assessment and penetration testing of its technology environment. For disaster recovery purposes, many of our key technology applications are hosted in ISO 27001 certified, SSAE18 SOC1 compliant Tier 4 data centers that are proactively monitored and managed 24 hours a day.</w:t>
      </w:r>
    </w:p>
    <w:p>
      <w:pPr>
        <w:spacing w:after="0" w:line="16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procured from leading technology providers and other third parties a robust, wide area network and international telecommunications capacity to support our global business operations. Our business continuity management plans include redundant locations, network infrastructure, power sources and other utilities to mitigate and manage operational risks as well as redundant, trained talent across our service delivery locations. These plans are documented, as well as tested on a periodic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of December 31, 2019, we had a headcount of approximately 31,700 employees, with approximately 21,200 employees based in India and approximately 6,900 employees in the Philippines. We have approximately 2,400 employees in the U.S, 200 employees in the U.K., 200 employees in Colombia, and 400 employees in the Czech Republic, Bulgaria, Romania, and 400 in South Africa and other geographies. None of our employees are unionized. We have never experienced any work stoppages and believe that we enjoy good employee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and Recruiting</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employees are critical to the success of our business. Accordingly, we focus on recruiting, training and retaining our professionals. We have developed effective strategies that enable an efficient recruitment process. We have over 110 employees dedicated to recruitment. Some of the strategies we have adopted to increase efficiency in our hiring practices include the utilization of online voice assessments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background checks on candidates, including criminal background checks, where permitted and as required by clients or on a sample basis. In addition, where permitted and required for client services, we perform random drug testing on the workforce on a regular basis.</w:t>
      </w:r>
    </w:p>
    <w:p>
      <w:pPr>
        <w:spacing w:after="0" w:line="18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Our attrition rate for employees who had been with EXL for more than 180 days was 33.2% and 31.8% for the years ended December 31, 2019 and 2018, respectively.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Capability Development and Training</w:t>
      </w:r>
    </w:p>
    <w:p>
      <w:pPr>
        <w:spacing w:after="0" w:line="18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maintain a strong focus on capability development, with an emphasis on digital transformation and domain expertise. Our talent development strategy is comprehensive, aligned to overall business strategy. Our talent strategy includes developing expertise around the specific technologies, tools, and frameworks required to successfully execute projects for our clients in a digital economy. We create thought leaders with high industry acumen who are better able to address our clients’ requirements. We also provide a career -linked learning path to our employees from new hires to tenured employees to senior levels of leadership.</w:t>
      </w:r>
    </w:p>
    <w:p>
      <w:pPr>
        <w:spacing w:after="0" w:line="256"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Our domain academies focus on building domain expertise through certifications and specialization. These include our Insurance Academy, Travel Academy, Finance and Accounting Academy, Healthcare Academy, Analytics Academy, Utilities Academy, Consulting Academy and Digital Academy. These domain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promoting better diversity and inclusion through our training programs. We have a global presence catering to the specific learning requirements of each geography. We provide learning through our blended learning methodology comprising of classroom, on the job coaching and technology led learning.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62"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The world we work and live in is full of diversity and powered by innovation. We believe success in such a world will come through an environment that embraces diversity of thought. We believe that pursuing our corporate social responsibility goals, including charitable and civic activities and environmental, health and safety initiatives, will make us a stronger, more impactful organization to work for and to deliver exceptional results for our clients.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1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Diversity &amp; Inclusion (D&amp;I) philosophy is to create an inclusive work environment and leverage diversity to enable the organization to effectively capitalize on the differing views and contributions that each employee brings to the workplace. Nearly our entire workforce is trained on D&amp;I.</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particularly focused on creating an impact at the senior leadership level. EXL’s overall gender diversity is at 38% with over 12,000 female employees across the globe, and our Operating Committee, has 33% gender diversity.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we maintain a supplier diversity program in the United States designed to provide opportunities for qualified diverse businesses.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Women in Leadership</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EXL is committed to providing a supportive working environment and career opportunities for our female employees.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EXL has several programs to promote career advancement, including leadership development for women at the mid to senior level, a separate program to improve the retention and engagement of new mothers through employee friendly parental leave and similar policies, and our WE (Women at EXL) platform, which is designed to enable women at EXL advance their career and achieve professional growth through discussion, collaboration, networking, training, development and mentorship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Charitable and Community Activities</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EXL finds meaningful ways to help the communities in which we operate. We contribute to positive social change by engaging in charitable programs to help transform lives. On our own and in partnership with our clients, we support education initiatives, disaster relief efforts, and global health initiatives. These programs align with the expectations clients have of service providers as well as benefit our other stakeholders.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3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strive to continuously improve in the area of environmental, health and safety initiatives (“EHS”), with a focus on reducing our carbon footprint, energy conservation, waste minimization, and green infrastructure and operations. We believe that these measures will also help us in sustainable development efforts. Where practical, we seek to integrate EHS with our business activities, focusing on conducting our activities in an environmentally responsible manner and ensuring the health and safety of the Company’s employees, contractors, customers, visitors and the communities where the Company operates.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sometimes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their specific industries.</w:t>
      </w:r>
    </w:p>
    <w:p>
      <w:pPr>
        <w:spacing w:after="0" w:line="14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are one of the few service providers that can provide third-party administrator insurance services from India and the Philippines and are currently able to provide such services in the U.S. for 49 states and 48 states (including the District of Columbia), respectively. Additionally, our subsidiary in the Philippines is able to provide utilization review services in the U.S. for 43 states (including the District of Columbia). Further, through domestic subsidiaries, we are licensed or otherwise eligible to provide third-party administrator services in all states within the U.S. as well as utilization review</w:t>
      </w:r>
      <w:r>
        <w:rPr>
          <w:rFonts w:ascii="Arial" w:cs="Arial" w:eastAsia="Arial" w:hAnsi="Arial"/>
          <w:sz w:val="16"/>
          <w:szCs w:val="16"/>
          <w:color w:val="1F497D"/>
        </w:rPr>
        <w:t>,</w:t>
      </w:r>
      <w:r>
        <w:rPr>
          <w:rFonts w:ascii="Arial" w:cs="Arial" w:eastAsia="Arial" w:hAnsi="Arial"/>
          <w:sz w:val="16"/>
          <w:szCs w:val="16"/>
          <w:color w:val="auto"/>
        </w:rPr>
        <w:t xml:space="preserve"> insurance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adjuster, and insurance producer services in select states. We are required to maintain licenses in various jurisdictions or require certain categories of our professionals to be individually licensed in service areas such as debt collection, utilization review, workers’ compensation utilization review, insurance adjuster, and telemarketing services. Our facilities in the Philippines as well as one domestic subsidiary are accredited by the Utilization Review Accreditation Commission (URAC) and National Committee for Quality Assurance (NCQA), both leading healthcare and education accreditation organizations. We continue to obtain licenses and accreditations required from time to time by our business operations.</w:t>
      </w:r>
    </w:p>
    <w:p>
      <w:pPr>
        <w:spacing w:after="0" w:line="6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operations are also subject to compliance with a variety of other laws, including U.S. federal and state regulations that apply to certain portions of our business such as the Fair Credit Reporting Act, the Foreign Corrupt Practices Act, the Federal Trade Commission Act, the Gramm-Leach-Bliley Act, the Health Insurance Portability and Accountability Act of 1996, the Health Information Technology for Economics and Clinical Health Act of 2009, GDPR and the UK Bribery Act- as well as state and local laws, such as the CCPA. We also must comply with applicable regulations relating to health, financial and other personal information that we handle as part of our services.</w:t>
      </w:r>
    </w:p>
    <w:p>
      <w:pPr>
        <w:spacing w:after="0" w:line="80"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We benefit from tax relief provided by laws and regulations in India and the Philippines from time to time. Regulation of our business by the Indian government affects us in several ways. During the last several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“Item 1A - Risk Factors - Risks related to the International nature of our business - Our financial condition could be negatively affected if foreign governments introduce new legislation, reduce or withdraw tax benefits and other incentives currently provided to companies within our industry or if we are not eligible for these benefits.”</w:t>
      </w:r>
    </w:p>
    <w:p>
      <w:pPr>
        <w:spacing w:after="0" w:line="14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benefitted from a corporate tax holiday in the Philippines for some of our operations centers established there over the last several years. The Company registered with the Philippines Economic Zone Authority (“PEZA”) and is therefore eligible for income tax exemption for four years. This exemption incentive may be extended in certain instances upon fulfillment of certain conditions. Following the expiry of the tax exemption, income generated from centers in the Philippines will be taxed at the prevailing annual tax 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14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also maintain a website at http://www.exlservice.com. Information on our website does not constitute a part of, nor is it incorporated in any way, into this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earn a substantial portion of our revenues from a limited number of clients.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earned and believe that we will continue to earn in the near future or foreseeable a substantial portion of our total revenues from a limited number of large clients.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13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Global economic and political conditions affect our clients’ businesses and the markets they serve, which are increasingly becoming more interdependent. The domestic and international capital and credit markets have been experiencing volatility and disruption for the past several years, resulting in uncertainty in the financial markets in general, which includes companies in the banking, financial services, healthcare and insurance industries to which we provide services.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If there is a significant consolidation in these industries or a decrease in growth due to any adverse development or consolidation in other industry verticals on which we focus, such events could materially reduce the demand for our services and negatively affect our revenue and profitability. In addition, we currently earn, and are likely to continue to earn, a significant portion of our revenues from clients located in the U.S. The U.S. economy has weakened in late 2019 and may continue to do so in early 2020 due to the impact of potential trade disputes with China or other countries, including related to tariffs and softening investment spending. Any resultant decrease in business and consumer spending, could result in a decrease in demand for our services, particularly our analytics and consulting services, thus reducing our revenues. Weakness in the U.S. labor market could also adversely affect the demand for our services. Other developments in response to economic events, such as restructurings or reorganizations, particularly involving our clients, could also cause the demand for our services to decline.</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results of operations and cash flows.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financial condition and cash flows.</w:t>
      </w:r>
    </w:p>
    <w:p>
      <w:pPr>
        <w:spacing w:after="0" w:line="3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Consistent with industry practice, 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36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to our clients which in turn could have a material adverse effect on our business, results of operations, financial condition and cash flows.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fail to attract and retain enough sufficiently trained employees to support our operations, as competition for highly skilled personnel is intense and we experience significant employee turnover rates, which may result in loss of revenue and an inability to expand our business.</w:t>
      </w:r>
    </w:p>
    <w:p>
      <w:pPr>
        <w:spacing w:after="0" w:line="19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success depends to a significant extent on our ability to attract, hire, train and retain qualified employees, including our ability to attract employees with needed skills in the geographic areas in which we operate. Our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3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we are unable to attract and retain highly-skilled technical personnel, our ability to effectively lead our current projects and develop new business could be jeopardized, and our business, results of operations and financial condition could be adversely affected.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often have a long selling cycle for our operations management services that requires significant funds and management resources and a long implementation cycle that requires significant resource commitments.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often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2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we are engaged by a client after the selling process for our operations management services, it takes from four to six weeks to integrate the client’s systems with ours, and from three months to six months thereafter to build our services to the client’s requirements and perform any necessary transformation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generally enter into long-term contracts with our clients for our operations management services, and our failure to accurately estimate the resources and time required for our contracts may negatively affect our revenues, cash flows and profitability.</w:t>
      </w:r>
    </w:p>
    <w:p>
      <w:pPr>
        <w:spacing w:after="0" w:line="2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initial terms of our operations management contracts typically range from three to five years. In many of our operations management contracts we commit to long-term and other pricing structures (such as full-time equivalent-based pricing, fixed-price arrangements, and output- and outcome-based pricing) with our clients and therefore bear the risk of cost overruns, completion delays, resource requirements, wage inflation and adverse movements in exchange rates in connection with these contracts. If we fail to estimate accurately the resources and time required for a contract, potential productivity benefits over time, future wage</w:t>
      </w:r>
    </w:p>
    <w:p>
      <w:pPr>
        <w:sectPr>
          <w:pgSz w:w="11900" w:h="16838" w:orient="portrait"/>
          <w:cols w:equalWidth="0" w:num="1">
            <w:col w:w="11420"/>
          </w:cols>
          <w:pgMar w:left="240" w:top="337"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7"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financial condition and cash flows may be adversely affected.</w:t>
      </w:r>
    </w:p>
    <w:p>
      <w:pPr>
        <w:spacing w:after="0" w:line="2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 significant portion of our contracts use a pricing model that provides for hourly or annual billing rates. Industry pricing models are evolving and clients increasingly request transaction-based, outcome-based or other pricing models. If we make inaccurate assumptions for contracts with such alternative pricing models,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3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addition, for the services we provide to our clients, the revenues and income from such services may decline or vary as the type and volume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operations management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price our services appropriately or manage our asset utilization levels.</w:t>
      </w:r>
    </w:p>
    <w:p>
      <w:pPr>
        <w:spacing w:after="0" w:line="29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(including potential client terminations or reductions in required resources)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cash flows and financial condition.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projects based analytics and consulting services are cyclical involving short-term contracts.</w:t>
      </w:r>
    </w:p>
    <w:p>
      <w:pPr>
        <w:spacing w:after="0" w:line="2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projects based analytics and consulting services are cyclical and can be significantly affected by variations in business cycles. Changes in the deadlines or the scope of work required for compliance with the requirements of legislation applicable to our clients could curtail significantly those service offerings.</w:t>
      </w:r>
    </w:p>
    <w:p>
      <w:pPr>
        <w:spacing w:after="0" w:line="2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projects based analytics and consulting services consists of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experience significant variability and as a result it may be difficult for us to make accurate financial forecasts.</w:t>
      </w:r>
    </w:p>
    <w:p>
      <w:pPr>
        <w:spacing w:after="0" w:line="3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ectPr>
          <w:pgSz w:w="11900" w:h="16838" w:orient="portrait"/>
          <w:cols w:equalWidth="0" w:num="1">
            <w:col w:w="11420"/>
          </w:cols>
          <w:pgMar w:left="240" w:top="337"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37"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 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23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manage our rapid infrastructure and personnel growth effectively could have a material adverse effect on our business, results of operations, financial condition and cash flows.</w:t>
      </w:r>
    </w:p>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Since we were founded in April 1999, we have experienced rapid growth and significantly expanded our operations, and that growth has continued in recent years as well. We have several operations centers in India, the U.S., the Philippines and an operations center in each of the United Kingdom, South Africa, Colombia, Bulgaria, Romania, and the Czech Republic. Further, we have acquired multiple regional offices in the U.S.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between our employee populations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3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3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36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3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completion of some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entire book value of goodwill and other intangible assets from acquisitions.</w:t>
      </w:r>
    </w:p>
    <w:p>
      <w:pPr>
        <w:spacing w:after="0" w:line="2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periodically assess our goodwill and intangible assets to determine if they are impaired and we monitor for impairment of goodwill relating to all acquisitions. Goodwill is not amortized but is tested for impairment at least once on an annual basis in the fourth quarter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 quantitative test to determine whether it is more likely than not that the fair value of a reporting unit is less than its carrying amount. In the event that the carrying amount of goodwill is impaired, any such impairment would be charged to earnings in the period of impairment. Since this involves use of critical accounting estimates, we cannot assure you that future impairment of goodwill will not have a material adverse effect on our business, financial condition or results of operations.</w:t>
      </w: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collect our receivables from, or bill our unbilled services to, our clients, our results of operations and cash flows could be adversely affected.</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We might not accurately assess the creditworthiness of our clients. Macroeconomic conditions, such as any domestic or global credit crisis and disruption or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2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most significant costs are the salaries and related benefits of our operations staff and other employees. For example, wage costs in India and the Philippines have historically been significantly lower than wage costs in the U.S. and Europe for</w:t>
      </w:r>
    </w:p>
    <w:p>
      <w:pPr>
        <w:sectPr>
          <w:pgSz w:w="11900" w:h="16838" w:orient="portrait"/>
          <w:cols w:equalWidth="0" w:num="1">
            <w:col w:w="11420"/>
          </w:cols>
          <w:pgMar w:left="240" w:top="337"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37"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services than for employees performing operations management services. As the scale of our analytics services increases, wages as a percentage of revenues will likely increase.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3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face significant competition from U.S.-based and non-U.S.-based BPM and IT companies and from our clients, who may build shared services centers to perform these services themselves, either in-house, in the U.S. or through offshore groups or other arrangements.</w:t>
      </w:r>
    </w:p>
    <w:p>
      <w:pPr>
        <w:spacing w:after="0" w:line="2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24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gross margins, which could harm our business, results of operations, financial condition and cash flows.</w:t>
      </w:r>
    </w:p>
    <w:p>
      <w:pPr>
        <w:spacing w:after="0" w:line="3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w:t>
      </w:r>
    </w:p>
    <w:p>
      <w:pPr>
        <w:spacing w:after="0" w:line="25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business is dependent on the secure and reliable operation of controls within our and our clients’ information systems and processes, whether operated or executed by our clients themselves or by us in connection with our provision of services to them. Although we believe we take adequate measures to safeguard against system-related and other fraud, there can be no assurance that we would be able to prevent fraud or even detect them on a timely basis, particularly where it relates to our clients’ information systems which are not managed by us. We could incur certain liabilities if a process we manage for a client were to result in internal control failures or processing errors, or impair our client’s ability to comply with its own internal control requirements.</w:t>
      </w:r>
    </w:p>
    <w:p>
      <w:pPr>
        <w:spacing w:after="0" w:line="22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dependence on our offshore operations centers requires us to maintain active voice and data communications among our operations centers, our international technology hubs and our clients’ offices. Although we maintain redundant facilities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as well as for some of the third party technology and platforms we sometimes use to deliver our services.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2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or notification costs relating to data breaches,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6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perform our obligations with clients or vendors, we could face legal liability and our contracts might not always protect us adequately through limitations on the scope and/or amount of our potential liability.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200" w:lineRule="exact"/>
        <w:rPr>
          <w:sz w:val="20"/>
          <w:szCs w:val="20"/>
          <w:color w:val="auto"/>
        </w:rPr>
      </w:pP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 Additionally, we may not be successful in obtaining or maintaining patents or trademarks for which we have applied.</w:t>
      </w:r>
    </w:p>
    <w:p>
      <w:pPr>
        <w:spacing w:after="0" w:line="3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3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deliverables. We may not be successful in defending against such intellectual property claims or in obtaining licenses or an agreement to resolve any</w:t>
      </w:r>
    </w:p>
    <w:p>
      <w:pPr>
        <w:sectPr>
          <w:pgSz w:w="11900" w:h="16838" w:orient="portrait"/>
          <w:cols w:equalWidth="0" w:num="1">
            <w:col w:w="11420"/>
          </w:cols>
          <w:pgMar w:left="240" w:top="337"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37"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 or legal fees and costs. Any such claim for intellectual property infringement may have a material adverse effect on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29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3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Changing laws, regulations and standards relating to accounting, corporate governance and public disclosure, including the Sarbanes-Oxley Act of 2002, the Dodd-Frank Wall Street Reform and Consumer Protection Act (“Dodd Frank”), other SEC regulations, rules and regulations of the Consumer Financial Protection Bureau, Public Company Accounting Oversight Board, and the NASDAQ Global Select Market, and generally accepted accounting principles issued by FASB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23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While we do not anticipate any internal control failures, if we cannot maintain effective internal controls or if management or our independent auditor fail in the future to provide us with an unqualified report as to the adequacy and effectiveness, respectively, of our internal controls over financial reporting for future year ends, it could result in adverse consequences to us, including, but not limited to, a loss of investor confidence in the reliability of our financial statements, which could cause the market price of our stock to decline.</w:t>
      </w:r>
    </w:p>
    <w:p>
      <w:pPr>
        <w:spacing w:after="0" w:line="3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adhere to the regulations or accreditation or licensing standards that govern our business could have an adverse impact on our operations.</w:t>
      </w:r>
    </w:p>
    <w:p>
      <w:pPr>
        <w:spacing w:after="0" w:line="3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clients’ business operations are often subject to regulation and accreditation and licensing standards, and our clients may require that we perform our services in a manner that will enable them to comply with applicable regulations or accreditations or licensing standards.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accreditations, permits and/or licenses for the conduct of our business in all jurisdictions in which we have operations, including India, and, in some cases, where our clients receive our services, including the United States and Europe. If we do not maintain our accreditations,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been expanding the nature and scope of our engagements. Our ability to effectively offer a wider breadth of end-to-end business services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 and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service our debt or obtain additional financing on competitive terms.</w:t>
      </w:r>
    </w:p>
    <w:p>
      <w:pPr>
        <w:spacing w:after="0" w:line="2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 2018, the Company entered into an investment agreement with Orogen Echo LLC (the “Purchaser”), an affiliate of The Orogen Group LLC, relating to the issuance to the Purchaser of $150 million aggregate principal amount of 3.50% Convertible Senior Notes due October 1, 2024 (the “Notes”). The Notes bear interest at a rate of 3.50% per annum, payable semi-annually in arrears in cash on April 1 and October 1 of each year. See Note 18, “Borrowings,” to our consolidated financial statements for key terms of the Notes.</w:t>
      </w:r>
    </w:p>
    <w:p>
      <w:pPr>
        <w:spacing w:after="0" w:line="36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credit agreement for our bank debt facility contains covenants which require, among other things, maintenance of certain financial ratios, indebtedness and also, under certain conditions, restrict our ability to pay dividends, repurchase common shares and make other restricted payments as defined in the credit agreement. The credit agreement provides for a $300 million revolving credit facility including a letter of credit sub-facility. Our credit facility has a maturity date of November 21, 2022 and is voluntarily payable from time to time without premium or penalty.</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cash flow from operations provides the primary source of funds for our debt service payments. If our cash flow from operations declines, we may not be able to service or refinance our current debt which could adversely affect our business and financial condition. In addition, we have limited ability to increase our borrowings under our existing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may in the future require additional financing to fund one or more acquisitions and may not be able to obtain such additional financing on competitive terms or at all, which could restrict our ability to complete such transactions, or could impose financial or operational restrictions on our business.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the ability to use cash to settle the principal amount of the Notes upon conversion or to repurchase the Notes upon a fundamental change, which could result in dilution and could adversely affect our financial condition.</w:t>
      </w:r>
    </w:p>
    <w:p>
      <w:pPr>
        <w:spacing w:after="0" w:line="6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Notes are convertible any time prior to their maturity on October 1, 2024 into cash, stock or a combination of cash and stock at an initial conversion rate set forth in the indenture governing the Notes (the "Indenture"). Notes that are converted in connection with a make-whole fundamental change (as defined in the Indenture) may be entitled to an increase in the conversion rate for such Notes. Upon a conversion event, if we do not have adequate cash available or cannot obtain additional financing, or our use of cash is restricted by applicable law, regulations or agreements governing our current or future indebtedness, we may not be able to use cash to settle the principal amount of the Notes upon conversion. If we settle any portion of the principal amount of the Notes upon conversion in stock, it will result in immediate dilution to existing stockholders and such dilution could be material.</w:t>
      </w:r>
    </w:p>
    <w:p>
      <w:pPr>
        <w:spacing w:after="0" w:line="5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(as defined in the Indenture) at a repurchase price equal to 100% of the principal amount of the Notes to be repurchased, plus accrued and unpaid interest, if any. If we do not have adequate cash available or cannot obtain additional financing, or our use of cash is restricted by applicable law, regulations or agreements governing our current or future indebtedness, we may not be able repurchase the Notes when required under the Indenture, which would constitute an event of default under the Indenture. An event of default under the Indenture could also lead to a default under other agreements governing our current and future indebtedness, and if the repayment of such other indebtedness were accelerated, we may not have sufficient funds to repay the indebtedness and repurchase the Notes or make cash payments upon conversion of the Notes.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the Notes could delay or prevent an attempt to take over our Company.</w:t>
      </w:r>
    </w:p>
    <w:p>
      <w:pPr>
        <w:spacing w:after="0" w:line="18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terms of the Notes require us to repurchase the Notes in the event of a fundamental change. A takeover of our Company would constitute a fundamental change. This could have the effect of delaying or preventing a takeover of our Company that may otherwise be beneficial to our stockholders.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and fluctuations in the market values of our investment and derivatives portfolios.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Any deterioration of the credit and capital markets in the United States,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18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may be required to transition from the use of the LIBOR interest rate index in the future. We could be unable to refinance our outstanding indebtedness on reasonable terms or at all.</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credit facility, which represents a portion of our borrowing, bears interest at a variable rate based on the London Interbank Offered Rate ("LIBOR"). In July 2017, the United Kingdom’s Financial Conduct Authority (“FCA”), which regulates LIBOR, announced that it will no longer persuade or compel banks to submit rates for the calculation of LIBOR to the administrator of LIBOR after 2021. This announcement indicates that the continuation of LIBOR on the current basis cannot and will not be guaranteed after 2021. In June 2017, the Federal Reserve Bank of New York’s Alternative Reference Rates Committee announced the Secured Overnight Financing Rate (“SOFR”) as its recommended alternative to USD LIBOR. However, the composition and characteristics of SOFR are not the same as those of USD LIBOR, and there can be no assurance that SOFR will perform in the same way as LIBOR would have at any time.</w:t>
      </w:r>
    </w:p>
    <w:p>
      <w:pPr>
        <w:spacing w:after="0" w:line="28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If LIBOR ceases to exist, we may need to renegotiate our credit facility and some financing agreements extending beyond 2021 that utilize LIBOR as a factor in determining the interest rate, and may not be able to do so with terms that are favorable to us. We are evaluating the potential impact of the cessation of LIBOR, however, we are not able to predict whether LIBOR will cease to be available or cease to be used (whether before or after 2021), whether SOFR or any other rate will become a widely accepted replacement for LIBOR, or the terms on which we may be able to renegotiate our credit facility and its eventual impact on our interest expense. The overall financing market may be disrupted as a result of the cessation or phase-out of LIBOR. Disruption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financial market or the inability to renegotiate the credit facility with favorable terms could have a material adverse effect on our business, financial position, and operating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U.S. Tax Cuts and Jobs Act of 2017 could materially affect our tax obligations and effective tax rate.</w:t>
      </w:r>
    </w:p>
    <w:p>
      <w:pPr>
        <w:spacing w:after="0" w:line="34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Tax Cuts and Jobs Act of 2017 (the “Tax Reform Act”) was enacted on December 22, 2017, and significantly affected U.S. tax law by changing how the U.S. imposes income tax on multinational corporations. The U.S. Department of Treasury has broad authority to issue regulations and interpretative guidance that may significantly impact how we will apply the law and impact our results of operations in the period issued. The Tax Reform Act requires complex computations not previously provided in U.S. tax law. As such, the application of accounting guidance for such items continues to remain uncertain. Further, compliance with the Tax Reform Act and the accounting for such provisions require accumulation of information not previously required or regularly produced. As a result, we have provided the effect of the Tax Reform Act in our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34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have offices and operations in various countries around the world and provide services to customers globally. We continually evaluate additional locations outside our current operating geographies in which to invest in operations centers, in order to maintain an appropriate cost structure for our clients’ needs. In recent years we have opened new operations centers in countries outside of the U.S.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We may also face difficulties integrating new facilities in different countries into our existing operations.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 and cash flows.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2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Some of the geographies where we operate have stringent employee friendly labor legislation, including legislation that sets forth detailed procedures for dispute resolution, employee separation, as well as imposing financial obligations on employers upon retrenchment. Though we are exempt from some of these labor laws at present under applicable exceptions in relevant jurisdictions,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quarter ended March 31, 2019, there was a judicial pronouncement in India with respect to defined contribution benefits payments interpreting certain statutory defined contribution obligations of employees and employers.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and could have a material adverse effect on our results of operations, financial condition and cash flows.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and cash flows may be adversely affected.</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cash flows and financial condition.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37"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global operations subject us to significant labor and employment risks.</w:t>
      </w:r>
    </w:p>
    <w:p>
      <w:pPr>
        <w:spacing w:after="0" w:line="23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may from time to time be subject to litigation or administrative actions resulting from claims against us by current or former employees, individually or as part of a class action, including for claims of wrongful termination, discrimination (including on grounds of nationality, ethnicity, race, faith, gender, marital status, age or disability), misclassification, redundancy payments described above, or other violations of labor laws, or other alleged conduct. If we are held liable for unpaid compensation, redundancy payments, statutory penalties, and other damages arising out of such actions and litigations, such liabilities could have a material adverse effect on our business, reputation, results of operations, financial condition and cash flows.</w:t>
      </w:r>
    </w:p>
    <w:p>
      <w:pPr>
        <w:spacing w:after="0" w:line="2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2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operations centers in India, which were established in Special Economic Zones (“SEZs”), are eligible for tax incentives until 2025. These operations centers are eligible for a 100% income tax exemption for the first 5 years of operations and 50% exemption for a period of 5 years thereafter. We anticipate establishing additional operations centers in SEZs or other tax advantaged locations in the future.</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our SEZ legislation benefits are phasing out, our Indian tax expense may materially increase and our after-tax profitability may be materially reduced, unless we can obtain comparable benefits under new legislation or otherwise reduce our tax liability. Similarly, alternative minimum taxes are imposed by certain jurisdictions on otherwise exempt income, which may increase our tax expense in future years.</w:t>
      </w:r>
    </w:p>
    <w:p>
      <w:pPr>
        <w:spacing w:after="0" w:line="3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also benefit from a corporate tax holiday in the Philippines for our operations centers established there over the last several years. The tax holiday already expired for few of our centers and will expire in the future for the other centers, which may lead to an increase in our overall tax rate. Following the expiry of the tax exemption, income generated from centers in the Philippines will be taxed at the prevailing annual tax rate.</w:t>
      </w:r>
    </w:p>
    <w:p>
      <w:pPr>
        <w:spacing w:after="0" w:line="1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As a result of the foregoing, our overall effective tax rate may increase in future years and such increase may be material and may have impact on our business, results of operations, financial condition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transfer pricing arrangements we have among our subsidiaries are determined to be inappropriate, our tax liability may increase.</w:t>
      </w:r>
    </w:p>
    <w:p>
      <w:pPr>
        <w:spacing w:after="0" w:line="30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See Note 22 and Note 26 to our consolidated financial statements for details.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Introduction of tax legislation and disputes with tax authorities may have an adverse effect on our operations and our overall effective tax rate.</w:t>
      </w:r>
    </w:p>
    <w:p>
      <w:pPr>
        <w:spacing w:after="0" w:line="3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Governments in countries in which we operate or provide services could enact new tax legislation, which could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our overall tax rate, which would have a material adverse effect on our business, results of operations, financial condition and cash flows.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legal entity rationalization project is an ongoing endeavor to simplify our global legal entity structure, remove redundancies and reduce compliance risks and costs. Furthermore, we also strive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any of these projects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adversely affected if we repatriate funds held by our foreign subsidiaries.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earn a significant amount of our earnings outside of the United States. We do not presently intend to repatriate funds held by our foreign subsidiaries in light of the current regulatory environment (including under the Tax Reform Act) and because our future growth depends in part upon continued infrastructure and technology investments, geographical expansions and acquisitions outside of the U.S. Not all of the undistributed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described in “Management’s Discussion and Analysis of Financial Condition and Results of Operations - Income Taxes” and in Note 22 to our consolidated financial statements contained herein. If we change our present intention and decide to repatriate such earnings, we may have to accrue further taxes associated with such earnings in accordance with local tax laws, rules and regulations in the relevant jurisdictions. All of these risks and uncertainties could have a material adverse effect on our business, results of operations, financial condition and cash flows.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provide services to clients throughout the world, therefore we are subject to numerous, and sometimes conflicting, legal rules on matters as diverse as import/export controls, content requirements, trade restrictions, tariffs, taxation, sanctions, government affairs, internal and disclosure control obligations, data privacy and labor relations. The global nature of our operations increases the difficulty of compliance. Compliance with diverse legal requirements is costly, time-consuming and requires significant resources.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3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it may be difficult to enforce our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ectPr>
          <w:pgSz w:w="11900" w:h="16838" w:orient="portrait"/>
          <w:cols w:equalWidth="0" w:num="1">
            <w:col w:w="11420"/>
          </w:cols>
          <w:pgMar w:left="240" w:top="337"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37"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Currency exchange rate fluctuations in the various currencies in which we do business, especially the Indian rupee and Philippine peso versus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 could have a material adverse effect on our results of operations.</w:t>
      </w:r>
    </w:p>
    <w:p>
      <w:pPr>
        <w:spacing w:after="0" w:line="2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Although we report our operating results in U.S. dollars, a portion of our revenues and expenses are denominated in currencies other than the U.S. dollar. Fluctuations in foreign currency exchange rates can have a number of adverse effects on us. Because our consolidated financial statements are presented in U.S. dollars, we must translate revenues, expenses and income, as well as assets and liabilities, into U.S. dollars at exchange rates in effect during or at the end of each reporting period. The exchange rates among the Indian rupee, Philippine peso and other currencies in which we incur costs or receive revenues and the U.S. dollar have changed substantially in recent years and may fluctuate substantially in the future. See Item 7A-“Quantitative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3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3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June 2016, the U.K. held a referendum in which British citizens approved an exit from the European Union ("EU"),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 have so far mainly focused on finalizing withdrawal issues and transition agreements but have been extremely difficult. To date, only an outline of a trade agreement has been reached. If no trade agreement has been reached before the end of the transitional period, there may be significant market and economic disruption. The UK Prime Minister has indicated that the United Kingdom will not seek to extend the transitional period beyond the end of 2020. The UK Prime Minister has also indicated that the UK will not accept high regulatory alignment with the EU.</w:t>
      </w: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a result of the referendum earlier and the recent exit of the U.K. from the EU, the global markets and currencies have been and may in the future be adversely impacted, including experiencing a decline in the value of the U.K. pound sterling as compared to the U.S. dollar and causing adverse impacts to our U.K. operations and those of our clients. Volatility in exchange rates is expected to continue until transition agreements on trade and regulatory matters are formalized, besides other withdrawal issues. As a result, it is possible that events in the U.K. related to Brexit may adversely affect our financial results, operations and cash flows.</w:t>
      </w:r>
    </w:p>
    <w:p>
      <w:pPr>
        <w:spacing w:after="0" w:line="3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financial condition and cash flows.</w:t>
      </w:r>
    </w:p>
    <w:p>
      <w:pPr>
        <w:spacing w:after="0" w:line="2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Terrorist attacks and other acts of violence or war, including those involving India, the Philippines, the U.S. or other countries, may adversely affect worldwide financial markets and could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3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Many of our operating subsidiaries are incorporated in India, and a substantial portion of our assets and our professionals are located in India. We intend to continue to develop and expand our offshore facilities in India. In the past,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or that any other changes made by the Indian government will be favorable to our operations or business. Recent changes in the leadership of the Indian government, could result in the modification of India’s economic liberalization, deregulation and other policies and disrupt business and economic conditions in India generally and our business in particular. Any such actions could remove benefits currently received by us or impose additional taxes or other obligations on us and therefore negatively impact our business.</w:t>
      </w:r>
    </w:p>
    <w:p>
      <w:pPr>
        <w:spacing w:after="0" w:line="3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0" w:lineRule="exact"/>
        <w:rPr>
          <w:sz w:val="20"/>
          <w:szCs w:val="20"/>
          <w:color w:val="auto"/>
        </w:rPr>
      </w:pPr>
    </w:p>
    <w:p>
      <w:pPr>
        <w:spacing w:after="0" w:line="2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Restrictions on visas and work permits may affect our ability to compete for and provide services to clients in the U.S. and other jurisdictions, which could make it more difficult to staff engagements and could increase our costs, which could have an adverse effect on our net income.</w:t>
      </w:r>
    </w:p>
    <w:p>
      <w:pPr>
        <w:spacing w:after="0" w:line="19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Immigration and work permit laws and regulations in the countries in which we have customers are subject to legislative and administrative changes as well as changes in the application of standards and enforcement.</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ability of some of our executives and employees based in India and other foreign locations to work with and meet clients in the U.S. and other jurisdictions depends on their ability to obtain the necessary visas and work permits. In recent years, immigration authorities, in the U.S.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professionals.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operations, financial condition and cash flows.</w:t>
      </w:r>
    </w:p>
    <w:p>
      <w:pPr>
        <w:spacing w:after="0" w:line="23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operations centers and our data and voice communications, particularly in India and the Philippines, may be damaged or disrupted as a result of natural disasters such as earthquakes, floods, volcano eruptions, heavy rains, epidemics or pandemics, tsunamis and cyclones, technical disruptions such as electricity or infrastructure breakdowns, including damage to telecommunications cables, computer glitches and electronic viruses or man-made events such as protests, 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services would also entitle our clients to terminate their contracts with us. Any of the above factors may adversely affect our business, results of operations, financial condition and cash flows.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primary operating subsidiaries are organized outside the U.S. and some of our executive officers may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3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34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3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ectPr>
          <w:pgSz w:w="11900" w:h="16838" w:orient="portrait"/>
          <w:cols w:equalWidth="0" w:num="1">
            <w:col w:w="11420"/>
          </w:cols>
          <w:pgMar w:left="240" w:top="337"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37"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continues to be volatile.</w:t>
      </w:r>
    </w:p>
    <w:p>
      <w:pPr>
        <w:spacing w:after="0" w:line="2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this may have a materially adverse effect on the trading price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subject to rapid technological change, and we may not be successful in addressing these changes.</w:t>
      </w:r>
    </w:p>
    <w:p>
      <w:pPr>
        <w:spacing w:after="0" w:line="30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industry is characterized by rapid technological change, evolving industry standards, changing client preferences and new product introductions. The success of our business depends, in part, upon our ability to develop services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the past year there have been high-profile movements among activists as well as executive and legislative leadership in the U.S. with the potential to restrict or reduce the use of offshore resources.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35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with facilities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2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other countries, such as the U.K., there has also been some negative publicity and concern expressed regarding the possible effect of job losses caused by outsourcing. Legislation enacted in the U.K.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w:t>
      </w:r>
    </w:p>
    <w:p>
      <w:pPr>
        <w:sectPr>
          <w:pgSz w:w="11900" w:h="16838" w:orient="portrait"/>
          <w:cols w:equalWidth="0" w:num="1">
            <w:col w:w="11420"/>
          </w:cols>
          <w:pgMar w:left="240" w:top="337"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37"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future contracts with clients or if the existing indemnification is not enforceable or available, we may be liable under those agreements we enter into with clients in the U.K. and other European jurisdictions.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typically required to process, and sometimes collect and/or store sensitive data, including data regulated by the U.S. Health Insurance Portability and Accountability Act of 1996, as amended,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including the GDPR and CCPA, in the countries in which we operate, and the failure to comply could result in significant fines and penalties. In addition, many of our agreements with our clients do not include any limitation on our liability to them with respect to breaches of our obligation to keep the information we receive from them confidential.</w:t>
      </w:r>
    </w:p>
    <w:p>
      <w:pPr>
        <w:spacing w:after="0" w:line="36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Although we devote substantial resources to protect our information assets and our clients' confidential information, any network infrastructure are subject to be vulnerable to rapidly evolving cyber-attacks, and our user data and corporate systems and security measures may be breached due to the actions of outside parties (including cyber-attacks),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34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36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any person, including any of our employees, is able to penetrate our perimeter or internal network security, computing infrastructure or otherwise mismanages or misappropriates sensitive data, discloses or distributes any such data in an unauthorized manner, we could be subject to significant liability and lawsuits from our clients or their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Cyber-attacks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3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corporate headquarters are located in New York, New York. We have twenty six operations centers in India, six operations centers in the Philippines and one operations center in each of Bulgaria, Colombia, the Czech Republic, Romania and South Africa with an aggregate area of approximately 2,020,000 square feet and a current installed capacity of approximately 31,000 workstations, including workstations for training and our employees in enabling functions. We also have multiple operations centers and regional offices in the U.S. and an operations center in the U.K.</w:t>
      </w:r>
    </w:p>
    <w:p>
      <w:pPr>
        <w:sectPr>
          <w:pgSz w:w="11900" w:h="16838" w:orient="portrait"/>
          <w:cols w:equalWidth="0" w:num="1">
            <w:col w:w="11420"/>
          </w:cols>
          <w:pgMar w:left="240" w:top="337"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corporate headquarters and all of our operations centers are leased under long-term leases with varying expiration dates, except for an operations center in Pune, India with an area of 86,361 sq. ft. and containing approximately 1,650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26 to our consolidated financial statements contained herein for details regarding our tax proceedings.</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February 25, 2020, there were 24 holders of record of our outstanding common stock. A substantially greater number of holders of our common stock are “street name” or beneficial holders, whose shares of record are held by banks, brokers, and other financial institutions.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anticipate paying any cash dividends in the foreseeable future.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authorized stock repurchases of up to $40 million in each of 2018 and 2019.</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structured open market purchases under the 2017 Repurchase Program to comply with Rule 10b-18 under the Exchange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Repurchases may be discontinued at any time by management.</w:t>
      </w:r>
    </w:p>
    <w:p>
      <w:pPr>
        <w:spacing w:after="0" w:line="1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16, 2019, the Company’s Board of Directors authorized a $200 million common stock repurchase program beginning January 1, 2020 through December 31, 2022. The shares may be purchased by the Company from time to time from the open market and through private transactions, or otherwise, as determined by the Company’s management as market conditions warrant.</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under the 2017 Repurchase Program are recorded as treasury shares and are held until our Board of Directors designates that these shares be retired or used for other purposes.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regarding the purchase of equity securities by the Company during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Total Number of Shares</w:t>
            </w: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as Part of</w:t>
            </w: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Publicly</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18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 Price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Purchased</w:t>
            </w:r>
          </w:p>
        </w:tc>
        <w:tc>
          <w:tcPr>
            <w:tcW w:w="24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Paid per share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Pr>
          <w:p>
            <w:pPr>
              <w:spacing w:after="0"/>
              <w:rPr>
                <w:sz w:val="20"/>
                <w:szCs w:val="20"/>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Programs</w:t>
            </w:r>
          </w:p>
        </w:tc>
      </w:tr>
      <w:tr>
        <w:trPr>
          <w:trHeight w:val="27"/>
        </w:trPr>
        <w:tc>
          <w:tcPr>
            <w:tcW w:w="3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2019 through October 31,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2,826,599</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November 1, 2019 through November</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7"/>
        </w:trPr>
        <w:tc>
          <w:tcPr>
            <w:tcW w:w="3180" w:type="dxa"/>
            <w:vAlign w:val="bottom"/>
          </w:tcPr>
          <w:p>
            <w:pPr>
              <w:ind w:left="20"/>
              <w:spacing w:after="0" w:line="257" w:lineRule="exact"/>
              <w:rPr>
                <w:sz w:val="20"/>
                <w:szCs w:val="20"/>
                <w:color w:val="auto"/>
              </w:rPr>
            </w:pPr>
            <w:r>
              <w:rPr>
                <w:rFonts w:ascii="Arial" w:cs="Arial" w:eastAsia="Arial" w:hAnsi="Arial"/>
                <w:sz w:val="18"/>
                <w:szCs w:val="18"/>
                <w:color w:val="auto"/>
              </w:rPr>
              <w:t>30, 2019</w:t>
            </w:r>
            <w:r>
              <w:rPr>
                <w:rFonts w:ascii="Arial" w:cs="Arial" w:eastAsia="Arial" w:hAnsi="Arial"/>
                <w:sz w:val="25"/>
                <w:szCs w:val="25"/>
                <w:color w:val="auto"/>
                <w:vertAlign w:val="superscript"/>
              </w:rPr>
              <w:t>(1)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21,451</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69.42</w:t>
            </w:r>
          </w:p>
        </w:tc>
        <w:tc>
          <w:tcPr>
            <w:tcW w:w="120" w:type="dxa"/>
            <w:vAlign w:val="bottom"/>
          </w:tcPr>
          <w:p>
            <w:pPr>
              <w:spacing w:after="0"/>
              <w:rPr>
                <w:sz w:val="22"/>
                <w:szCs w:val="22"/>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1,382,577</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2019 through December</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57"/>
        </w:trPr>
        <w:tc>
          <w:tcPr>
            <w:tcW w:w="318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31, 2019</w:t>
            </w:r>
            <w:r>
              <w:rPr>
                <w:rFonts w:ascii="Arial" w:cs="Arial" w:eastAsia="Arial" w:hAnsi="Arial"/>
                <w:sz w:val="25"/>
                <w:szCs w:val="25"/>
                <w:color w:val="auto"/>
                <w:vertAlign w:val="superscript"/>
              </w:rPr>
              <w:t>(1)</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18,521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69.84</w:t>
            </w:r>
          </w:p>
        </w:tc>
        <w:tc>
          <w:tcPr>
            <w:tcW w:w="120" w:type="dxa"/>
            <w:vAlign w:val="bottom"/>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17,979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126,644</w:t>
            </w:r>
          </w:p>
        </w:tc>
      </w:tr>
      <w:tr>
        <w:trPr>
          <w:trHeight w:val="257"/>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80,910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67.73</w:t>
            </w:r>
          </w:p>
        </w:tc>
        <w:tc>
          <w:tcPr>
            <w:tcW w:w="120" w:type="dxa"/>
            <w:vAlign w:val="bottom"/>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55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40" w:lineRule="exact"/>
        <w:rPr>
          <w:sz w:val="20"/>
          <w:szCs w:val="20"/>
          <w:color w:val="auto"/>
        </w:rPr>
      </w:pPr>
    </w:p>
    <w:p>
      <w:pPr>
        <w:jc w:val="both"/>
        <w:ind w:left="660" w:hanging="242"/>
        <w:spacing w:after="0" w:line="270" w:lineRule="auto"/>
        <w:rPr>
          <w:sz w:val="20"/>
          <w:szCs w:val="20"/>
          <w:color w:val="auto"/>
        </w:rPr>
      </w:pPr>
      <w:r>
        <w:rPr>
          <w:rFonts w:ascii="Arial" w:cs="Arial" w:eastAsia="Arial" w:hAnsi="Arial"/>
          <w:sz w:val="14"/>
          <w:szCs w:val="14"/>
          <w:i w:val="1"/>
          <w:iCs w:val="1"/>
          <w:color w:val="auto"/>
        </w:rPr>
        <w:t>(1</w:t>
      </w:r>
      <w:r>
        <w:rPr>
          <w:rFonts w:ascii="Arial" w:cs="Arial" w:eastAsia="Arial" w:hAnsi="Arial"/>
          <w:sz w:val="16"/>
          <w:szCs w:val="16"/>
          <w:i w:val="1"/>
          <w:iCs w:val="1"/>
          <w:color w:val="auto"/>
        </w:rPr>
        <w:t>) Includes 1,193 shares of the Company’s common stock acquired by the Company at the price of $69.30 in connection with satisfaction of tax withholding obligations</w:t>
      </w:r>
      <w:r>
        <w:rPr>
          <w:rFonts w:ascii="Arial" w:cs="Arial" w:eastAsia="Arial" w:hAnsi="Arial"/>
          <w:sz w:val="14"/>
          <w:szCs w:val="14"/>
          <w:i w:val="1"/>
          <w:iCs w:val="1"/>
          <w:color w:val="auto"/>
        </w:rPr>
        <w:t xml:space="preserve"> </w:t>
      </w:r>
      <w:r>
        <w:rPr>
          <w:rFonts w:ascii="Arial" w:cs="Arial" w:eastAsia="Arial" w:hAnsi="Arial"/>
          <w:sz w:val="16"/>
          <w:szCs w:val="16"/>
          <w:i w:val="1"/>
          <w:iCs w:val="1"/>
          <w:color w:val="auto"/>
        </w:rPr>
        <w:t>on vested restricted stock. Price paid per share for the restricted stock was the average of high and low price of common stock on the trading day prior to the vesting date of the restricted stock units.</w:t>
      </w:r>
    </w:p>
    <w:p>
      <w:pPr>
        <w:spacing w:after="0" w:line="17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During the year ended December 31, 2019, the Company purchased 643,486 shares of its common stock under the 2017 Repurchase Program, for an aggregate purchase price of approximately $39.9 million including commissions, representing an average purchase price per share of $61.96.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year ended December 31, 2019, the Company purchased 23,859 shares from employees in connection with withholding tax payments related to the vesting of restricted stock units for a total consideration of $1.5 million. The weighted average purchase price of $62.47 was the closing price of the Company’s shares of common stock on the Nasdaq Global Select Market on the trading day prior to the vesting date of the shares of restricted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 provides information as of December 31, 2019 with respect to the shares of our common stock that may be issued under our existing equity compensation plans. For a description of our equity compensation plans, see Note 23 to our consolidated financial statements.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50" w:lineRule="exact"/>
        <w:rPr>
          <w:sz w:val="20"/>
          <w:szCs w:val="20"/>
          <w:color w:val="auto"/>
        </w:rPr>
      </w:pPr>
    </w:p>
    <w:p>
      <w:pPr>
        <w:ind w:left="40" w:right="280"/>
        <w:spacing w:after="0" w:line="277" w:lineRule="auto"/>
        <w:rPr>
          <w:sz w:val="20"/>
          <w:szCs w:val="20"/>
          <w:color w:val="auto"/>
        </w:rPr>
      </w:pPr>
      <w:r>
        <w:rPr>
          <w:rFonts w:ascii="Arial" w:cs="Arial" w:eastAsia="Arial" w:hAnsi="Arial"/>
          <w:sz w:val="18"/>
          <w:szCs w:val="18"/>
          <w:color w:val="auto"/>
        </w:rPr>
        <w:t>Equity compensation plans approved by security holders</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Equity compensation plans not approved by security holders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Securities</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Issued Upon</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 Exercise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 Future</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Exercise/Vesting of</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of</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Issuance Under Equity</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Plans (Excluding</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 Warrants and</w:t>
            </w:r>
          </w:p>
        </w:tc>
        <w:tc>
          <w:tcPr>
            <w:tcW w:w="1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 Warrants and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Rights*</w:t>
            </w:r>
          </w:p>
        </w:tc>
        <w:tc>
          <w:tcPr>
            <w:tcW w:w="12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Rights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1)</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439"/>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1,353,880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80" w:type="dxa"/>
            <w:vAlign w:val="bottom"/>
          </w:tcPr>
          <w:p>
            <w:pPr>
              <w:spacing w:after="0"/>
              <w:rPr>
                <w:sz w:val="24"/>
                <w:szCs w:val="24"/>
                <w:color w:val="auto"/>
              </w:rPr>
            </w:pP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2,785,763</w:t>
            </w:r>
          </w:p>
        </w:tc>
      </w:tr>
      <w:tr>
        <w:trPr>
          <w:trHeight w:val="486"/>
        </w:trPr>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1,353,880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80" w:type="dxa"/>
            <w:vAlign w:val="bottom"/>
          </w:tcPr>
          <w:p>
            <w:pPr>
              <w:spacing w:after="0"/>
              <w:rPr>
                <w:sz w:val="20"/>
                <w:szCs w:val="20"/>
                <w:color w:val="auto"/>
              </w:rPr>
            </w:pP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2,785,763</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-822960</wp:posOffset>
            </wp:positionV>
            <wp:extent cx="722947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-205105</wp:posOffset>
            </wp:positionV>
            <wp:extent cx="722947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40"/>
            <w:col w:w="7460"/>
          </w:cols>
          <w:pgMar w:left="240" w:top="337" w:right="239" w:bottom="1440" w:gutter="0" w:footer="0" w:header="0"/>
          <w:type w:val="continuous"/>
        </w:sectPr>
      </w:pPr>
    </w:p>
    <w:p>
      <w:pPr>
        <w:spacing w:after="0" w:line="114" w:lineRule="exact"/>
        <w:rPr>
          <w:sz w:val="20"/>
          <w:szCs w:val="20"/>
          <w:color w:val="auto"/>
        </w:rPr>
      </w:pPr>
    </w:p>
    <w:p>
      <w:pPr>
        <w:ind w:left="420" w:hanging="412"/>
        <w:spacing w:after="0" w:line="275" w:lineRule="auto"/>
        <w:tabs>
          <w:tab w:leader="none" w:pos="420" w:val="left"/>
        </w:tabs>
        <w:numPr>
          <w:ilvl w:val="0"/>
          <w:numId w:val="9"/>
        </w:numPr>
        <w:rPr>
          <w:rFonts w:ascii="Arial" w:cs="Arial" w:eastAsia="Arial" w:hAnsi="Arial"/>
          <w:sz w:val="14"/>
          <w:szCs w:val="14"/>
          <w:i w:val="1"/>
          <w:iCs w:val="1"/>
          <w:color w:val="auto"/>
        </w:rPr>
      </w:pPr>
      <w:r>
        <w:rPr>
          <w:rFonts w:ascii="Arial" w:cs="Arial" w:eastAsia="Arial" w:hAnsi="Arial"/>
          <w:sz w:val="16"/>
          <w:szCs w:val="16"/>
          <w:i w:val="1"/>
          <w:iCs w:val="1"/>
          <w:color w:val="auto"/>
        </w:rPr>
        <w:t>This includes outstanding options and unvested Restricted Stock Units, which include Time-Based Restricted Stock Units and Performance Restricted Stock Units. See Note 23 to our consolidated financial statements for further details.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2014.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2014 and that all dividends were reinvested. The stock performance shown on the graph below is not indicative of future price performance.</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48895</wp:posOffset>
            </wp:positionV>
            <wp:extent cx="5591175" cy="4056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following table sets forth our selected consolidated historical financial data as of the dates and for the periods indicated. Our selected consolidated financial data set forth below as of December 31, 2019 and 2018 and for each of the three years in the period ended December 31, 2019 has been derived from our consolidated financial statements included elsewhere in this Annual Report on Form 10-K. Our selected consolidated financial data set forth below as of December 31, 2017, 2016 and 2015 and for years ended December 31, 2016 and 2015 is derived from our audited financial statements, which are not included in this Annual Report on Form 10-K. Our selected consolidated financial information for 2019, 2018 and 2017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83"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62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3" w:lineRule="exact"/>
        <w:rPr>
          <w:sz w:val="20"/>
          <w:szCs w:val="20"/>
          <w:color w:val="auto"/>
        </w:rPr>
      </w:pPr>
    </w:p>
    <w:p>
      <w:pPr>
        <w:ind w:left="5180"/>
        <w:spacing w:after="0"/>
        <w:tabs>
          <w:tab w:leader="none" w:pos="6420" w:val="left"/>
          <w:tab w:leader="none" w:pos="7880" w:val="left"/>
          <w:tab w:leader="none" w:pos="9220" w:val="left"/>
          <w:tab w:leader="none" w:pos="106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 (3)</w:t>
      </w:r>
      <w:r>
        <w:rPr>
          <w:sz w:val="20"/>
          <w:szCs w:val="20"/>
          <w:color w:val="auto"/>
        </w:rPr>
        <w:tab/>
      </w:r>
      <w:r>
        <w:rPr>
          <w:rFonts w:ascii="Arial" w:cs="Arial" w:eastAsia="Arial" w:hAnsi="Arial"/>
          <w:sz w:val="14"/>
          <w:szCs w:val="14"/>
          <w:b w:val="1"/>
          <w:bCs w:val="1"/>
          <w:color w:val="auto"/>
        </w:rPr>
        <w:t>2017</w:t>
      </w:r>
      <w:r>
        <w:rPr>
          <w:rFonts w:ascii="Arial" w:cs="Arial" w:eastAsia="Arial" w:hAnsi="Arial"/>
          <w:sz w:val="8"/>
          <w:szCs w:val="8"/>
          <w:b w:val="1"/>
          <w:bCs w:val="1"/>
          <w:color w:val="auto"/>
        </w:rPr>
        <w:t>(3)</w:t>
      </w:r>
      <w:r>
        <w:rPr>
          <w:sz w:val="20"/>
          <w:szCs w:val="20"/>
          <w:color w:val="auto"/>
        </w:rPr>
        <w:tab/>
      </w: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62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89"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Consolidated Statements of Income Data </w:t>
      </w:r>
      <w:r>
        <w:rPr>
          <w:rFonts w:ascii="Arial" w:cs="Arial" w:eastAsia="Arial" w:hAnsi="Arial"/>
          <w:sz w:val="8"/>
          <w:szCs w:val="8"/>
          <w:b w:val="1"/>
          <w:bCs w:val="1"/>
          <w:color w:val="auto"/>
        </w:rPr>
        <w:t>(1)</w:t>
      </w:r>
    </w:p>
    <w:p>
      <w:pPr>
        <w:sectPr>
          <w:pgSz w:w="11900" w:h="16838" w:orient="portrait"/>
          <w:cols w:equalWidth="0" w:num="1">
            <w:col w:w="11420"/>
          </w:cols>
          <w:pgMar w:left="240" w:top="337" w:right="239" w:bottom="1440" w:gutter="0" w:footer="0" w:header="0"/>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8"/>
          <w:szCs w:val="8"/>
          <w:color w:val="auto"/>
        </w:rPr>
        <w:t>(2)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Gross profit </w:t>
      </w:r>
      <w:r>
        <w:rPr>
          <w:rFonts w:ascii="Arial" w:cs="Arial" w:eastAsia="Arial" w:hAnsi="Arial"/>
          <w:sz w:val="8"/>
          <w:szCs w:val="8"/>
          <w:color w:val="auto"/>
        </w:rPr>
        <w:t>(2)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General and administrative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Selling and marketing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Depreciation and amortization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and restructuring charges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gain,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net</w:t>
      </w:r>
    </w:p>
    <w:p>
      <w:pPr>
        <w:spacing w:after="0" w:line="109" w:lineRule="exact"/>
        <w:rPr>
          <w:sz w:val="20"/>
          <w:szCs w:val="20"/>
          <w:color w:val="auto"/>
        </w:rPr>
      </w:pPr>
    </w:p>
    <w:p>
      <w:pPr>
        <w:ind w:left="40" w:right="220"/>
        <w:spacing w:after="0" w:line="402" w:lineRule="auto"/>
        <w:rPr>
          <w:sz w:val="20"/>
          <w:szCs w:val="20"/>
          <w:color w:val="auto"/>
        </w:rPr>
      </w:pPr>
      <w:r>
        <w:rPr>
          <w:rFonts w:ascii="Arial" w:cs="Arial" w:eastAsia="Arial" w:hAnsi="Arial"/>
          <w:sz w:val="14"/>
          <w:szCs w:val="14"/>
          <w:color w:val="auto"/>
        </w:rPr>
        <w:t>Income before income tax expense and earnings from equity affiliates Income tax expense</w:t>
      </w:r>
    </w:p>
    <w:p>
      <w:pPr>
        <w:spacing w:after="0" w:line="1" w:lineRule="exact"/>
        <w:rPr>
          <w:sz w:val="20"/>
          <w:szCs w:val="20"/>
          <w:color w:val="auto"/>
        </w:rPr>
      </w:pPr>
    </w:p>
    <w:p>
      <w:pPr>
        <w:ind w:left="40" w:right="1640"/>
        <w:spacing w:after="0" w:line="433" w:lineRule="auto"/>
        <w:rPr>
          <w:sz w:val="20"/>
          <w:szCs w:val="20"/>
          <w:color w:val="auto"/>
        </w:rPr>
      </w:pPr>
      <w:r>
        <w:rPr>
          <w:rFonts w:ascii="Arial" w:cs="Arial" w:eastAsia="Arial" w:hAnsi="Arial"/>
          <w:sz w:val="13"/>
          <w:szCs w:val="13"/>
          <w:color w:val="auto"/>
        </w:rPr>
        <w:t>Income before earnings from equity affiliates Loss from equity-method investment</w:t>
      </w:r>
    </w:p>
    <w:p>
      <w:pPr>
        <w:spacing w:after="0" w:line="1" w:lineRule="exact"/>
        <w:rPr>
          <w:sz w:val="20"/>
          <w:szCs w:val="20"/>
          <w:color w:val="auto"/>
        </w:rPr>
      </w:pPr>
    </w:p>
    <w:p>
      <w:pPr>
        <w:ind w:left="40"/>
        <w:spacing w:after="0" w:line="416" w:lineRule="auto"/>
        <w:rPr>
          <w:sz w:val="20"/>
          <w:szCs w:val="20"/>
          <w:color w:val="auto"/>
        </w:rPr>
      </w:pPr>
      <w:r>
        <w:rPr>
          <w:rFonts w:ascii="Arial" w:cs="Arial" w:eastAsia="Arial" w:hAnsi="Arial"/>
          <w:sz w:val="14"/>
          <w:szCs w:val="14"/>
          <w:color w:val="auto"/>
        </w:rPr>
        <w:t>Net income attributable to ExlService Holdings, Inc. stockholders Earnings per share attributable to ExlService Holdings, Inc. stockholders: Basic</w:t>
      </w:r>
    </w:p>
    <w:p>
      <w:pPr>
        <w:ind w:left="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Weighted-average number of shares used in computing earnings per share attributable to ExlService Holdings Inc. stockholders: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991.3</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883.1</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762.3</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686.0</w:t>
            </w:r>
          </w:p>
        </w:tc>
        <w:tc>
          <w:tcPr>
            <w:tcW w:w="12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628.5</w:t>
            </w:r>
          </w:p>
        </w:tc>
      </w:tr>
      <w:tr>
        <w:trPr>
          <w:trHeight w:val="276"/>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495.1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402.9</w:t>
            </w:r>
          </w:p>
        </w:tc>
      </w:tr>
      <w:tr>
        <w:trPr>
          <w:trHeight w:val="244"/>
        </w:trPr>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225.6</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77.3</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49.5</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31.5</w:t>
            </w:r>
          </w:p>
        </w:tc>
      </w:tr>
      <w:tr>
        <w:trPr>
          <w:trHeight w:val="276"/>
        </w:trPr>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4"/>
        </w:trPr>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67.3</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244"/>
        </w:trPr>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75.8</w:t>
            </w:r>
          </w:p>
        </w:tc>
      </w:tr>
      <w:tr>
        <w:trPr>
          <w:trHeight w:val="276"/>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r>
      <w:tr>
        <w:trPr>
          <w:trHeight w:val="244"/>
        </w:trPr>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51.6</w:t>
            </w:r>
          </w:p>
        </w:tc>
      </w:tr>
      <w:tr>
        <w:trPr>
          <w:trHeight w:val="276"/>
        </w:trPr>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51.6</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1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-3070225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-2727325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-2384425</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-2041525</wp:posOffset>
            </wp:positionV>
            <wp:extent cx="72377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-1724025</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-1381125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-1038225</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-694690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-334645</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7620</wp:posOffset>
            </wp:positionV>
            <wp:extent cx="723773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4280" w:space="420"/>
            <w:col w:w="672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840" w:type="dxa"/>
            <w:vAlign w:val="bottom"/>
          </w:tcPr>
          <w:p>
            <w:pPr>
              <w:ind w:left="40"/>
              <w:spacing w:after="0"/>
              <w:rPr>
                <w:sz w:val="20"/>
                <w:szCs w:val="20"/>
                <w:color w:val="auto"/>
              </w:rPr>
            </w:pPr>
            <w:r>
              <w:rPr>
                <w:rFonts w:ascii="Arial" w:cs="Arial" w:eastAsia="Arial" w:hAnsi="Arial"/>
                <w:sz w:val="14"/>
                <w:szCs w:val="14"/>
                <w:color w:val="auto"/>
              </w:rPr>
              <w:t>Basic</w:t>
            </w:r>
          </w:p>
        </w:tc>
        <w:tc>
          <w:tcPr>
            <w:tcW w:w="3380" w:type="dxa"/>
            <w:vAlign w:val="bottom"/>
            <w:vMerge w:val="restart"/>
          </w:tcPr>
          <w:p>
            <w:pPr>
              <w:jc w:val="right"/>
              <w:ind w:right="308"/>
              <w:spacing w:after="0"/>
              <w:rPr>
                <w:sz w:val="20"/>
                <w:szCs w:val="20"/>
                <w:color w:val="auto"/>
              </w:rPr>
            </w:pPr>
            <w:r>
              <w:rPr>
                <w:rFonts w:ascii="Arial" w:cs="Arial" w:eastAsia="Arial" w:hAnsi="Arial"/>
                <w:sz w:val="14"/>
                <w:szCs w:val="14"/>
                <w:color w:val="auto"/>
              </w:rPr>
              <w:t>34,350,150</w:t>
            </w: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color w:val="auto"/>
              </w:rPr>
              <w:t>34,451,008</w:t>
            </w: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color w:val="auto"/>
              </w:rPr>
              <w:t>33,897,916</w:t>
            </w:r>
          </w:p>
        </w:tc>
        <w:tc>
          <w:tcPr>
            <w:tcW w:w="1340" w:type="dxa"/>
            <w:vAlign w:val="bottom"/>
            <w:vMerge w:val="restart"/>
          </w:tcPr>
          <w:p>
            <w:pPr>
              <w:jc w:val="right"/>
              <w:ind w:right="268"/>
              <w:spacing w:after="0"/>
              <w:rPr>
                <w:sz w:val="20"/>
                <w:szCs w:val="20"/>
                <w:color w:val="auto"/>
              </w:rPr>
            </w:pPr>
            <w:r>
              <w:rPr>
                <w:rFonts w:ascii="Arial" w:cs="Arial" w:eastAsia="Arial" w:hAnsi="Arial"/>
                <w:sz w:val="14"/>
                <w:szCs w:val="14"/>
                <w:color w:val="auto"/>
              </w:rPr>
              <w:t>33,566,367</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33,298,104</w:t>
            </w:r>
          </w:p>
        </w:tc>
        <w:tc>
          <w:tcPr>
            <w:tcW w:w="0" w:type="dxa"/>
            <w:vAlign w:val="bottom"/>
          </w:tcPr>
          <w:p>
            <w:pPr>
              <w:spacing w:after="0"/>
              <w:rPr>
                <w:sz w:val="1"/>
                <w:szCs w:val="1"/>
                <w:color w:val="auto"/>
              </w:rPr>
            </w:pPr>
          </w:p>
        </w:tc>
      </w:tr>
      <w:tr>
        <w:trPr>
          <w:trHeight w:val="74"/>
        </w:trPr>
        <w:tc>
          <w:tcPr>
            <w:tcW w:w="284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33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34,732,683</w:t>
            </w:r>
          </w:p>
        </w:tc>
        <w:tc>
          <w:tcPr>
            <w:tcW w:w="13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35,030,984</w:t>
            </w:r>
          </w:p>
        </w:tc>
        <w:tc>
          <w:tcPr>
            <w:tcW w:w="136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35,110,210</w:t>
            </w:r>
          </w:p>
        </w:tc>
        <w:tc>
          <w:tcPr>
            <w:tcW w:w="13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34,563,319</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34,178,340</w:t>
            </w:r>
          </w:p>
        </w:tc>
        <w:tc>
          <w:tcPr>
            <w:tcW w:w="0" w:type="dxa"/>
            <w:vAlign w:val="bottom"/>
          </w:tcPr>
          <w:p>
            <w:pPr>
              <w:spacing w:after="0"/>
              <w:rPr>
                <w:sz w:val="1"/>
                <w:szCs w:val="1"/>
                <w:color w:val="auto"/>
              </w:rPr>
            </w:pPr>
          </w:p>
        </w:tc>
      </w:tr>
      <w:tr>
        <w:trPr>
          <w:trHeight w:val="80"/>
        </w:trPr>
        <w:tc>
          <w:tcPr>
            <w:tcW w:w="2840" w:type="dxa"/>
            <w:vAlign w:val="bottom"/>
            <w:shd w:val="clear" w:color="auto" w:fill="CCEEFF"/>
          </w:tcPr>
          <w:p>
            <w:pPr>
              <w:spacing w:after="0"/>
              <w:rPr>
                <w:sz w:val="6"/>
                <w:szCs w:val="6"/>
                <w:color w:val="auto"/>
              </w:rPr>
            </w:pPr>
          </w:p>
        </w:tc>
        <w:tc>
          <w:tcPr>
            <w:tcW w:w="338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40" w:hanging="205"/>
        <w:spacing w:after="0"/>
        <w:tabs>
          <w:tab w:leader="none" w:pos="2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Results of operations of acquired businesses have been recorded in the financial statements since the date of acquisition. Refer to Note 10 to the consolidated financial statements.</w:t>
      </w:r>
    </w:p>
    <w:p>
      <w:pPr>
        <w:spacing w:after="0" w:line="109" w:lineRule="exact"/>
        <w:rPr>
          <w:rFonts w:ascii="Arial" w:cs="Arial" w:eastAsia="Arial" w:hAnsi="Arial"/>
          <w:sz w:val="14"/>
          <w:szCs w:val="14"/>
          <w:i w:val="1"/>
          <w:iCs w:val="1"/>
          <w:color w:val="auto"/>
        </w:rPr>
      </w:pPr>
    </w:p>
    <w:p>
      <w:pPr>
        <w:ind w:left="240" w:hanging="205"/>
        <w:spacing w:after="0"/>
        <w:tabs>
          <w:tab w:leader="none" w:pos="2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Exclusive of depreciation and amortization expense.</w:t>
      </w:r>
    </w:p>
    <w:p>
      <w:pPr>
        <w:spacing w:after="0" w:line="41" w:lineRule="exact"/>
        <w:rPr>
          <w:rFonts w:ascii="Arial" w:cs="Arial" w:eastAsia="Arial" w:hAnsi="Arial"/>
          <w:sz w:val="14"/>
          <w:szCs w:val="14"/>
          <w:i w:val="1"/>
          <w:iCs w:val="1"/>
          <w:color w:val="auto"/>
        </w:rPr>
      </w:pPr>
    </w:p>
    <w:p>
      <w:pPr>
        <w:ind w:left="40" w:right="40" w:hanging="5"/>
        <w:spacing w:after="0" w:line="253" w:lineRule="auto"/>
        <w:tabs>
          <w:tab w:leader="none" w:pos="27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Adjusted pursuant to adoption of ASU No. 2017-07, Improving the Presentation of Net Periodic Pension Cost and Net Periodic Post-retirement Benefit Cost. Refer to Note 27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3773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85725"/>
                    </a:xfrm>
                    <a:prstGeom prst="rect">
                      <a:avLst/>
                    </a:prstGeom>
                    <a:noFill/>
                  </pic:spPr>
                </pic:pic>
              </a:graphicData>
            </a:graphic>
          </wp:anchor>
        </w:drawing>
      </w:r>
    </w:p>
    <w:p>
      <w:pPr>
        <w:spacing w:after="0" w:line="177"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03" w:lineRule="exact"/>
        <w:rPr>
          <w:sz w:val="20"/>
          <w:szCs w:val="20"/>
          <w:color w:val="auto"/>
        </w:rPr>
      </w:pPr>
    </w:p>
    <w:p>
      <w:pPr>
        <w:ind w:left="5180"/>
        <w:spacing w:after="0"/>
        <w:tabs>
          <w:tab w:leader="none" w:pos="6560" w:val="left"/>
          <w:tab w:leader="none" w:pos="7940" w:val="left"/>
          <w:tab w:leader="none" w:pos="9300" w:val="left"/>
          <w:tab w:leader="none" w:pos="106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62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89"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Balance Sheets Data:</w:t>
      </w:r>
    </w:p>
    <w:p>
      <w:pPr>
        <w:sectPr>
          <w:pgSz w:w="11900" w:h="16838" w:orient="portrait"/>
          <w:cols w:equalWidth="0" w:num="1">
            <w:col w:w="11420"/>
          </w:cols>
          <w:pgMar w:left="240" w:top="337" w:right="239" w:bottom="1440" w:gutter="0" w:footer="0" w:header="0"/>
          <w:type w:val="continuous"/>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Cash and cash equivalents </w:t>
      </w:r>
      <w:r>
        <w:rPr>
          <w:rFonts w:ascii="Arial" w:cs="Arial" w:eastAsia="Arial" w:hAnsi="Arial"/>
          <w:sz w:val="8"/>
          <w:szCs w:val="8"/>
          <w:color w:val="auto"/>
        </w:rPr>
        <w:t>(1)</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Working capital </w:t>
      </w:r>
      <w:r>
        <w:rPr>
          <w:rFonts w:ascii="Arial" w:cs="Arial" w:eastAsia="Arial" w:hAnsi="Arial"/>
          <w:sz w:val="8"/>
          <w:szCs w:val="8"/>
          <w:color w:val="auto"/>
        </w:rPr>
        <w:t>(2)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Total assets </w:t>
      </w:r>
      <w:r>
        <w:rPr>
          <w:rFonts w:ascii="Arial" w:cs="Arial" w:eastAsia="Arial" w:hAnsi="Arial"/>
          <w:sz w:val="8"/>
          <w:szCs w:val="8"/>
          <w:color w:val="auto"/>
        </w:rPr>
        <w:t>(3)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Borrowings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Other long term obligations </w:t>
      </w:r>
      <w:r>
        <w:rPr>
          <w:rFonts w:ascii="Arial" w:cs="Arial" w:eastAsia="Arial" w:hAnsi="Arial"/>
          <w:sz w:val="8"/>
          <w:szCs w:val="8"/>
          <w:color w:val="auto"/>
        </w:rPr>
        <w:t>(4)</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w:t>
      </w:r>
    </w:p>
    <w:p>
      <w:pPr>
        <w:spacing w:after="0" w:line="82"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Cash and cash equivalents does not include restricted cash.</w:t>
      </w:r>
    </w:p>
    <w:p>
      <w:pPr>
        <w:spacing w:after="0" w:line="55" w:lineRule="exact"/>
        <w:rPr>
          <w:rFonts w:ascii="Arial" w:cs="Arial" w:eastAsia="Arial" w:hAnsi="Arial"/>
          <w:sz w:val="14"/>
          <w:szCs w:val="14"/>
          <w:i w:val="1"/>
          <w:iCs w:val="1"/>
          <w:color w:val="auto"/>
        </w:rPr>
      </w:pPr>
    </w:p>
    <w:p>
      <w:pPr>
        <w:ind w:left="220" w:hanging="212"/>
        <w:spacing w:after="0"/>
        <w:tabs>
          <w:tab w:leader="none" w:pos="2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Working capital means total current assets less total current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119.2</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95.9</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86.8</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213.2</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205.3</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311.9</w:t>
            </w:r>
          </w:p>
        </w:tc>
        <w:tc>
          <w:tcPr>
            <w:tcW w:w="5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344.8</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308.6</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254.6</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232.1</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1,183.1</w:t>
            </w:r>
          </w:p>
        </w:tc>
        <w:tc>
          <w:tcPr>
            <w:tcW w:w="5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1,061.9</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825.5</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706.5</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650.8</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235.0</w:t>
            </w:r>
          </w:p>
        </w:tc>
        <w:tc>
          <w:tcPr>
            <w:tcW w:w="5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284.7</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60.7</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70"/>
        </w:trPr>
        <w:tc>
          <w:tcPr>
            <w:tcW w:w="3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89.6</w:t>
            </w:r>
          </w:p>
        </w:tc>
        <w:tc>
          <w:tcPr>
            <w:tcW w:w="5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5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5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70"/>
        </w:trPr>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670.0</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618.1</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599.8</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532.0</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-849630</wp:posOffset>
            </wp:positionV>
            <wp:extent cx="72377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-506095</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-163195</wp:posOffset>
            </wp:positionV>
            <wp:extent cx="72377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4280" w:space="440"/>
            <w:col w:w="6700"/>
          </w:cols>
          <w:pgMar w:left="240" w:top="337" w:right="239" w:bottom="1440" w:gutter="0" w:footer="0" w:header="0"/>
          <w:type w:val="continuous"/>
        </w:sectPr>
      </w:pPr>
    </w:p>
    <w:p>
      <w:pPr>
        <w:ind w:left="260" w:hanging="252"/>
        <w:spacing w:after="0" w:line="273" w:lineRule="auto"/>
        <w:tabs>
          <w:tab w:leader="none" w:pos="22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On January 1, 2019, we adopted Accounting Standards Update No. 2016-02, Leases (Topic 842), which led to recognition of right-of-use assets in the consolidated balance sheets. Prior period amounts have not been adjusted under the modified retrospective method.</w:t>
      </w:r>
    </w:p>
    <w:p>
      <w:pPr>
        <w:spacing w:after="0" w:line="11" w:lineRule="exact"/>
        <w:rPr>
          <w:rFonts w:ascii="Arial" w:cs="Arial" w:eastAsia="Arial" w:hAnsi="Arial"/>
          <w:sz w:val="14"/>
          <w:szCs w:val="14"/>
          <w:i w:val="1"/>
          <w:iCs w:val="1"/>
          <w:color w:val="auto"/>
        </w:rPr>
      </w:pPr>
    </w:p>
    <w:p>
      <w:pPr>
        <w:ind w:left="260" w:hanging="252"/>
        <w:spacing w:after="0" w:line="273" w:lineRule="auto"/>
        <w:tabs>
          <w:tab w:leader="none" w:pos="227"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Other long term obligations include operating lease liabilities, unrecognized tax benefits, retirement benefits, deferred rent, unrealized losses on derivatives financial instruments, income taxes payable and other long-term liabilities.</w:t>
      </w:r>
    </w:p>
    <w:p>
      <w:pPr>
        <w:sectPr>
          <w:pgSz w:w="11900" w:h="16838" w:orient="portrait"/>
          <w:cols w:equalWidth="0" w:num="1">
            <w:col w:w="11420"/>
          </w:cols>
          <w:pgMar w:left="240" w:top="337" w:right="2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You should read the following discussion in connection with our consolidated financial statements and the related notes included elsewhere in this Annual Report on Form 10-K. Some of the statements in the following discussion are forward looking statements. Dollar amounts within Item 7 are presented as actual, rounded, dollar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Annual Report on Form 10-K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74" w:lineRule="exact"/>
        <w:rPr>
          <w:sz w:val="20"/>
          <w:szCs w:val="20"/>
          <w:color w:val="auto"/>
        </w:rPr>
      </w:pPr>
    </w:p>
    <w:p>
      <w:pPr>
        <w:ind w:left="720" w:hanging="38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estimate and/or manage the costs and/or timing of winding down businesses;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the entire book value of goodwill and other intangible assets from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forward-looking statements in this Annual Report on Form 10-K.</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Annual Report on Form 10-K, or elsewhere, speak only as of the date on which they were made. New risks and uncertainties come up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Executive Overview</w:t>
      </w:r>
    </w:p>
    <w:p>
      <w:pPr>
        <w:spacing w:after="0" w:line="135" w:lineRule="exact"/>
        <w:rPr>
          <w:sz w:val="20"/>
          <w:szCs w:val="20"/>
          <w:color w:val="auto"/>
        </w:rPr>
      </w:pPr>
    </w:p>
    <w:p>
      <w:pPr>
        <w:jc w:val="both"/>
        <w:ind w:firstLine="432"/>
        <w:spacing w:after="0" w:line="319" w:lineRule="auto"/>
        <w:rPr>
          <w:sz w:val="20"/>
          <w:szCs w:val="20"/>
          <w:color w:val="auto"/>
        </w:rPr>
      </w:pPr>
      <w:r>
        <w:rPr>
          <w:rFonts w:ascii="Arial" w:cs="Arial" w:eastAsia="Arial" w:hAnsi="Arial"/>
          <w:sz w:val="16"/>
          <w:szCs w:val="16"/>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1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operate in the business process management (“BPM”) industry and we provide operations management and analytics services. As described below, effective January 1, 2020, we realigned our operating and reportable segments, but the presentation in this Annual Report, including the discussion in the next two paragraphs, refers to the structure in place prior to such realignment.</w:t>
      </w:r>
    </w:p>
    <w:p>
      <w:pPr>
        <w:jc w:val="both"/>
        <w:ind w:firstLine="405"/>
        <w:spacing w:after="0" w:line="268" w:lineRule="auto"/>
        <w:rPr>
          <w:sz w:val="20"/>
          <w:szCs w:val="20"/>
          <w:color w:val="auto"/>
        </w:rPr>
      </w:pPr>
      <w:r>
        <w:rPr>
          <w:rFonts w:ascii="Arial" w:cs="Arial" w:eastAsia="Arial" w:hAnsi="Arial"/>
          <w:sz w:val="17"/>
          <w:szCs w:val="17"/>
          <w:color w:val="auto"/>
        </w:rPr>
        <w:t>Our eight operating segments are strategic business units that align our products and services with how we manage our business, approach our key markets and interact with our clients. Five of those operating segments provide BPM or “operations management” services, which we organize into industry-focused operating segments (Insurance, Healthcare, Travel, Transportation and Logistics, Banking and Financial Services, and Utilities) and one of the operating segments is a “capability”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right="540" w:hanging="327"/>
        <w:spacing w:after="0" w:line="26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(consisting of our remaining operating segments, including our Banking and Financial Services, Utilities and Consulting operating segments).</w:t>
      </w:r>
    </w:p>
    <w:p>
      <w:pPr>
        <w:spacing w:after="0" w:line="18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Effective January 1, 2020, we made certain operational and structural changes to more closely integrate our businesses and to simplify our organizational structure. We now manage and report financial information through our four strategic business units: Insurance, Healthcare, Analytics and Emerging Business which reflects how management will review financial information and make operating decisions. These business units will develop client specific solutions, build capabilities, maintain a unified go-to-market approach and be integrally responsible for service delivery, customer satisfaction, growth and profitability. In line with our strategy of vertical integration and focus on domain expertise we have integrated our Finance &amp; Accounting and Consulting operating segments within each of the Insurance and Healthcare operating segments based on the respective industry-specific clients. Finance &amp; Accounting and Consulting Services to clients outside of those industries, will now be part of our newly formed business unit and reportable segment ‘Emerging Business’.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new reportable segments effective January 1, 2020 are as follows:</w:t>
      </w:r>
    </w:p>
    <w:p>
      <w:pPr>
        <w:spacing w:after="0" w:line="225"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Emerging Business</w:t>
      </w:r>
    </w:p>
    <w:p>
      <w:pPr>
        <w:spacing w:after="0" w:line="21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This change in segment presentation will not have any effect on our consolidated statements of income, balance sheets or statements of cash flows. The revised presentation will be reflected in our subsequent periodic and annual reports.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information on our operating segments, see “Item 1.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8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On July 1, 2018, we completed the acquisition of SCIO pursuant to the Merger Agreement. The acquisition of SCIO is included in the Analytics reportable segment. SCIO is a health analytics solution and services company serving healthcare organizations including providers, health plans, pharmacy benefit managers, employers, health services and global life sciences companies.</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December 31, 2019, we completed substantially the previously announced wind down of the operations of the Health Integrated business, which is reported within the Healthcare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2019, we had revenues of $991.3 million compared to revenues of $883.1 million for the year ended December 31, 2018, an increase of $108.2 million, or 12.3%.</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serve clients mainly in the U.S. and the U.K., with these two regions generating 82.5% and 11.4%, respectively, of our total revenues for the year ended December 31, 2019 and 83.0% and 13.0%, respectively, of our revenues for the year ended December 31, 2018.</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years ended December 31, 2019 and 2018, our total revenues from our top ten clients accounted for 36.1% and 37.2% of our total revenues, respectively. Our revenue concentration with our top clients remains largely consistent year-over-year and we continue to develop relationships with new clients to diversify our client base. We believe that the loss of any of our ten largest clients could have a material adverse effect on our financial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Operations Management Services: </w:t>
      </w:r>
      <w:r>
        <w:rPr>
          <w:rFonts w:ascii="Arial" w:cs="Arial" w:eastAsia="Arial" w:hAnsi="Arial"/>
          <w:sz w:val="18"/>
          <w:szCs w:val="18"/>
          <w:color w:val="auto"/>
        </w:rPr>
        <w:t>We provide our clients with a range of operations management services principally in the insurance,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provides industry - specific digital transformational services.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continue to observe a shift in industry pricing models toward transaction-based pricing, outcome-based pricing and other pricing models. We believe this trend will continue and we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services have a long selling cycle, however ongoing annual maintenance and support contracts for existing arrangements provide us with a relatively predictable revenue base.</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actively cross-sell and, where appropriate, integrate our Analytics services with other operations management services as part of a comprehensive offering set for our clients.</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cost of revenues primarily consists of:</w:t>
      </w:r>
    </w:p>
    <w:p>
      <w:pPr>
        <w:spacing w:after="0" w:line="23" w:lineRule="exact"/>
        <w:rPr>
          <w:sz w:val="20"/>
          <w:szCs w:val="20"/>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costs, which include salary, bonus and other compensation expenses; recruitment and training costs; employee insurance; transport; rewards and recognition for certain employees; and non-cash stock compensation expense; and</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operations centers; rent expenses;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travel and other billable costs to our clients;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relating to our direct mail operations and other digital solutions.</w:t>
      </w:r>
    </w:p>
    <w:p>
      <w:pPr>
        <w:spacing w:after="0" w:line="211"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The most significant components of our cost of revenues are salaries and benefits (including stock based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 compensation expense relating to our issuance of equity awards to employees directly involved in providing services to our clients.</w:t>
      </w:r>
    </w:p>
    <w:p>
      <w:pPr>
        <w:spacing w:after="0" w:line="18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generally experience a higher cost of revenues as a percentage of revenues during the initial 12 months to 18 months in a long-term BPM contract due to upfront investments in infrastructure, resource hiring and training during migration. The cost of revenues as a percentage of revenues improve as we scale up, achieve operational efficiencies and complete the migration.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general and administrative expenses are comprised of expenses relating to salaries and benefits (including stock based compensation) as well as costs related to recruitment, training and retention of senior management and other support personnel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enabling functions, telecommunications, utilities, travel and other miscellaneous administrative costs. General and administrative (“G&amp;A”) expenses also include acquisition-related costs, legal and professional fees (which represent the costs of third party legal, tax, accounting and other advisors), investment in product development, digital technology, advanced automation and robotics, bad debt allowance and non-cash amortization of stock compensation expenses related to our issuance of equity awards to members of our board of directors. We expect our G&amp;A costs to increase as we continue to strengthen our support and enabling functions and invest in leadership development, performance management and training programs.</w:t>
      </w:r>
    </w:p>
    <w:p>
      <w:pPr>
        <w:spacing w:after="0" w:line="6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Impairment charges pertain to write down of carrying values to fair values of goodwill and intangible assets acquired in a business combination. We perform our annual impairment test annually during the fourth quarter, or more frequently, as circumstances warrant, for all our reporting units and intangible assets. Based on the results, if the carrying values of our reporting units exceeds their fair values, we record impairment charges to the extent that carrying value exceeds estimated fair value. 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The impairment amount to be recognized is measured as the amount by which the carrying value of the assets exceeds their fair value.</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fourth quarter of 2019, we performed our annual impairment test for all of our reporting units. Based on the results, the fair values of each of our reporting units exceeded their carrying values. In addition, during the year 2019 we performed impairment testing of long-lived assets which was triggered as a result of the wind down of the Health Integrated business and we recognized long-lived assets impairment charge for the assets of our Health Integrated business to write down their carrying value to its fair value. However, there can be no assurances that additional long-lived assets, goodwill and intangible assets will not be impaired in future periods (see Note 24 to our consolidated financial statements for further details).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2018, we performed our annual impairment test of goodwill for all of our reporting units. Based on the results, the fair values of each of our reporting units exceeded its carrying values, except for the Health Integrated reporting unit, within the Healthcare operating segment. The carrying value of our intangible assets acquired as a part of our Health Integrated acquisition also exceeded its fair value. As a result of this analysis, we recognized goodwill and intangible assets impairment charges during the fourth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report our financial results in U.S. dollars. However, a significant portion of our total revenues are earned in U.K. pounds sterling (10.2% and 12.7%, respectively, for the years ended December 31, 2019 and 2018), while a significant portion of our expenses are incurred and paid in Indian rupees (25.6% and 25.0%, respectively, of our total costs for the years ended December 31, 2019 and 2018) and the Philippine peso (7.9% and 7.1%, of our total costs for the years ended December 31, 2019 and 2018).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 2 and 17 to our consolidated financial statements and Item 7A -“Quantitative and Qualitative Disclosures about Market Risk-Foreign Currency Risk.”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primarily consist of interest on our borrowings under the credit facility and convertible senior notes, capital lease obligation and notional interest implicit in the purchase of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Other income, net primarily consists of gain/(loss) on sale, mark to market and dividend income on our investments in mutual funds, and interest on time deposits included in cash and cash equivalents and short-term investments on our consolidated balance sheets. Other income, net also consists of changes in fair value of earn-out consideration, interest on refunds received from income tax authorities in India on completion of tax assessments and components of net periodic benefit cost such as interest cost, expected return on plan assets and amortization of actuarial gain/loss.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presently do not intend to distribute PTI of our foreign subsidiaries and have not recorded any deferred taxes related to our investment in foreign subsidiaries. If, in the future, we change our present intention regarding the repatriation of PTI, additional taxes may be required and will be recorded in the period the intention changes.</w:t>
      </w:r>
    </w:p>
    <w:p>
      <w:pPr>
        <w:spacing w:after="0" w:line="173"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In 2019, the Government of India introduced a new tax regime for certain Indian companies by enacting the Taxation Laws (Amendment) Act, 2019. The new tax regime is optional and provides for a lower tax rate for Indian companies, subject to certain conditions, which among other things includes not availing of specified exemptions or incentives. Some of our Indian subsidiaries have opted for the new tax regime to obtain the benefit of a lower tax rate.</w:t>
      </w:r>
    </w:p>
    <w:p>
      <w:pPr>
        <w:spacing w:after="0" w:line="14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Certain operations centers in India, which were established in Special Economic Zones (“SEZs”), are eligible for tax incentives until 2025. These operations centers are eligible for a 100% income tax exemption for the first 5 years of operations and 50% exemption for a period of 5 years thereafter. During 2019, tax holiday exemption for one of the unit reduced from 50% to nil, which led to the SEZ unit being taxed at the prevailing annual tax rate, which as of December 31, 2019 was 34.95%. We anticipate establishing additional operations centers in SEZs or other tax advantaged locations in the future.</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benefited from a corporate tax holiday in the Philippines for our operations centers established there over the last several years. The tax holiday expired for few of our centers in 2014, 2016, 2018 and in 2019 and will expire for other centers by year 2022, which may lead to an increase in our overall tax rate. Following the expiry of the tax exemption, income generated from centers in the Philippines will be taxed at the prevailing annual tax rate, which as of December 31, 2019 was 5% of the gross income.</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2 -“Summary of Significant Accounting Policies” to our consolidated financial statements. We consider the policies discussed below to be critical to an understanding of our consolidated financial statements, as their application places the most significant demands on management’s judgment regarding matters that are inherently uncertain at the time an estimate is made. These policies include revenue recognition, allowance for doubtful receivables, business combinations, goodwill, intangibles and long-lived assets, stock-based compensation, derivative instruments and hedging activity, borrowings, assumptions related to lease liabilities, ROU assets, lease cost, income taxes and assets and obligations related to employee benefit plans. These accounting policies and the associated risks are set out below. Future events may not develop exactly as forecasted and estimates routinely require adjustment.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recognized when services are provided to our customers, in an amount that reflects the consideration which we expect to be entitled to in exchange for the services provided.</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measured based on consideration specified in a contract with a customer and excludes discounts and amounts collected on behalf of third parties. We recognize revenue when we satisfy a performance obligation by providing services to a customer.</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us from a customer, are excluded from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 Performance Obligations</w:t>
      </w:r>
    </w:p>
    <w:p>
      <w:pPr>
        <w:spacing w:after="0" w:line="16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sometimes enter into contracts with our clients which include promises to transfer multiple products and services to the client. Determining whether products and services are considered as distinct performance obligations that should be accounted for separately rather than as one performance obligation may require significant judgment. The transaction price is allocated to performance obligations on relative standalone selling price basis.</w:t>
      </w:r>
    </w:p>
    <w:p>
      <w:pPr>
        <w:spacing w:after="0" w:line="3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Judgment is also required to determine the standalone selling price for each distinct performance obligation. In instances where the standalone selling price is not directly observable, it is determined using information that may include market conditions and other observable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Variability in the transaction price arises primarily due to service level agreements, pre-payment and volume discounts.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consider our experience with similar transactions and expectations regarding the contract in estimating the amount of variable consideration that should be recognized during a period.</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that the expected value method is most appropriate for determining the variable consideration since we have a large number of contracts with similar nature of transactions/services.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of Contracts requires judgments</w:t>
      </w:r>
    </w:p>
    <w:p>
      <w:pPr>
        <w:spacing w:after="0" w:line="200" w:lineRule="exact"/>
        <w:rPr>
          <w:sz w:val="20"/>
          <w:szCs w:val="20"/>
          <w:color w:val="auto"/>
        </w:rPr>
      </w:pPr>
    </w:p>
    <w:p>
      <w:pPr>
        <w:spacing w:after="0" w:line="241" w:lineRule="exact"/>
        <w:rPr>
          <w:sz w:val="20"/>
          <w:szCs w:val="20"/>
          <w:color w:val="auto"/>
        </w:rPr>
      </w:pPr>
    </w:p>
    <w:p>
      <w:pPr>
        <w:jc w:val="both"/>
        <w:ind w:left="660" w:hanging="247"/>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for our fixed-price contracts are recognized using costs incurred to date relative to total estimated costs at completion to measure progress toward satisfying our performance obligations. Incurred cost represents work performed, which corresponds with, and thereby best depicts, the transfer of control to the client. The use of this method requires significant judgment to estimate the cost required to complete the contracted scope of work, including assumptions and estimates relative to the length of time to complete the project and the nature and complexity of the work to be performed and resources engaged. We regularly monitor these estimates throughout the execution of the project and record changes in the period in which a change in an estimate is determined. If a change in an estimate results in a projected loss on a project, such loss is recognized in the period in which it is first identified.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660" w:hanging="239"/>
        <w:spacing w:after="0" w:line="297" w:lineRule="auto"/>
        <w:tabs>
          <w:tab w:leader="none" w:pos="640" w:val="left"/>
        </w:tabs>
        <w:rPr>
          <w:sz w:val="20"/>
          <w:szCs w:val="20"/>
          <w:color w:val="auto"/>
        </w:rPr>
      </w:pPr>
      <w:r>
        <w:rPr>
          <w:rFonts w:ascii="Arial" w:cs="Arial" w:eastAsia="Arial" w:hAnsi="Arial"/>
          <w:sz w:val="16"/>
          <w:szCs w:val="16"/>
          <w:color w:val="auto"/>
        </w:rPr>
        <w:t>b.</w:t>
        <w:tab/>
        <w:t>Revenues from reimbursement optimization services having contingent fee arrangements are recognized by us at the point in time when a performance obligation is satisfied, which is when we identify an overpayment claim. In such contracts, our consideration is contingent upon the actual collections made by our customers and net of any subsequent retraction claims. Based on guidance on “variable consideration” in Topic 606, we use our historical experience and projections to determine the expected recoveries from our customers and recognize revenue based upon such expected recoveries. Any adjustment required due to change in estimates are recorded in the period in which such change is identified.</w:t>
      </w:r>
    </w:p>
    <w:p>
      <w:pPr>
        <w:spacing w:after="0" w:line="158" w:lineRule="exact"/>
        <w:rPr>
          <w:sz w:val="20"/>
          <w:szCs w:val="20"/>
          <w:color w:val="auto"/>
        </w:rPr>
      </w:pPr>
    </w:p>
    <w:p>
      <w:pPr>
        <w:ind w:right="180"/>
        <w:spacing w:after="0" w:line="430" w:lineRule="auto"/>
        <w:rPr>
          <w:sz w:val="20"/>
          <w:szCs w:val="20"/>
          <w:color w:val="auto"/>
        </w:rPr>
      </w:pPr>
      <w:r>
        <w:rPr>
          <w:rFonts w:ascii="Arial" w:cs="Arial" w:eastAsia="Arial" w:hAnsi="Arial"/>
          <w:sz w:val="18"/>
          <w:szCs w:val="18"/>
          <w:color w:val="auto"/>
        </w:rPr>
        <w:t xml:space="preserve">For additional information, see Note 5 (Revenues) to our Consolidated Financial Statements under Item 8, “Financial Statements and Supplementary Data.” </w:t>
      </w:r>
      <w:r>
        <w:rPr>
          <w:rFonts w:ascii="Arial" w:cs="Arial" w:eastAsia="Arial" w:hAnsi="Arial"/>
          <w:sz w:val="18"/>
          <w:szCs w:val="18"/>
          <w:b w:val="1"/>
          <w:bCs w:val="1"/>
          <w:i w:val="1"/>
          <w:iCs w:val="1"/>
          <w:color w:val="auto"/>
        </w:rPr>
        <w:t>Unbilled Receivables</w:t>
      </w:r>
    </w:p>
    <w:p>
      <w:pPr>
        <w:spacing w:after="0" w:line="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Unbilled receivables represent revenues recognized for services rendered between the last billing date and the balance sheet date. Unbilled receivables also include revenues recognized from reimbursement optimization services where we identify an overpayment claim. In such contracts, our consideration is contingent upon and collectable only when the actual collections are made by our customers. Based on guidance on “variable consideration” in Topic 606, we use our historical experience and projections to determine the expected recoveries from our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contract fulfillment costs</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have contract liabilities (deferred revenue) consisting of advance billings and billing in excess of revenues recognized. Deferred revenue also includes the amount for which services have been rendered but other conditions of revenue recognition are not met, for example where we do not have an enforceable contract.</w:t>
      </w:r>
    </w:p>
    <w:p>
      <w:pPr>
        <w:spacing w:after="0" w:line="7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Further, we also defer revenues attributable to certain process transition activities, with respect to our customers where such activities do not represent separate performance obligations. Revenues related to such transition activities are classified under “Deferred Revenue” and “Other Non-Current Liabilities” in our consolidated balance sheets and are recognized ratably over the period during which the related services are performed.</w:t>
      </w:r>
    </w:p>
    <w:p>
      <w:pPr>
        <w:spacing w:after="0" w:line="27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Costs related to such transition activities are contract fulfillment costs, and thereby classified under “Other Current Assets” and “Other Assets” in the consolidated balance sheets, and are recognized over the estimated expected period of benefit, under Cost of Revenues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period of benefit and recorded under Selling and marketing expenses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Upfront Payment Made to Customers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receivables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 accounts receivable net of allowances for doubtful accounts. Allowances for doubtful accounts are established through the evaluation of aging of accounts receivables, prior collection experience, current market conditions, clients’ financial condition and the amount of accounts receivable in dispute to estimate the collectability of these accounts receivable.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account for all business combinations using the acquisition method of accounting as prescribed by Accounting Standards Codification (“ASC”) Topic 805, “Business Combinations”. The guidance requires the use of significant estimates and assumptions in allocation of the purchase price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anticipated growth rates and customer attrition rates and the discount rate reflecting the risk inherent in future cash flows.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We undertake studies to determine the fair values of assets and liabilities acquired and allocate purchase consideration to assets and liabilities, including property and equipment, goodwill and other identifiable intangibles. We examine the carrying value of the goodwill annually in the fourth quarter, or more frequently, as circumstances warrant, to determine whether there are any impairment losses. We test for goodwill impairment at the reporting unit level.</w:t>
      </w:r>
    </w:p>
    <w:p>
      <w:pPr>
        <w:spacing w:after="0" w:line="17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quantitative goodwill impairment test involves a comparison of the fair value of a reporting unit with its carrying amount. We estimate the fair value of a reporting unit using a combination of the income approach, using discounted cash flow analysis (“DCF model”), and also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our control, provide us best estimate of all assumptions applied within the DCF model. Discount rates used in our reporting unit valuations range from 9.0% to 11%. We use the “Market approach” to corroborate the results of the income approach. Under the market approach, we estimate fair value based on market multiples of revenues and earnings derived from comparable publicly-traded companies with characteristics similar to the reporting unit and comparable market transactions.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During the fourth quarter of 2019, we performed our annual impairment test of goodwill for all our reporting units that had goodwill recorded. Key assumptions used in determining the fair value of our reporting units was a long-term revenue growth rate in the terminal year of 3.0% and discount rates ranging from 9.0% to 11.0%. Based on the results, the fair value of each of our reporting units exceeded their carrying value and our goodwill was not impaired. However, for the SCIO reporting unit within the Analytics reportable segment, the fair value was not substantially in excess of its carrying value. The SCIO reporting unit was formed as a result of our SCIO acquisition in July 2018 and the fair value was set at the time of acquisition. As of December 31, 2019, the goodwill associated with the SCIO reporting unit was $163.8 million, representing approximately 47.0% of our total goodwill, and the percentage by which the fair value of the SCIO reporting unit exceeded the carrying value as of the date of the most recent annual impairment test was approximately 10.0%. While the goodwill of this reporting unit is not currently impaired, there could be an impairment in the future as a result of changes in certain assumptions. For example, the fair value could be adversely affected and may result in an impairment of goodwill if this reporting unit is not able to expand its existing customer relationships, win new clients, improve profitability, the estimated cash flows are discounted at a higher risk-adjusted rate, or the market multiples decreases. We also believe that it is possible that our actual revenue growth rates could be higher than the long-term revenue growth rates used in the impairment test due to a number of factors, including (i) continued demand for our reimbursement and care optimization services to help clients identify overpayments and enhance their claims payment accuracy, and (ii) our ability to offer integrated solutions by leveraging technology platforms, digital, customizable and configurable analytics to deliver better business outcomes for our clients. We believe that the discount rate utilized is appropriate to use for our future cash flow assumptions considering current market conditions. However, keeping all other variables constant, a further 50 basis points increase in discount rate will decrease the percentage by which the fair value exceeds the carrying value of our SCIO reporting unit to 6.0%. We continue to monitor the cash flows of the SCIO reporting unit for changes in the business environment that could impact recoverability.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our control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discounted expected future cash flows is less than the carrying amount of such asset. The estimate of 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 See Note 2-“Summary of Significant Accounting Policies-Business Combinations, Goodwill and Other Intangible Assets” to our consolidated financial statements for more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grant performance-based restricted stock units (“PRSUs”) to executive officers and other specified employees. 50% of the PRSUs cliff vest at the end of a three-year period based on an aggregated revenue target (“PUs”) for a three year period. The remaining 50% vest based on a market condition (“MUs”) that is contingent on EXL meeting or exceeding the total shareholder return relative to a group of peer companies specified under the program, measured over a three-year performance period. The award recipient may earn up to two hundred percent (200%) of the PRSUs granted based on the actual achievements of both targets.</w:t>
      </w:r>
    </w:p>
    <w:p>
      <w:pPr>
        <w:spacing w:after="0" w:line="8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the normal course of business, we actively look to mitigate the exposure of foreign currency market risk associated with forecasted transactions denominated in certain foreign currencies and to minimize earnings and cash flow volatility associated with changes in foreign currency exchange rates by entering into various foreign currency exchange forward contracts, with counterparties that are highly rated financial institutions.</w:t>
      </w:r>
    </w:p>
    <w:p>
      <w:pPr>
        <w:spacing w:after="0" w:line="5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hedge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Effective January 1, 2017, the resultant foreign exchange gain/(loss) upon settlement of cash flow hedges are recorded along with the underlying hedged item in the same line in the consolidated statements of income as either part of “Cost of revenues”, “General and administrative expenses”, “Selling and marketing expenses”, or "Depreciation and amortization expense”, as applicable.</w:t>
      </w:r>
    </w:p>
    <w:p>
      <w:pPr>
        <w:spacing w:after="0" w:line="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also use derivative instruments consisting of foreign currency exchange contracts to economically hedge intercompany balances and other monetary assets or liabilities denominated in currencies other than the functional currency. These derivatives do not qualify as fair value hedges. Changes in the fair value of these derivatives are recognized in the consolidated statements of income and are included in foreign exchange gain/(loss).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determine the fair value of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evaluate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use forward contracts designated as net investment hedges to hedge the foreign currency risks related to our investment in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these forward contracts are recognized in AOCI as part of the foreign currency translation adjustment.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We account for convertible notes in accordance with the guidelines established by the ASC No.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We separate the convertible notes into liability and equity components. The Beneficial Conversion Feature ("BCF") of a convertible note, which is the equity component and recorded as additional paid-in capital, is normally characterized as the convertible portion or feature of certain notes payable that provide a rate of conversion that is below market value or in-the-money when issued. We record a BCF related to the issuance of a convertible notes when issued.</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If a convertible note is within the scope of the Cash Conversion Subsections contains embedded features other than the embedded conversion option, the guidance in ASC No.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(“ASC 815-15”), is applied to determine if any of those features must be separately accounted for as a derivative instrument.</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estimated fair value of the liability component at issuance is determined using a discounted cash flow technique, which considers debt issuances with similar features of our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being amortized to interest expense over the expected term of the convertible notes using the effective interest method.</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Direct, incremental finance costs related to the convertible notes are amortized over the term instrument through charges to interest expense using the effective interest method.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also evaluate potential exposures related to tax contingencies or claims made by the tax authorities in various jurisdictions in order to determine whether a reserve may be required. A reserve is recorded if we believe that a loss is probable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presently do not intend to distribute PTI of our foreign subsidiaries and have not recorded any deferred taxes related to our investment in foreign subsidiaries. If, in the future, we change our present intention regarding the repatriation of PTI, additional taxes may be required and will be recorded in the period the intention changes. See Note 22 to our consolidated financial statements contained herein.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record contributions to defined contribution plans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5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account for a lease at the inception of the contract. ROU assets represent our right to use an underlying asset during the lease term and lease liabilities represent our obligation to make lease payments arising from the lease. Operating lease ROU assets and liabilities are recognized at commencement date based on the present value of lease payments over the lease term.</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leases in which the rate implicit in the lease is not readily determinable, we use our incremental borrowing rate at commencement date by adjusting the benchmark reference rates, applicable to the respective geographies where the leases are entered, with appropriate financing spreads and lease specific adjustments for the effects of collateral.</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Lease term includes our assessment for the effects of options to extend or terminate the lease. We consider the extension option as part of our lease term for those lease arrangements where we are reasonably certain that we will exercise that option. Lease expense for operating lease arrangements is recognized on a straight-line basis over the lease term. We have lease agreements with lease and non-lease components, which are accounted for separately.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both probability and whether an exposure is reasonably estimable.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years ended December 31, 2019, 2018 and 2017:</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r>
      <w:tr>
        <w:trPr>
          <w:trHeight w:val="196"/>
        </w:trPr>
        <w:tc>
          <w:tcPr>
            <w:tcW w:w="5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(dollars in millions)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991.3</w:t>
            </w:r>
          </w:p>
        </w:tc>
        <w:tc>
          <w:tcPr>
            <w:tcW w:w="5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883.1</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r>
      <w:tr>
        <w:trPr>
          <w:trHeight w:val="270"/>
        </w:trPr>
        <w:tc>
          <w:tcPr>
            <w:tcW w:w="57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8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655.5</w:t>
            </w:r>
          </w:p>
        </w:tc>
        <w:tc>
          <w:tcPr>
            <w:tcW w:w="1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584.8</w:t>
            </w:r>
          </w:p>
        </w:tc>
        <w:tc>
          <w:tcPr>
            <w:tcW w:w="2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r>
      <w:tr>
        <w:trPr>
          <w:trHeight w:val="264"/>
        </w:trPr>
        <w:tc>
          <w:tcPr>
            <w:tcW w:w="57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25"/>
                <w:szCs w:val="25"/>
                <w:b w:val="1"/>
                <w:bCs w:val="1"/>
                <w:color w:val="auto"/>
                <w:vertAlign w:val="superscript"/>
              </w:rPr>
              <w:t>(1)</w:t>
            </w:r>
          </w:p>
        </w:tc>
        <w:tc>
          <w:tcPr>
            <w:tcW w:w="8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335.8</w:t>
            </w:r>
          </w:p>
        </w:tc>
        <w:tc>
          <w:tcPr>
            <w:tcW w:w="1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
        </w:trPr>
        <w:tc>
          <w:tcPr>
            <w:tcW w:w="5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126.9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8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5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Impairment and restructuring charges</w:t>
            </w:r>
          </w:p>
        </w:tc>
        <w:tc>
          <w:tcPr>
            <w:tcW w:w="8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259.4</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8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5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w w:val="95"/>
              </w:rPr>
              <w:t>Income before income tax expense and earnings from equity affiliates</w:t>
            </w:r>
          </w:p>
        </w:tc>
        <w:tc>
          <w:tcPr>
            <w:tcW w:w="8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5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8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5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80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5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 Exclusive of depreciation and amortization expense.</w:t>
      </w: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20"/>
          </w:cols>
          <w:pgMar w:left="240" w:top="337" w:right="11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revenues by reportable segments for the year ended December 31, 2019 and 2018:</w:t>
      </w:r>
    </w:p>
    <w:p>
      <w:pPr>
        <w:spacing w:after="0" w:line="32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47"/>
        </w:trPr>
        <w:tc>
          <w:tcPr>
            <w:tcW w:w="47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52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91"/>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294.2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Transportation and Logistics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Finance and Accounting</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106.6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Analytics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357.3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285.3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991.3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883.1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for the year ended December 31, 2019 were $991.3 million, up $108.2 million, or 12.3%, compared to the year ended December 31, 2018.</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in Insurance of $36.1 million was primarily driven by expansion of business from our existing clients and new wins aggregating to $38.6 million. This was partially offset by $2.5 million mainly attributable to the depreciation of the Australian dollar, Indian rupee, U.K. pound sterling and South African ZAR against the U.S. dollar during the year ended December 31, 2019 compared to the year ended December 31, 2018. Insurance revenues were 29.7% and 29.2% of our total revenues in 2019 and 2018, respectively.</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growth in Healthcare of $6.2 million was primarily driven by expansion of business from our existing clients and new wins aggregating to $11.4 million, partially offset by lower revenues from our Health Integrated business of $5.2 million. Healthcare revenues were 9.1% and 9.6% of our total revenues during the year ended December 31, 2019 compared to the year ended December 31, 2018, respectively.</w:t>
      </w:r>
    </w:p>
    <w:p>
      <w:pPr>
        <w:spacing w:after="0" w:line="114"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8"/>
          <w:szCs w:val="18"/>
          <w:color w:val="auto"/>
        </w:rPr>
        <w:t>Revenue decline in Travel, Transportation and Logistics ("TT&amp;L") of $2.2 million was primarily driven by $1.9 million attributable to lower revenues from our existing clients and $0.3 million attributable to the depreciation of the Indian rupee and the Euro against the U.S. dollar during the year ended December 31, 2019 compared to the year ended December 31, 2018. TT&amp;L revenues were 6.9% and 8.0% of our total revenues during the year ended December 31, 2019 compared to the year ended December 31, 2018, respectively.</w:t>
      </w:r>
    </w:p>
    <w:p>
      <w:pPr>
        <w:spacing w:after="0" w:line="92"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Revenue growth in Finance and Accounting ("F&amp;A") of $8.7 million was driven by expansion of business from our existing clients and new wins aggregating to $9.7 million. This was partially offset by $1.0 million mainly attributable to the depreciation of the Indian rupee, U.K. pound sterling, the Euro and Australian dollar against the U.S. dollar during the year ended December 31, 2019 compared to the year ended December 31, 2018. F&amp;A revenues were 10.8% and 11.1% of our total revenues during the year ended December 31, 2019 compared to the year ended December 31, 2018, respectively.</w:t>
      </w:r>
    </w:p>
    <w:p>
      <w:pPr>
        <w:spacing w:after="0" w:line="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decline in All Other of $12.6 million was primarily driven by lower revenues from project based engagements and lower revenues from existing clients. Further decline of $1.6 million was due to the depreciation of the Indian rupee and U.K. pound sterling against the U.S. dollar during the year ended December 31, 2019 compared to the year ended December 31, 2018. All Other revenues were 7.5% and 9.9% of our total revenues during the year ended December 31, 2019 compared to the year ended December 31, 2018, respectively.</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 growth in Analytics of $72.0 million was primarily driven by our acquisition of SCIO in July 2018 and increase in revenues from our recurring and project-based engagements from our new and existing clients. This was partially offset by $1.0 million attributable to the depreciation of the U.K. pound sterling and Indian rupee against the U.S. dollar during the year ended December 31, 2019 compared to the year ended December 31, 2018. Analytics revenues were 36.0% and 32.3% of our total revenues during the year ended December 31, 2019 compared to the year ended December 31, 2018,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The following table sets forth cost of revenues and gross margin of our reportable segments.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Cost of Revenues</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Percentage</w:t>
            </w:r>
          </w:p>
        </w:tc>
        <w:tc>
          <w:tcPr>
            <w:tcW w:w="24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TT&amp;L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F&amp;A</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Analytics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31, 2019, cost of revenues was $655.5 million compared to $584.8 million for the year ended December 31, 2018, an increase of $70.7 million, or 12.1%. Our gross margin for the year ended December 31, 2019 was 33.9% compared to 33.8% for year ended December 31, 2018.</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cost of revenues in Insurance of $24.8 million was primarily due to an increase in employee-related costs of $23.6 million on account of higher headcount and wage inflation, increase in technology cost of $2.4 million and increase in infrastructure and travel cost of $2.4 million. This was partially offset by lower other operating costs of $1.4 million and currency movements, net of hedging of $2.2 million. Gross margin in Insurance decreased by 10 bps during the year ended December 31, 2019 compared to the year ended December 31, 2018, primarily due to higher operating expenses.</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Healthcare of $6.9 million was primarily due to an increase in employee-related costs of $7.4 million and higher other operating costs of $0.5 million, partially offset by currency movements, net of hedging of $1.0 million. Gross margin in Healthcare decreased by 220 bps during the year ended December 31, 2019 compared to the year ended December 31, 2018, primarily due to higher operating expenses associated with the initiation of services for new and existing clients.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cost of revenues in TT&amp;L of $2.4 million was primarily due to lower infrastructure costs of $0.8 million, lower employee-related costs of $0.5 million and other operating costs of $0.3 million. The remaining decrease of $0.8 million was due to currency movements, net of hedging. Gross margin in TT&amp;L increased by 150 bps during the year ended December 31, 2019 compared to the year ended December 31, 2018, primarily due to lower operating expenses.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F&amp;A of $4.1 million was primarily due to an increase in employee-related costs of $4.4 million on account of higher headcount and wage inflation and higher other operating costs of $0.1 million. This was partially offset by currency movements, net of hedging of $0.4 million. Gross margin in F&amp;A increased by 100 bps during the year ended December 31, 2019 compared to the year ended December 31, 2018, primarily due to expansion in margin in existing clients.</w:t>
      </w:r>
    </w:p>
    <w:p>
      <w:pPr>
        <w:spacing w:after="0" w:line="79"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The decrease in cost of revenues in All Other of $9.3 million was primarily due to a decrease in employee-related costs of $7.5 million, lower travel costs of $1.2 million, lower infrastructure costs of $1.0 million and currency movements, net of hedging of $0.9 million. This was partially offset by higher technology costs of $0.8 million and other operating costs of $0.5 million. Gross margin in All Other increased by 160 bps during the year ended December 31, 2019 compared to the year ended December 31, 2018, primarily due to margin improvement across clients in operations management services.</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Analytics of $46.6 million was primarily due to an increase in employee-related costs of $42.7 million on account of higher headcount and wage inflation, including incremental cost related to our acquisition of SCIO in July 2018. The remaining increase was attributable to other operating costs of $5.8 million, partially offset by currency movements, net of hedging of $1.9 million. Gross margin in Analytics during 2019 as compared to 2018 was flat.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4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vMerge w:val="restart"/>
          </w:tcPr>
          <w:p>
            <w:pPr>
              <w:jc w:val="right"/>
              <w:ind w:right="27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40" w:type="dxa"/>
            <w:vAlign w:val="bottom"/>
          </w:tcPr>
          <w:p>
            <w:pPr>
              <w:spacing w:after="0"/>
              <w:rPr>
                <w:sz w:val="21"/>
                <w:szCs w:val="21"/>
                <w:color w:val="auto"/>
              </w:rPr>
            </w:pP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SG&amp;A expenses of $18.9 million was primarily due to an increase in employee-related costs of $19.5 million, including incremental costs related to our SCIO acquisition in July 2018 and net increase in other operating costs of $1.0 million. This was partially offset by currency movements, net of hedging of $1.6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4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4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2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3"/>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8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depreciation expense of $2.2 million was due to depreciation related to our new operating centers to support our business growth and depreciation associated with our SCIO acquisition of $2.8 million. This was partially offset by currency movements, net of hedging of $0.6 million. The increase in intangibles amortization expense of $1.2 million was primarily due to amortization of intangibles associated with our SCIO acquisition in July 2018, partially offset by the impact of amortization of intangibles related to Health Integrated acquisition which were impaired during the fourth quarter of 2018.</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and Restructuring Charges.</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5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5"/>
        </w:trPr>
        <w:tc>
          <w:tcPr>
            <w:tcW w:w="45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restructuring charges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0.9%</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2019, we recorded restructuring charges of $5.1 million and impairment charges of $3.6 million in connection with the wind down of Health Integrated business within our Healthcare operating segment. During the year ended December 31, 2018, we recognized an impairment charge of $20.1 million to write down the carrying value of goodwill of $14.2 million and intangible assets of $5.9 million to their fair values related to our Health Integrated business. See Note 10 and Note 24 to our consolidated financial statements for details.</w:t>
      </w:r>
    </w:p>
    <w:p>
      <w:pPr>
        <w:spacing w:after="0" w:line="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$26.6 million, or 53.5%, from $49.8 million for the year ended December 31, 2018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$76.4 million for the year ended December 31, 2019. As a percentage of revenues, income from operations increased from 5.6% for the year ended December 31, 2018 to 7.7% for the year ended December 31,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year ended December 31, 2019. The average exchange rate of the U.S. dollar against the Indian rupee increased from 68.48 during the year ended December 31, 2018 to 70.36 during the year ended December 31, 2019. The average exchange rate of the U.K. pound sterling against the U.S. dollar decreased from 1.33 during the year ended December 31, 2018 to 1.28 during the year ended December 31, 2019. The average exchange rate of the U.S. dollar against the Philippine peso decreased from 52.69 during the year ended December 31, 2018 to 51.57 during the year ended December 31, 2019.</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$3.8 million for the year ended December 31, 2019 compared to the net foreign exchange gain of $4.8 million for the year ended December 31, 2018.</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from $7.2 million for the year ended December 31, 2018 to $13.6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primarily due to increase in average borrowings on account of issuance of convertible notes during the fourth quarter of 2018 and higher effective interest rates under our Credit Facility.</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3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restart"/>
          </w:tcPr>
          <w:p>
            <w:pPr>
              <w:jc w:val="right"/>
              <w:ind w:right="23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38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2120" w:type="dxa"/>
            <w:vAlign w:val="bottom"/>
            <w:tcBorders>
              <w:top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8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16.5</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13.0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Other income, net increased by $3.5 million, from $13.0 million for the year ended December 31, 2018 to $16.5 million for the year ended December 31, 2019 primarily due to higher return on mutual fund investments of $3.0 million and increase in interest and dividend income of $0.5 million.</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We recorded income tax expense of $15.2 million and $3.4 million for the year ended December 31, 2019 and 2018,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effective tax rate increased from 5.6% during the year ended December 31, 2018 to 18.3% during the year ended December 31, 2019 primarily as a result of (i) recording of a one-time tax benefit of $6.3 million with respect to unused 2018 foreign branch income tax credits under regulations under the Internal Revenue Code of 1986, as amended, during the year ended December 31, 2018, (ii) recording of higher excess tax benefits related to stock awards of $7.2 million pursuant to ASU No. 2016-09 during the year ended December 31, 2018 compared to $2.3 million during the year ended December 31, 2019, (iii) lower tax expense of $3.1 million on account of impairment and restructuring charges recorded during the year December 31, 2018 compared to $0.9 million during the year ended December 31, 2019, partially offset by (iv) higher tax exemptions/incentives and a lower tax rate for qualifying Indian subsidiaries due to a change in legislation during the year ended December 31, 2019.</w:t>
      </w:r>
    </w:p>
    <w:p>
      <w:pPr>
        <w:spacing w:after="0" w:line="1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$56.7 million for the year ended December 31, 2018 to $67.6 million for the year ended December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increase in income from operations of $26.6 million and increase in other income, net of $3.5 million, partially offset by higher income tax expense of $11.8 million, higher interest expense of $6.4 million and lower foreign exchange gain, net of $1.0 million. As a percentage of revenues, net income increased from 6.4% during the year ended December 31, 2018 to 6.8% during the year ended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year ended December 31, 2018 and 2017:</w:t>
      </w:r>
    </w:p>
    <w:p>
      <w:pPr>
        <w:spacing w:after="0" w:line="328"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6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258.1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8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285.3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883.1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762.3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for the year ended December 31, 2018 were $883.1 million, up $120.8 million, or 15.8%, compared to the year ended December 31, 2017.</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in Insurance of $23.3 million was primarily driven by expansion of business from our new and existing clients of $24.3 million, partially offset by net impact of foreign exchange loss of $1.0 million mainly due to depreciation of the Indian rupee against the U.S. dollar during the year ended December 31, 2018 compared to the year ended December 31, 2017. Insurance revenues were 29.2% and 30.8% of our total revenues in 2018 and 2017, respectively.</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growth in Healthcare of $7.4 million was primarily driven by our acquisition of Health Integrated in 2017, contributing $17.0 million. This was partially offset by lower revenues of $9.6 million due to the termination of certain client contracts. Healthcare revenues were 9.6% and 10.1% of our total revenues in 2018 and 2017, respectively</w:t>
      </w:r>
    </w:p>
    <w:p>
      <w:pPr>
        <w:spacing w:after="0" w:line="114" w:lineRule="exact"/>
        <w:rPr>
          <w:sz w:val="20"/>
          <w:szCs w:val="20"/>
          <w:color w:val="auto"/>
        </w:rPr>
      </w:pPr>
    </w:p>
    <w:p>
      <w:pPr>
        <w:jc w:val="both"/>
        <w:ind w:firstLine="405"/>
        <w:spacing w:after="0" w:line="336" w:lineRule="auto"/>
        <w:rPr>
          <w:sz w:val="20"/>
          <w:szCs w:val="20"/>
          <w:color w:val="auto"/>
        </w:rPr>
      </w:pPr>
      <w:r>
        <w:rPr>
          <w:rFonts w:ascii="Arial" w:cs="Arial" w:eastAsia="Arial" w:hAnsi="Arial"/>
          <w:sz w:val="17"/>
          <w:szCs w:val="17"/>
          <w:color w:val="auto"/>
        </w:rPr>
        <w:t>Revenue decline in Travel, Transportation and Logistics ("TT&amp;L") of $0.8 million was mainly due to net impact of foreign exchange loss of $0.8 million primarily due to the depreciation of the Indian rupee and the Philippine peso against the U.S. dollar during the year ended December 31, 2018 compared to the year ended December 31, 2017. TT&amp;L revenues were 8.0% and 9.3% of our total revenues in 2018 and 2017, respectively.</w:t>
      </w:r>
    </w:p>
    <w:p>
      <w:pPr>
        <w:spacing w:after="0" w:line="70"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Revenue growth in Finance and Accounting ("F&amp;A") of $11.4 million was driven by net volume increases from our new and existing clients. F&amp;A revenues were 11.1% and 11.4% of our total revenues in 2018 and 2017, respectively.</w:t>
      </w:r>
    </w:p>
    <w:p>
      <w:pPr>
        <w:spacing w:after="0" w:line="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 growth in All Other of $4.1 million was primarily driven by higher revenues of $9.6 million in the Consulting operating segment, partially offset by lower revenues in our Banking and Financial Services operating segment of $2.4 million and Utilities operating segment of $1.8 million and a net impact of foreign exchange loss of $1.3 million primarily due to the depreciation of the Indian rupee against the U.S. dollar during the year ended December 31, 2018 compared to the year ended December 31, 2017. All Other revenues were 9.9% and 10.9% of our total revenues in 2018 and 2017, respectively.</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growth in Analytics of $75.4 million was driven by our acquisition of SCIO in July 2018, contributing $40.0 million. The remaining increase of $35.4 million was attributable by our recurring and project-based engagements from our new and existing clients. Analytics revenues were 32.3% and 27.5% of our total revenues in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The following table sets forth cost of revenues and gross margin of our reportable segments.</w:t>
      </w:r>
    </w:p>
    <w:p>
      <w:pPr>
        <w:spacing w:after="0" w:line="200" w:lineRule="exact"/>
        <w:rPr>
          <w:sz w:val="20"/>
          <w:szCs w:val="20"/>
          <w:color w:val="auto"/>
        </w:rPr>
      </w:pP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Cost of Revenues</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00" w:type="dxa"/>
            <w:vAlign w:val="bottom"/>
          </w:tcPr>
          <w:p>
            <w:pPr>
              <w:spacing w:after="0"/>
              <w:rPr>
                <w:sz w:val="22"/>
                <w:szCs w:val="22"/>
                <w:color w:val="auto"/>
              </w:rPr>
            </w:pPr>
          </w:p>
        </w:tc>
        <w:tc>
          <w:tcPr>
            <w:tcW w:w="242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F&amp;A</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31, 2018, cost of revenues was $584.8 million compared to $495.1 million for the year ended December 31, 2017, an increase of $89.7 million, or 18.1%. Our gross margin for the year ended December 31, 2018 was 33.8% compared to 35.0% for year ended December 31, 2017, a decrease of 120 basis points (“bps”).</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cost of revenues in Insurance of $15.5 million was primarily due to an increase in employee-related costs of $15.9 million on account of higher headcount and wage inflation, technology and infrastructure costs of $1.7 million, travel and other operating costs of $1.1 million, partially offset by lower professional fees of $2.0 million and currency movements net of hedging of $1.2 million. Gross margin in Insurance increased by 10 bps during the year ended December 31, 2018 compared to the year ended December 31, 2017, primarily due to higher revenues and margin expansion in existing clients.</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cost of revenues in Healthcare of $17.4 million was primarily due to an increase in employee-related costs of $15.2 million, technology and infrastructure costs of $3.8 million and other operating cost of $0.5 million, on account of our acquisition of Health Integrated in 2017, partially offset by decrease in other operating costs of $1.5 million and currency movements net of hedging of $0.6 million. Gross margin in Healthcare decreased by 14.9% during the year ended December 31, 2018 compared to the year ended December 31, 2017, primarily due to the impact of our Health Integrated business, lower revenue from existing clients and the termination of certain client contracts.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cost of revenues in TT&amp;L of $0.2 million was primarily due to currency movements net of hedging of $0.7 million, partially offset by an increase in employee-related costs of $0.5 million. Gross margin in TT&amp;L decreased by 20 bps due to margin contraction in existing clients during the year ended December 31, 2018 compared to the year ended December 31, 2017.</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increase in cost of revenues in F&amp;A of $7.8 million was primarily due to an increase in employee-related costs of $6.4 million on account of higher headcount and wage inflation, higher technology and infrastructure costs of $1.2 million, and travel costs of $1.1 million, partially offset by other operating costs of $0.3 million and currency movements net of hedging of $0.6 million. Gross margin in F&amp;A decreased by 100 bps during the year ended December 31, 2018 compared to the year ended December 31, 2017, primarily due to higher operating expenses associated with the initiation of services for new clients.</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All Other of $1.6 million was primarily due to an increase in employee-related costs of $2.9 million on account of higher headcount and wage inflation, partially offset by other operating costs of $0.3 million and currency movements net of hedging of $0.8 million. Gross margin in All Other increased by 120 bps during the year ended December 31, 2018 compared to the year ended December 31, 2017, primarily due to higher revenues in our Consulting operating segment.</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cost of revenues in Analytics of $47.6 million was primarily due to an increase in employee-related costs of $36.8 million on account of higher headcount and wage inflation, including incremental cost related to our acquisition of SCIO in July 2018 of $19.9 million. The remaining increase was attributable to other operating costs of $11.8 million, partially offset by currency movements net of hedging of $1.0 million. Gross margin in Analytics increased by 50 bps during the year ended December 31, 2018 compared to the year ended December 31, 2017, primarily as a result of increased gross margin from our SCIO acquisition.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2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restart"/>
          </w:tcPr>
          <w:p>
            <w:pPr>
              <w:jc w:val="right"/>
              <w:ind w:right="25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40" w:type="dxa"/>
            <w:vAlign w:val="bottom"/>
          </w:tcPr>
          <w:p>
            <w:pPr>
              <w:spacing w:after="0"/>
              <w:rPr>
                <w:sz w:val="21"/>
                <w:szCs w:val="21"/>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color w:val="auto"/>
        </w:rPr>
        <w:t xml:space="preserve">The increase in SG&amp;A expenses of $23.8 million was primarily due to an increase in employee-related costs of $18.9 million, including incremental costs related to our SCIO acquisition in July 2018 and Health Integrated acquisition in December 2017 of $12.8 million. </w:t>
      </w:r>
      <w:r>
        <w:rPr>
          <w:rFonts w:ascii="Arial" w:cs="Arial" w:eastAsia="Arial" w:hAnsi="Arial"/>
          <w:sz w:val="19"/>
          <w:szCs w:val="19"/>
          <w:color w:val="auto"/>
        </w:rPr>
        <w:t>Ther</w:t>
      </w:r>
      <w:r>
        <w:rPr>
          <w:rFonts w:ascii="Arial" w:cs="Arial" w:eastAsia="Arial" w:hAnsi="Arial"/>
          <w:sz w:val="18"/>
          <w:szCs w:val="18"/>
          <w:color w:val="auto"/>
        </w:rPr>
        <w:t>e was a further increase in infrastructure and other operating costs of $4.4 million related to the above described acquisitions. The remaining increase of $1.6 mi</w:t>
      </w:r>
      <w:r>
        <w:rPr>
          <w:rFonts w:ascii="Arial" w:cs="Arial" w:eastAsia="Arial" w:hAnsi="Arial"/>
          <w:sz w:val="19"/>
          <w:szCs w:val="19"/>
          <w:color w:val="auto"/>
        </w:rPr>
        <w:t>llion</w:t>
      </w:r>
      <w:r>
        <w:rPr>
          <w:rFonts w:ascii="Arial" w:cs="Arial" w:eastAsia="Arial" w:hAnsi="Arial"/>
          <w:sz w:val="18"/>
          <w:szCs w:val="18"/>
          <w:color w:val="auto"/>
        </w:rPr>
        <w:t xml:space="preserve"> due to continued investments in strategic initiatives, product development, digital technology, advance automation and robotics, partially offset by currency movements net of hedging of $1.1 million.</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2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restart"/>
          </w:tcPr>
          <w:p>
            <w:pPr>
              <w:jc w:val="right"/>
              <w:ind w:right="25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91"/>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1"/>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60" w:type="dxa"/>
            <w:vAlign w:val="bottom"/>
          </w:tcPr>
          <w:p>
            <w:pPr>
              <w:spacing w:after="0"/>
              <w:rPr>
                <w:sz w:val="21"/>
                <w:szCs w:val="21"/>
                <w:color w:val="auto"/>
              </w:rPr>
            </w:pPr>
          </w:p>
        </w:tc>
        <w:tc>
          <w:tcPr>
            <w:tcW w:w="520" w:type="dxa"/>
            <w:vAlign w:val="bottom"/>
          </w:tcPr>
          <w:p>
            <w:pPr>
              <w:jc w:val="right"/>
              <w:ind w:right="94"/>
              <w:spacing w:after="0"/>
              <w:rPr>
                <w:sz w:val="20"/>
                <w:szCs w:val="20"/>
                <w:color w:val="auto"/>
              </w:rPr>
            </w:pPr>
            <w:r>
              <w:rPr>
                <w:rFonts w:ascii="Arial" w:cs="Arial" w:eastAsia="Arial" w:hAnsi="Arial"/>
                <w:sz w:val="18"/>
                <w:szCs w:val="18"/>
                <w:color w:val="auto"/>
                <w:w w:val="91"/>
              </w:rPr>
              <w:t>20.4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1"/>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increase in intangibles amortization expense of $6.4 million was primarily due to amortization of intangibles associated with our SCIO acquisition in July 2018 and Health Integrated acquisition in December 2017. The increase in depreciation expense of $3.7 million was due to depreciation related to our new operating centers commenced during 2017 to support our business growth and depreciation associated with our acquisitions.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4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5"/>
        </w:trPr>
        <w:tc>
          <w:tcPr>
            <w:tcW w:w="44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2440" w:type="dxa"/>
            <w:vAlign w:val="bottom"/>
            <w:tcBorders>
              <w:top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8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9"/>
                <w:szCs w:val="19"/>
                <w:color w:val="auto"/>
              </w:rPr>
            </w:pPr>
          </w:p>
        </w:tc>
        <w:tc>
          <w:tcPr>
            <w:tcW w:w="260" w:type="dxa"/>
            <w:vAlign w:val="bottom"/>
            <w:tcBorders>
              <w:top w:val="single" w:sz="8" w:color="auto"/>
            </w:tcBorders>
            <w:vMerge w:val="restart"/>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fourth quarter of 2018, we recognized an impairment charge of $20.1 million to write down the carrying value of goodwill of $14.2 million and intangible assets of $5.9 million to their fair values related to our Health Integrated reporting unit within our Healthcare operating segment. The primary factors contributing to an impairment charge were (i) revenues and profitability for the Health Integrated business in 2018 were significantly lower than our budget and (ii) significant changes to the Company's estimated future cash flows and long-term growth assumptions driven by loss of customer contracts, cost pressures and the Company’s most recent views of the long-term outlook for the Health Integrated business. See Note 10 to our consolidated financial statements.</w:t>
      </w:r>
    </w:p>
    <w:p>
      <w:pPr>
        <w:spacing w:after="0" w:line="1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decreased by $22.9 million, or 31.5%, from $72.7 million for the year ended December 31, 2017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$49.8 million for the year ended December 31, 2018 primarily due to impairment charges of $20.1 million. As a percentage of revenues, income from operations decreased from 9.5% for the year ended December 31, 2017 to 5.6% for the year ended December 31, 2018.</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37"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year ended December 31, 2018. The average exchange rate of the U.S. dollar against the Indian rupee increased from 64.93 during the year ended December 31, 2017 to 68.48 during the year ended December 31, 2018. The average exchange rate of the U.K. pound sterling against the U.S. dollar increased from 1.30 during the year ended December 31, 2017 to 1.33 during the year ended December 31, 2018. The average exchange rate of the U.S. dollar against the Philippine peso increased from 50.38 during the year ended December 31, 2017 to 52.69 during the year ended December 31, 2018.</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$4.8 million for the year ended December 31, 2018 compared to the net foreign exchange gain of $2.8 million for the year ended December 31, 2017.</w:t>
      </w:r>
    </w:p>
    <w:p>
      <w:pPr>
        <w:spacing w:after="0" w:line="17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color w:val="auto"/>
        </w:rPr>
        <w:t>. Interest expense increased from $1.9 million for the year ended December 31, 2017 to $7.2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primarily due to increase in borrowings under our new credit facility, issuance of convertible notes and higher effective interest rates.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36"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40" w:type="dxa"/>
        <w:tblCellMar>
          <w:top w:w="0" w:type="dxa"/>
          <w:left w:w="0" w:type="dxa"/>
          <w:bottom w:w="0" w:type="dxa"/>
          <w:right w:w="0" w:type="dxa"/>
        </w:tblCellMar>
      </w:tblPr>
      <w:tr>
        <w:trPr>
          <w:trHeight w:val="47"/>
        </w:trPr>
        <w:tc>
          <w:tcPr>
            <w:tcW w:w="46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8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1"/>
              </w:rPr>
              <w:t>(dollars in millions)</w:t>
            </w: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and mark-to-market of mutual funds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8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net increased by $1.6 million, from $11.4 million for the year ended December 31, 2017 to $13.0 million for the year ended December 31, 2018 primarily due to higher return on mutual fund investments of $1.2 million and interest and dividend income of $0.3 million.</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We recorded income tax expense of $3.4 million and $36.1 million for the year ended December 31, 2018 and 2017,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effective tax rate decreased from 42.5% during the year ended December 31, 2017 to 5.6% during the year ended December 31, 2018 primarily as a result of: (i) a reduction in federal statutory tax rate and (ii) the impact of one-time transition tax of $27.2 million on the mandatory deemed repatriation of accumulated earnings and profits (“E&amp;P”) of foreign subsidiaries and deferred tax re-measurement of $1.9 million under the Tax Reform Act, during the year ended December 31, 2017 compared to $0.2 million during the year ended December 31, 2018 . See Note 22 to our consolidated financial statements.</w:t>
      </w:r>
    </w:p>
    <w:p>
      <w:pPr>
        <w:spacing w:after="0" w:line="15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$48.9 million for the year ended December 31, 2017 to $56.7 million for the year ended December 31,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decrease in income tax expense of $32.7 million, increase in foreign exchange gains of $2.0 million and other income of $1.6 million, partially offset by lower income from operation of $22.9 million, higher interest expense of $5.3 million and loss from equity-method investment of $0.3 million. As a percentage of revenues, net income was 6.4% in each of the years ended December 31, 2018 and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2"/>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6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r>
      <w:tr>
        <w:trPr>
          <w:trHeight w:val="196"/>
        </w:trPr>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cash equivalents and restricted 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113.2</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for)/provided by financing activities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Closing cash, cash equivalents and restricted cash</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94.3</w:t>
            </w:r>
          </w:p>
        </w:tc>
      </w:tr>
      <w:tr>
        <w:trPr>
          <w:trHeight w:val="27"/>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2019 and 2018, we had $321.4 million and $280.4 million, respectively, in cash, cash equivalents and short-term investments, of which $250.4 million and $234.1 million, respectively, is located in foreign jurisdictions that upon distribution may be subject to withholding and other taxes and we do not currently intend to distribute such amounts. If, in the future, we change our intention regarding distributions, additional taxes may be required and would be recorded in the period the intention changes.</w:t>
      </w:r>
    </w:p>
    <w:p>
      <w:pPr>
        <w:spacing w:after="0" w:line="18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$168.4 million for the year ended December 31, 2019 as compared to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$92.4 million during the year ended December 31, 2018. Generally, factors that affect our earnings, for instance, pricing, volume of services, costs and productivity, affect our cash flows used or provided from operations in a similar manner. However, while management of working capital, including timing of collections and payments affects operating results only indirectly, the impact on the working capital requirements and cash flows provided by operating activities can be significant.</w:t>
      </w:r>
    </w:p>
    <w:p>
      <w:pPr>
        <w:spacing w:after="0" w:line="1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Cash flows provided by operating activities for the year ended December 31, 2019 was $168.4 million. This comprised of net income plus the net effect of non-cash items, such as depreciation and amortization expense, stock-based compensation expense, amortization of operating lease right-of-use assets, unrealized gains on short-term investment, deferred income taxes, impairment charges and others aggregating to $156.2 million. The primary working capital use of cash of $34.1 million during the year ended December 31, 2019 was driven by decrease in operating lease liabilities and increase in accounts receivables, and other assets. The primary working capital sources of cash of $46.3 million was driven by an increase in accrued employee costs, accrued expenses and other liabilities, deferred revenue, accounts payable and decrease in advance income tax, prepaid expenses and other current assets.</w:t>
      </w:r>
    </w:p>
    <w:p>
      <w:pPr>
        <w:spacing w:after="0" w:line="1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flows provided by operating activities for the year ended December 31, 2018 was $92.4 million.This comprised of net income plus the net effect of non-cash items, such as depreciation and amortization expense, stock-based compensation expense, deferred income taxes, impairment charges and others aggregating to $133.0 million. The primary working capital use of cash of $41.9 million during the year ended December 31, 2018 was driven by an increase in accounts receivables, advance income tax, prepaid expenses and other assets. The primary working capital sources of cash of $1.3 million was driven by higher accrued employee costs.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flows provided by operating activities for the year ended December 31, 2017 was $113.2 million. This comprised of net income plus the net effect of non-cash items, such as depreciation and amortization expense, stock-based compensation expense, allowance for doubtful accounts receivables and others aggregating to $116.2 million. The primary working capital use of cash of $29.3 million was driven by an increase in accounts receivables, other assets and decrease in deferred revenue. The primary working capital sources of cash of $26.3 million was driven by decrease in net advance tax and higher accrued expenses and other liabilities, accrued employee costs and accounts payable.</w:t>
      </w:r>
    </w:p>
    <w:p>
      <w:pPr>
        <w:spacing w:after="0" w:line="188"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flows used for investing activities were $51.4 million for the year ended December 31, 2019 as compared to cash flows used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investing activities of $277.5 million for the year ended December 31, 2018. The decrease is mainly due to higher cash used for the SCIO acquisition of $231.8 million during the year ended December 31, 2018. This was partially offset by net higher purchase of investments of $11.0 million during the year ended December 31, 2019 as compared to net purchase of investments of $5.2 million during the year ended December 31, 2018.</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flows used for investing activities were $277.5 million for the year ended December 31, 2018 as compared to cash flows used for investing activities of $222.7 million for the year ended December 31, 2017. The increase of $54.8 million was primarily due to an increase in net cash used for business acquisitions of $208.5 million during the year ended December 31, 2018. This was partially offset by net purchase of investments of $5.2 million during the year ended December 31, 2018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compared to net purchase of investments of $161.3 million during the year ended December 31, 2017. See Note 10 to our consolidated financial statements herein for further detail of our business acquisitions.</w:t>
      </w:r>
    </w:p>
    <w:p>
      <w:pPr>
        <w:spacing w:after="0" w:line="170"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were $93.1 million during the year ended December 31, 2019 as compared to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financing activities of $197.8 million during the year ended December 31, 2018. The decrease in cash flows provided from financing activities was primarily due to higher net borrowings of $240.4 million (net of repayment) under our Credit Facility and Convertible Notes (as described below in “Financing Arrangements”) during the year ended December 31, 2018 as compared to net repayments (net of proceeds) of $52.2 million during the year ended December 31, 2019. This was partially offset by lower purchases of treasury stock by $1.7 million under our share repurchase program during the year ended December 31, 2019 as compared to the year ended December 31, 2018.</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flows provided by financing activities were $197.8 million during the year ended December 31, 2018 as compared to cash flows used for financing activities of $20.5 million during the year ended December 31, 2017. The increase in cash flows provided by financing activities was primarily due to higher proceeds from borrowings of $225.0 million (net of repayments) under our Credit Facility and Convertible Notes (as described below in “Financing Arrangements”) during the year ended December 31, 2018, partially offset by lower proceeds from exercise of stock options of $7.2 million during the year ended December 31, 2018.</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expect to use cash from operating activities to maintain and expand our business by making investments, primarily related to new facilities and capital expenditures associated with leasehold improvements to build our facilities, and purchase telecommunications equipment and computer hardware and software in connection with managing client operations. We incurred $40.1 million of capital expenditures in the year ended December 31, 2019. We expect to incur capital expenditures of between $40.0 million to $48.0 million in 2020, primarily to meet our growth requirements, including additions to our facilities as well as investments in technology applications, product development, digital technology, advanced automation, robotics and infrastructure.</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(see Note 26 to our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6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 $100.0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we exercised our option under the Credit Agreement to increase the commitments by $100.0 million thereby utilizing the entire revolver under the Credit Facility of $300.0 million, to fund the SCIO acquisition. The incremental commitments were made pursuant to (and constitute part of) the existing commitments and shall be subject to the terms and conditions applicable to the existing commitments as set forth in the Credit Agreement.</w:t>
      </w:r>
    </w:p>
    <w:p>
      <w:pPr>
        <w:spacing w:after="0" w:line="18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our total net leverage ratio, and ranges from 0.15% to 0.30% per annum on the average daily amount by which the aggregate revolving commitments exceed the sum of outstanding revolving loans and letter of credit obligations. The Credit Facility carried an effective interest rate of 4.0% and 3.4% per annum, respectively, during the year ended December 31, 2019 and 2018. See Item 1A-“Risk Factors- We may be required to transition from the use of the LIBOR interest rate index in the future. We could be unable to refinance our outstanding indebtedness on reasonable terms or at all.”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Obligations under the Credit Agreement are guaranteed by our material domestic subsidiaries and are secured by all or substantially all of our assets and that of our material domestic subsidiaries. The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December 31, 2019, we were in compliance with all financial and non-financial covenants listed under the Credit Agreement.</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entered into a second amendment (the “Amendment”) to our Credit Agreement, as amended, among the Company, as borrower, with certain lenders, and Citibank, N.A. as Administrative Agent to, among other things, permit the issuance by the Company of the Notes, and settlement upon maturity or conversion thereof, in accordance with the Investment Agreement, the indenture dated as of October 4, 2018 and the other documents entered into in connection therewith.</w:t>
      </w:r>
    </w:p>
    <w:p>
      <w:pPr>
        <w:spacing w:after="0" w:line="187"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As of December 31, 2019, we had outstanding indebtedness under the credit facility of $99.0 million of which $40.0 million is expected to be repaid within the next twelve months and is included under “current portion of long-term borrowings” and of which $59.0 million is included under “long-term borrowings, less current portion” in the consolidated balance sheets. As of December 31, 2018, we had outstanding indebtedness under the credit facility of $150.0 million, of which $20.0 million was included under “current portion of long-term borrowings,” and the balance of $130.0 million was included under “long-term borrowings, net of current portion”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October 1, 2018, we entered into an investment agreement (the “Investment Agreement”) with Orogen Echo LLC, an affiliate of The Orogen Group LLC, relating to the issuance to the Purchaser of $150.0 million in an aggregate principal amount of 3.50% Convertible Senior Notes due October 1, 2024 (the "Notes"). The Notes were issued on October 4, 2018. The Notes bear interest at a rate of 3.50% per annum, payable semi-annually in arrears in cash on April 1 and October 1 of each year. During the year ended December 31, 2019 and 2018, we recognized interest expense of $5.2 million and $1.3 million, respectively, on the Notes. The Notes are convertible at an initial conversion rate of 13.3333 shares of the common stock per one thousand dollar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our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 We may elect to settle conversions of the Notes by paying or delivering, as the case may be, cash, shares of our common stock or a combination of cash and shares of our common stock. We used the proceeds from the issuance of Notes to repay $150.0 million of our outstanding borrowings under the Credit Facility.</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 resulting effective interest rate for the Notes was 5.75% per annum. The excess of the gross proceeds received over the estimated fair value of the liability component totaling $16.9 million,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year ended December 31, 2019 and 2018, we amortized $2.5 million and $0.6 million, respectively of the discount to interest expense on the Notes. The unamortized debt discount on the Notes as of December 31, 2019 and 2018 was $13.8 million and $16.3 million, respectively.</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ordinary course of business, we provide standby letters of credit to third parties primarily for facility leases. As of December 31, 2019 and 2018, we had outstanding letters of credit of $0.5 million and $nil, respectively, that were not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our consolidated balance sheets.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December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rPr>
              <w:t>Payment Due by Period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Less than</w:t>
            </w:r>
          </w:p>
        </w:tc>
        <w:tc>
          <w:tcPr>
            <w:tcW w:w="26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After</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260" w:type="dxa"/>
            <w:vAlign w:val="bottom"/>
          </w:tcPr>
          <w:p>
            <w:pPr>
              <w:spacing w:after="0"/>
              <w:rPr>
                <w:sz w:val="23"/>
                <w:szCs w:val="23"/>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3"/>
                <w:szCs w:val="23"/>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5 years</w:t>
            </w:r>
          </w:p>
        </w:tc>
        <w:tc>
          <w:tcPr>
            <w:tcW w:w="26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920"/>
              <w:spacing w:after="0"/>
              <w:rPr>
                <w:sz w:val="20"/>
                <w:szCs w:val="20"/>
                <w:color w:val="auto"/>
              </w:rPr>
            </w:pPr>
            <w:r>
              <w:rPr>
                <w:rFonts w:ascii="Arial" w:cs="Arial" w:eastAsia="Arial" w:hAnsi="Arial"/>
                <w:sz w:val="18"/>
                <w:szCs w:val="18"/>
                <w:b w:val="1"/>
                <w:bCs w:val="1"/>
                <w:color w:val="auto"/>
                <w:w w:val="94"/>
              </w:rPr>
              <w:t>(dollars in millions)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440" w:type="dxa"/>
            <w:vAlign w:val="bottom"/>
          </w:tcPr>
          <w:p>
            <w:pPr>
              <w:spacing w:after="0"/>
              <w:rPr>
                <w:sz w:val="23"/>
                <w:szCs w:val="23"/>
                <w:color w:val="auto"/>
              </w:rPr>
            </w:pPr>
          </w:p>
        </w:tc>
        <w:tc>
          <w:tcPr>
            <w:tcW w:w="42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(a)</w:t>
            </w: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50"/>
        </w:trPr>
        <w:tc>
          <w:tcPr>
            <w:tcW w:w="4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440" w:type="dxa"/>
            <w:vAlign w:val="bottom"/>
          </w:tcPr>
          <w:p>
            <w:pPr>
              <w:spacing w:after="0"/>
              <w:rPr>
                <w:sz w:val="23"/>
                <w:szCs w:val="23"/>
                <w:color w:val="auto"/>
              </w:rPr>
            </w:pPr>
          </w:p>
        </w:tc>
        <w:tc>
          <w:tcPr>
            <w:tcW w:w="42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4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payments</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7"/>
        </w:trPr>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64"/>
        </w:trPr>
        <w:tc>
          <w:tcPr>
            <w:tcW w:w="440" w:type="dxa"/>
            <w:vAlign w:val="bottom"/>
          </w:tcPr>
          <w:p>
            <w:pPr>
              <w:spacing w:after="0"/>
              <w:rPr>
                <w:sz w:val="22"/>
                <w:szCs w:val="22"/>
                <w:color w:val="auto"/>
              </w:rPr>
            </w:pPr>
          </w:p>
        </w:tc>
        <w:tc>
          <w:tcPr>
            <w:tcW w:w="420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391" w:lineRule="exact"/>
        <w:rPr>
          <w:sz w:val="20"/>
          <w:szCs w:val="20"/>
          <w:color w:val="auto"/>
        </w:rPr>
      </w:pPr>
    </w:p>
    <w:p>
      <w:pPr>
        <w:ind w:left="840" w:hanging="440"/>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lease liabilities payable for the expected lease term.</w:t>
      </w:r>
    </w:p>
    <w:p>
      <w:pPr>
        <w:spacing w:after="0" w:line="171" w:lineRule="exact"/>
        <w:rPr>
          <w:rFonts w:ascii="Arial" w:cs="Arial" w:eastAsia="Arial" w:hAnsi="Arial"/>
          <w:sz w:val="18"/>
          <w:szCs w:val="18"/>
          <w:color w:val="auto"/>
        </w:rPr>
      </w:pPr>
    </w:p>
    <w:p>
      <w:pPr>
        <w:ind w:left="860" w:hanging="460"/>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estimated payments under the Gratuity Plan.</w:t>
      </w:r>
    </w:p>
    <w:p>
      <w:pPr>
        <w:spacing w:after="0" w:line="171" w:lineRule="exact"/>
        <w:rPr>
          <w:rFonts w:ascii="Arial" w:cs="Arial" w:eastAsia="Arial" w:hAnsi="Arial"/>
          <w:sz w:val="18"/>
          <w:szCs w:val="18"/>
          <w:color w:val="auto"/>
        </w:rPr>
      </w:pPr>
    </w:p>
    <w:p>
      <w:pPr>
        <w:ind w:left="840" w:hanging="440"/>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on borrowings is calculated based on the interest rate on the outstanding borrowings as of December 31, 2019.</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Excludes $1.0 million related to uncertain tax positions, since the extent of the amount and timing of payment is currently not reliably estimable or determinable.</w:t>
      </w:r>
    </w:p>
    <w:p>
      <w:pPr>
        <w:spacing w:after="0" w:line="184"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7"/>
          <w:szCs w:val="17"/>
          <w:color w:val="auto"/>
        </w:rPr>
        <w:t>Certain units of our Indian subsidiaries were established as 100% Export-Oriented units under the Software Technology Parks of India (“STPI”) or Special Economic Zone ("SEZ")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6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operations centers in the Philippines are registered with the Philippine Economic Zone Authority (“PEZA”).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the consolidated financial statements contained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 xml:space="preserve">Foreign Currency Risk. </w:t>
      </w:r>
      <w:r>
        <w:rPr>
          <w:rFonts w:ascii="Arial" w:cs="Arial" w:eastAsia="Arial" w:hAnsi="Arial"/>
          <w:sz w:val="17"/>
          <w:szCs w:val="17"/>
          <w:color w:val="auto"/>
        </w:rPr>
        <w:t>Our exposure to market risk arises principally from exchange rate risk. Although substantially all of our revenues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denominated in U.S. dollars 85.9% in the year ended December 31, 2019 or U.K. pounds sterling 10.2% in the year ended December 31, 2019, a substantial portion of our expenses were incurred and paid in Indian rupees and Philippine peso 25.6% and 7.9% respectively, in the year ended December 31, 2019. We also incur expenses in U.S. dollars, and currencies of the other countries in which we have operations. The exchange rates among the Indian rupee, the Philippine peso and the U.S. dollar have changed substantially in recent years and may fluctuate substantially in the future.</w:t>
      </w:r>
    </w:p>
    <w:p>
      <w:pPr>
        <w:spacing w:after="0" w:line="6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exchange rate risk primarily arises from our foreign currency revenues, expenses incurred by our foreign subsidiaries and foreign currency accounts receivable and payable. The average exchange rate of the Indian rupee against the U.S. dollar increased from 68.48 during the year ended December 31, 2018 to 70.36 during the year ended December 31, 2019, representing a depreciation of 2.7%. The average exchange rate of the Philippine peso against the U.S. dollar decreased from 52.69 during the year ended December 31, 2018 to 51.57 during the year ended December 31, 2019, representing an appreciation of 2.1%. Based upon our level of operations during the year ended December 31, 2019 and excluding any hedging arrangements that we had in place during that period, a 10% appreciation/depreciation in the Indian rupee against the U.S. dollar would have increased/decreased our revenues by approximately $7.3 million and increased/decreased our expenses incurred and paid in Indian rupees by approximately $23.4 million in the year ended December 31, 2019, respectively. Similarly, a 10% appreciation/depreciation in the Philippine Peso against the U.S. dollar would have increased/decreased our revenues by approximately $0.3 million and increased/decreased our expenses incurred and paid in Philippine Peso by approximately $7.2 million in the year ended December 31, 2019.</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customer contracts include protection against foreign exchange rate fluctuations which minimizes the impact of volatility in the exchange rates on our operating results.</w:t>
      </w:r>
    </w:p>
    <w:p>
      <w:pPr>
        <w:spacing w:after="0" w:line="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flow hedges with notional amounts of $410.4 million (including $4.3 million of range forward contracts) and $362.4 million (including $6.9 million of range forward contracts) were outstanding as at December 31, 2019 and 2018, respectively, with maturity periods of one to forty five-months. The fair value of these cash flow hedges as of December 31, 2019 and 2018 was $4.6 million and ($0.2) million respectively and is included in Accumulated Other Comprehensive loss on our Consolidated Balance Sheets. During the year ended December 31, 2019 we recognized $4.0 million as a foreign exchange gain from the maturing cash flow hedges, which was largely offset by the foreign exchange loss on the related expenses of $4.3 million. The net impact on earnings for the year ended December 31, 2019 from the maturing cash flow hedges was insignificant, offset by an insignificant foreign currency impact on the related expenses.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We also enter into foreign currency forward contracts to economically hedge our intercompany balances and other monetary assets and liabilities denominated in currencies other than functional currencies. These derivatives do not qualify as fair value hedges under ASC No.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(“ASC 815”). Changes in the fair value of these derivatives are recognized in the consolidated statements of income and are included in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$124.0 million, GBP 10.8 million and EUR 1.3 million were outstanding at December 31, 2019 compared to $125.5 million, GBP 15.6 million and EUR 0.5 million outstanding at December 31, 2018. The fair values of these derivative instruments as of December 31, 2019 and 2018 were insignificant in both year and are included in the "foreign exchange gain/(loss)" in our Consolidated Statements of Income. At December 31, 2019, the outstanding derivative instruments had maturities of 31 days or less.</w:t>
      </w:r>
    </w:p>
    <w:p>
      <w:pPr>
        <w:spacing w:after="0" w:line="18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As described in “Item 7. Management’s Discussion and Analysis of Financial Condition and Results of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21, 2017 we entered into the Credit Agreement that provides for a $200.0 million revolving credit facility and a letter of credit sub-facility. We have an option to increase the commitments under the Credit Facility by up to an additional $100.0 million. On July 2, 2018, we exercised our option under the Credit Agreement to increase the commitments to $300.0 million. The Credit Facility has a maturity date of November 21, 2022 and is voluntarily pre-payable from time to time without premium or penalty.</w:t>
      </w:r>
    </w:p>
    <w:p>
      <w:pPr>
        <w:spacing w:after="0" w:line="18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Depending on the type of borrowing, loans under the Credit Facility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0.15% to 0.30% per annum on the average daily amount by which the aggregate revolving commitments exceed the sum of outstanding revolving loans and letter of credit obligations. A 50 basis point increase or decrease in interest rates may impact our interest expense for the year ended December 31, 2019 by approximately $0.7 million. See Item 1A-“Risk Factors- We may be required to transition from the use of the LIBOR interest rate index in the future. We could be unable to refinance our outstanding indebtedness on reasonable terms or at all.”</w:t>
      </w:r>
    </w:p>
    <w:p>
      <w:pPr>
        <w:spacing w:after="0" w:line="18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October 2018, we issued the Notes with an aggregate principal amount of $150.0 million (see Note 18, Borrowings). The Notes bear interest at a fixed rate, so we have no financial statement impact from changes in interest rates. However, changes in market interest rates impact the fair value of the convertible notes along with other variables such as our credit spreads and the market price and volatility of our common stock.</w:t>
      </w:r>
    </w:p>
    <w:p>
      <w:pPr>
        <w:spacing w:after="0" w:line="16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had cash, cash equivalents and short-term investments totaling $321.4 million and $280.4 million at December 31, 2019 and 2018, respectively. These amounts were invested principally in a short-term investment portfolio primarily comprised of highly-rated debt mutual funds, money market accounts and time deposits. The cash and cash equivalents are held for potential acquisitions of complementary businesses or assets, capital expenditures,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would have impacted our interest income for the year ended December 31, 2019 by approximately $1.0 million.</w:t>
      </w:r>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As of December 31, 2019 and 2018, we have accounts receivable of $171.9 million and $164.8 million, respectively. We believe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accounts receivable balance as on December 31, 2019 and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2019. Based upon that evaluation, the CEO and CFO have concluded that the Company’s disclosure controls and procedures, as of December 31, 2019,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63"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74"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the authorization of our management and our board of directors; and</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management, under the supervision and with the participation of the CEO and CFO, assessed the effectiveness of our internal control over financial reporting as of December 31, 2019. In making this assessment, management used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2019. See Deloitte &amp; Touche LLP's accompanying report on their audit of our internal controls over financial reporting.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December 31, 2019,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additional information required by this Item 10 will be set forth in the definitive proxy statement for our 2020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 of December 31, 2019.</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2019”, “— Grants of Plan-Based Awards Table for Fiscal Year 2019”, “Outstanding Equity Awards at Fiscal 2019 Year-End”, “Option Exercises and Stock Vested During Fiscal Year 2019”, “— Pension Benefits for Fiscal Year 2019”, “— Potential Payments upon Termination or Change in Control at Fiscal 2019 Year-End”, “— Director Compensation for Fiscal Year 2019”, “— Risk and Compensation Policies” and “Corporate Governance —Compensation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“Principal Stockholders”.</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117"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consolidated financial statements required to be filed in the Annual Report on Form 10-K are listed on page F-1 hereof. The required financial statements appear on pages F-6 through F-58 hereof.</w:t>
      </w:r>
    </w:p>
    <w:p>
      <w:pPr>
        <w:spacing w:after="0" w:line="62" w:lineRule="exact"/>
        <w:rPr>
          <w:sz w:val="20"/>
          <w:szCs w:val="20"/>
          <w:color w:val="auto"/>
        </w:rPr>
      </w:pPr>
    </w:p>
    <w:p>
      <w:pPr>
        <w:ind w:left="820" w:hanging="407"/>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82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820"/>
        <w:spacing w:after="0" w:line="277" w:lineRule="auto"/>
        <w:rPr>
          <w:rFonts w:ascii="Arial" w:cs="Arial" w:eastAsia="Arial" w:hAnsi="Arial"/>
          <w:sz w:val="18"/>
          <w:szCs w:val="18"/>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Date: February 27, 2020</w:t>
            </w:r>
          </w:p>
        </w:tc>
        <w:tc>
          <w:tcPr>
            <w:tcW w:w="7980" w:type="dxa"/>
            <w:vAlign w:val="bottom"/>
            <w:gridSpan w:val="2"/>
          </w:tcPr>
          <w:p>
            <w:pPr>
              <w:ind w:left="1620"/>
              <w:spacing w:after="0"/>
              <w:rPr>
                <w:sz w:val="20"/>
                <w:szCs w:val="20"/>
                <w:color w:val="auto"/>
              </w:rPr>
            </w:pPr>
            <w:r>
              <w:rPr>
                <w:rFonts w:ascii="Arial" w:cs="Arial" w:eastAsia="Arial" w:hAnsi="Arial"/>
                <w:sz w:val="18"/>
                <w:szCs w:val="18"/>
                <w:b w:val="1"/>
                <w:bCs w:val="1"/>
                <w:color w:val="auto"/>
              </w:rPr>
              <w:t>EXLSERVICE HOLDINGS, INC.</w:t>
            </w:r>
          </w:p>
        </w:tc>
      </w:tr>
      <w:tr>
        <w:trPr>
          <w:trHeight w:val="615"/>
        </w:trPr>
        <w:tc>
          <w:tcPr>
            <w:tcW w:w="3380" w:type="dxa"/>
            <w:vAlign w:val="bottom"/>
          </w:tcPr>
          <w:p>
            <w:pPr>
              <w:spacing w:after="0"/>
              <w:rPr>
                <w:sz w:val="24"/>
                <w:szCs w:val="24"/>
                <w:color w:val="auto"/>
              </w:rPr>
            </w:pPr>
          </w:p>
        </w:tc>
        <w:tc>
          <w:tcPr>
            <w:tcW w:w="7980" w:type="dxa"/>
            <w:vAlign w:val="bottom"/>
            <w:gridSpan w:val="2"/>
          </w:tcPr>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4"/>
                <w:szCs w:val="14"/>
                <w:color w:val="auto"/>
              </w:rPr>
              <w:t>/S/ MAURIZIO NICOLELLI</w:t>
            </w:r>
          </w:p>
        </w:tc>
      </w:tr>
      <w:tr>
        <w:trPr>
          <w:trHeight w:val="152"/>
        </w:trPr>
        <w:tc>
          <w:tcPr>
            <w:tcW w:w="33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800" w:type="dxa"/>
            <w:vAlign w:val="bottom"/>
            <w:tcBorders>
              <w:top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MAURIZIO NICOLELLI</w:t>
            </w:r>
          </w:p>
        </w:tc>
      </w:tr>
      <w:tr>
        <w:trPr>
          <w:trHeight w:val="149"/>
        </w:trPr>
        <w:tc>
          <w:tcPr>
            <w:tcW w:w="3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bl>
    <w:p>
      <w:pPr>
        <w:spacing w:after="0" w:line="21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Signature</w:t>
            </w:r>
          </w:p>
        </w:tc>
        <w:tc>
          <w:tcPr>
            <w:tcW w:w="214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3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4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4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Vice-Chairman and 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41"/>
        </w:trPr>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Rohit Kapoor</w:t>
            </w:r>
          </w:p>
        </w:tc>
        <w:tc>
          <w:tcPr>
            <w:tcW w:w="446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7"/>
              </w:rPr>
              <w:t>Garen K. Staglin</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1"/>
        </w:trPr>
        <w:tc>
          <w:tcPr>
            <w:tcW w:w="1440" w:type="dxa"/>
            <w:vAlign w:val="bottom"/>
          </w:tcPr>
          <w:p>
            <w:pPr>
              <w:ind w:left="12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20" w:type="dxa"/>
            <w:vAlign w:val="bottom"/>
            <w:gridSpan w:val="5"/>
          </w:tcPr>
          <w:p>
            <w:pPr>
              <w:jc w:val="center"/>
              <w:ind w:right="10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AURIZIO</w:t>
            </w:r>
            <w:r>
              <w:rPr>
                <w:rFonts w:ascii="Arial" w:cs="Arial" w:eastAsia="Arial" w:hAnsi="Arial"/>
                <w:sz w:val="18"/>
                <w:szCs w:val="18"/>
                <w:color w:val="auto"/>
              </w:rPr>
              <w:t xml:space="preserve"> N</w:t>
            </w:r>
            <w:r>
              <w:rPr>
                <w:rFonts w:ascii="Arial" w:cs="Arial" w:eastAsia="Arial" w:hAnsi="Arial"/>
                <w:sz w:val="14"/>
                <w:szCs w:val="14"/>
                <w:color w:val="auto"/>
              </w:rPr>
              <w:t>ICOLELLI</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and</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41"/>
        </w:trPr>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6"/>
              </w:rPr>
              <w:t>Maurizio Nicolelli</w:t>
            </w:r>
          </w:p>
        </w:tc>
        <w:tc>
          <w:tcPr>
            <w:tcW w:w="446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44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 E.</w:t>
            </w:r>
            <w:r>
              <w:rPr>
                <w:rFonts w:ascii="Arial" w:cs="Arial" w:eastAsia="Arial" w:hAnsi="Arial"/>
                <w:sz w:val="18"/>
                <w:szCs w:val="18"/>
                <w:color w:val="auto"/>
              </w:rPr>
              <w:t xml:space="preserve"> M</w:t>
            </w:r>
            <w:r>
              <w:rPr>
                <w:rFonts w:ascii="Arial" w:cs="Arial" w:eastAsia="Arial" w:hAnsi="Arial"/>
                <w:sz w:val="14"/>
                <w:szCs w:val="14"/>
                <w:color w:val="auto"/>
              </w:rPr>
              <w:t>INTO</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Anne E. Minto</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4"/>
              </w:rPr>
              <w:t>Clyde W. Ostler</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4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David B. Kelso</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4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0"/>
              </w:rPr>
              <w:t>/S/</w:t>
            </w:r>
          </w:p>
        </w:tc>
        <w:tc>
          <w:tcPr>
            <w:tcW w:w="80" w:type="dxa"/>
            <w:vAlign w:val="bottom"/>
          </w:tcPr>
          <w:p>
            <w:pPr>
              <w:spacing w:after="0"/>
              <w:rPr>
                <w:sz w:val="24"/>
                <w:szCs w:val="24"/>
                <w:color w:val="auto"/>
              </w:rPr>
            </w:pP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EBORAH</w:t>
            </w:r>
            <w:r>
              <w:rPr>
                <w:rFonts w:ascii="Arial" w:cs="Arial" w:eastAsia="Arial" w:hAnsi="Arial"/>
                <w:sz w:val="18"/>
                <w:szCs w:val="18"/>
                <w:color w:val="auto"/>
                <w:w w:val="97"/>
              </w:rPr>
              <w:t xml:space="preserve"> K</w:t>
            </w:r>
            <w:r>
              <w:rPr>
                <w:rFonts w:ascii="Arial" w:cs="Arial" w:eastAsia="Arial" w:hAnsi="Arial"/>
                <w:sz w:val="14"/>
                <w:szCs w:val="14"/>
                <w:color w:val="auto"/>
                <w:w w:val="97"/>
              </w:rPr>
              <w:t>ERR</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Deborah Kerr</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44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ITIN</w:t>
            </w:r>
            <w:r>
              <w:rPr>
                <w:rFonts w:ascii="Arial" w:cs="Arial" w:eastAsia="Arial" w:hAnsi="Arial"/>
                <w:sz w:val="18"/>
                <w:szCs w:val="18"/>
                <w:color w:val="auto"/>
              </w:rPr>
              <w:t xml:space="preserve"> S</w:t>
            </w:r>
            <w:r>
              <w:rPr>
                <w:rFonts w:ascii="Arial" w:cs="Arial" w:eastAsia="Arial" w:hAnsi="Arial"/>
                <w:sz w:val="14"/>
                <w:szCs w:val="14"/>
                <w:color w:val="auto"/>
              </w:rPr>
              <w:t>AHNEY</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Nitin Sahney</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44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OM</w:t>
            </w:r>
            <w:r>
              <w:rPr>
                <w:rFonts w:ascii="Arial" w:cs="Arial" w:eastAsia="Arial" w:hAnsi="Arial"/>
                <w:sz w:val="18"/>
                <w:szCs w:val="18"/>
                <w:color w:val="auto"/>
              </w:rPr>
              <w:t xml:space="preserve"> M</w:t>
            </w:r>
            <w:r>
              <w:rPr>
                <w:rFonts w:ascii="Arial" w:cs="Arial" w:eastAsia="Arial" w:hAnsi="Arial"/>
                <w:sz w:val="14"/>
                <w:szCs w:val="14"/>
                <w:color w:val="auto"/>
              </w:rPr>
              <w:t>ITTAL</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8"/>
              </w:rPr>
              <w:t>Som Mittal</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440" w:type="dxa"/>
            <w:vAlign w:val="bottom"/>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5"/>
          </w:tcPr>
          <w:p>
            <w:pPr>
              <w:ind w:left="1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AYNIE</w:t>
            </w:r>
            <w:r>
              <w:rPr>
                <w:rFonts w:ascii="Arial" w:cs="Arial" w:eastAsia="Arial" w:hAnsi="Arial"/>
                <w:sz w:val="18"/>
                <w:szCs w:val="18"/>
                <w:color w:val="auto"/>
              </w:rPr>
              <w:t xml:space="preserve"> M. S</w:t>
            </w:r>
            <w:r>
              <w:rPr>
                <w:rFonts w:ascii="Arial" w:cs="Arial" w:eastAsia="Arial" w:hAnsi="Arial"/>
                <w:sz w:val="14"/>
                <w:szCs w:val="14"/>
                <w:color w:val="auto"/>
              </w:rPr>
              <w:t>TUDENMUND</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93"/>
              </w:rPr>
              <w:t>Jaynie M. Studenmund</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S. P</w:t>
            </w:r>
            <w:r>
              <w:rPr>
                <w:rFonts w:ascii="Arial" w:cs="Arial" w:eastAsia="Arial" w:hAnsi="Arial"/>
                <w:sz w:val="14"/>
                <w:szCs w:val="14"/>
                <w:color w:val="auto"/>
              </w:rPr>
              <w:t>ANDIT</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27,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5"/>
              </w:rPr>
              <w:t>Vikram S. Pandit</w:t>
            </w: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40" w:type="dxa"/>
            <w:vAlign w:val="bottom"/>
          </w:tcPr>
          <w:p>
            <w:pPr>
              <w:ind w:left="116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60" w:type="dxa"/>
            <w:vAlign w:val="bottom"/>
            <w:gridSpan w:val="29"/>
          </w:tcPr>
          <w:p>
            <w:pPr>
              <w:ind w:left="2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1320" w:type="dxa"/>
            <w:vAlign w:val="bottom"/>
            <w:gridSpan w:val="34"/>
          </w:tcPr>
          <w:p>
            <w:pPr>
              <w:ind w:left="40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tcBorders>
              <w:bottom w:val="single" w:sz="8" w:color="0000FF"/>
            </w:tcBorders>
            <w:gridSpan w:val="33"/>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Agreement of Merger, dated April 28, 2018, by and among ExlService.com, LLC, ExlService Cayman Merger Sub, and SCIOInspire Holdings</w:t>
              </w:r>
            </w:hyperlink>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Inc. (incorporated by reference to Exhibit 2.1 of the Company’s Current Report on Form 8-K (File No. 1-33089) filed on May 1, 2018).</w:t>
              </w:r>
            </w:hyperlink>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0300" w:type="dxa"/>
            <w:vAlign w:val="bottom"/>
            <w:gridSpan w:val="33"/>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Amended and Restated Certificate of Incorporation of the Company (incorporated by reference to Exhibit 3.1 of the Company’s Current</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Report on Form 8-K (File No. 1-33089) filed on October 25, 2006).</w:t>
              </w:r>
            </w:hyperlink>
          </w:p>
        </w:tc>
        <w:tc>
          <w:tcPr>
            <w:tcW w:w="500" w:type="dxa"/>
            <w:vAlign w:val="bottom"/>
            <w:gridSpan w:val="1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300" w:type="dxa"/>
            <w:vAlign w:val="bottom"/>
            <w:tcBorders>
              <w:bottom w:val="single" w:sz="8" w:color="0000FF"/>
            </w:tcBorders>
            <w:gridSpan w:val="33"/>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Certificate of Amendment to Amended and Restated Certificate of Incorporation of the Company (incorporated by reference to Annex A to the</w:t>
              </w:r>
            </w:hyperlink>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Company’s Definitive Proxy Statement on Schedule 14A (File No. 1-33089) filed on April 26, 2019).</w:t>
              </w:r>
            </w:hyperlink>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10300" w:type="dxa"/>
            <w:vAlign w:val="bottom"/>
            <w:gridSpan w:val="33"/>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Fifth Amended and Restated By-laws of the Company (incorporated by reference to Exhibit 3.2 of the Company’s Current Report on Form 8-</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K (File No. 1-33089) filed on June 19, 2019).</w:t>
              </w:r>
            </w:hyperlink>
          </w:p>
        </w:tc>
        <w:tc>
          <w:tcPr>
            <w:tcW w:w="10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0300" w:type="dxa"/>
            <w:vAlign w:val="bottom"/>
            <w:gridSpan w:val="33"/>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Registration Rights Agreement (incorporated by reference to Exhibit 4.1 of the Company’s Current Report on Form 8-K (File No. 1-33089)</w:t>
              </w:r>
            </w:hyperlink>
          </w:p>
        </w:tc>
      </w:tr>
      <w:tr>
        <w:trPr>
          <w:trHeight w:val="196"/>
        </w:trPr>
        <w:tc>
          <w:tcPr>
            <w:tcW w:w="1020" w:type="dxa"/>
            <w:vAlign w:val="bottom"/>
          </w:tcPr>
          <w:p>
            <w:pPr>
              <w:spacing w:after="0"/>
              <w:rPr>
                <w:sz w:val="17"/>
                <w:szCs w:val="17"/>
                <w:color w:val="auto"/>
              </w:rPr>
            </w:pPr>
          </w:p>
        </w:tc>
        <w:tc>
          <w:tcPr>
            <w:tcW w:w="100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filed on October 25, 2006).</w:t>
              </w:r>
            </w:hyperlink>
          </w:p>
        </w:tc>
        <w:tc>
          <w:tcPr>
            <w:tcW w:w="24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0180" w:type="dxa"/>
            <w:vAlign w:val="bottom"/>
            <w:tcBorders>
              <w:bottom w:val="single" w:sz="8" w:color="0000FF"/>
            </w:tcBorders>
            <w:gridSpan w:val="29"/>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Indenture, dated as of October 4, 2018, by and between the Company and Citibank, N.A., as trustee (incorporated by reference to Exhibit 4.1</w:t>
              </w:r>
            </w:hyperlink>
          </w:p>
        </w:tc>
        <w:tc>
          <w:tcPr>
            <w:tcW w:w="12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to the Company’s Current Report on Form 8-K (File No. 1-33089) filed on October 4, 2018).</w:t>
              </w:r>
            </w:hyperlink>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22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31">
              <w:r>
                <w:rPr>
                  <w:rFonts w:ascii="Arial" w:cs="Arial" w:eastAsia="Arial" w:hAnsi="Arial"/>
                  <w:sz w:val="18"/>
                  <w:szCs w:val="18"/>
                  <w:color w:val="0000FF"/>
                  <w:w w:val="92"/>
                </w:rPr>
                <w:t>Description of Common Stock.</w:t>
              </w:r>
            </w:hyperlink>
          </w:p>
        </w:tc>
        <w:tc>
          <w:tcPr>
            <w:tcW w:w="4440" w:type="dxa"/>
            <w:vAlign w:val="bottom"/>
            <w:tcBorders>
              <w:top w:val="single" w:sz="8" w:color="0000FF"/>
            </w:tcBorders>
            <w:gridSpan w:val="9"/>
          </w:tcPr>
          <w:p>
            <w:pPr>
              <w:spacing w:after="0"/>
              <w:rPr>
                <w:sz w:val="24"/>
                <w:szCs w:val="24"/>
                <w:color w:val="auto"/>
              </w:rPr>
            </w:pPr>
          </w:p>
        </w:tc>
        <w:tc>
          <w:tcPr>
            <w:tcW w:w="3600" w:type="dxa"/>
            <w:vAlign w:val="bottom"/>
            <w:gridSpan w:val="22"/>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tcBorders>
              <w:bottom w:val="single" w:sz="8" w:color="0000FF"/>
            </w:tcBorders>
            <w:gridSpan w:val="26"/>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Amended and Restated Employment and Non-Competition Agreement, dated as of September 19, 2017 between ExlService Holdings, Inc.</w:t>
              </w:r>
            </w:hyperlink>
          </w:p>
        </w:tc>
        <w:tc>
          <w:tcPr>
            <w:tcW w:w="2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and Rohit Kapoor, dated as of September 19, 2017 (incorporated by reference to Exhibit 10.1 to the Company’s Quarterly Report on Form 10-</w:t>
              </w:r>
            </w:hyperlink>
          </w:p>
        </w:tc>
      </w:tr>
      <w:tr>
        <w:trPr>
          <w:trHeight w:val="196"/>
        </w:trPr>
        <w:tc>
          <w:tcPr>
            <w:tcW w:w="10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Q (File No. 1-33089) filed on October 26, 2017).</w:t>
              </w:r>
            </w:hyperlink>
          </w:p>
        </w:tc>
        <w:tc>
          <w:tcPr>
            <w:tcW w:w="6700" w:type="dxa"/>
            <w:vAlign w:val="bottom"/>
            <w:tcBorders>
              <w:top w:val="single" w:sz="8" w:color="0000FF"/>
            </w:tcBorders>
            <w:gridSpan w:val="2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300" w:type="dxa"/>
            <w:vAlign w:val="bottom"/>
            <w:gridSpan w:val="33"/>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Employment Agreement, dated July 31, 2002, between ExlService Holdings, Inc. and Pavan Bagai (incorporated by reference to Exhibit 10.15</w:t>
              </w:r>
            </w:hyperlink>
          </w:p>
        </w:tc>
      </w:tr>
      <w:tr>
        <w:trPr>
          <w:trHeight w:val="196"/>
        </w:trPr>
        <w:tc>
          <w:tcPr>
            <w:tcW w:w="1020" w:type="dxa"/>
            <w:vAlign w:val="bottom"/>
          </w:tcPr>
          <w:p>
            <w:pPr>
              <w:spacing w:after="0"/>
              <w:rPr>
                <w:sz w:val="17"/>
                <w:szCs w:val="17"/>
                <w:color w:val="auto"/>
              </w:rPr>
            </w:pPr>
          </w:p>
        </w:tc>
        <w:tc>
          <w:tcPr>
            <w:tcW w:w="1028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to the Company’s Registration Statement on Form S-1 (Registration No. 333-121001) filed on December 6, 2004).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9880" w:type="dxa"/>
            <w:vAlign w:val="bottom"/>
            <w:tcBorders>
              <w:bottom w:val="single" w:sz="8" w:color="0000FF"/>
            </w:tcBorders>
            <w:gridSpan w:val="22"/>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Employment Agreement, dated as of September 15, 2014, between ExlService Holdings, Inc. and Nalin Kumar Miglani (incorporated by</w:t>
              </w:r>
            </w:hyperlink>
          </w:p>
        </w:tc>
        <w:tc>
          <w:tcPr>
            <w:tcW w:w="42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6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reference to Exhibit 10.1 to the Company’s Quarterly Report on Form 10-Q (File No. 1-33089) filed on April 29, 2016).</w:t>
              </w:r>
            </w:hyperlink>
          </w:p>
        </w:tc>
        <w:tc>
          <w:tcPr>
            <w:tcW w:w="1640" w:type="dxa"/>
            <w:vAlign w:val="bottom"/>
            <w:gridSpan w:val="18"/>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300" w:type="dxa"/>
            <w:vAlign w:val="bottom"/>
            <w:gridSpan w:val="33"/>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ExlService Holdings, Inc. 2006 Omnibus Plan (incorporated by reference to Exhibit 10.20 of Amendment 3 to the Company’s Registration</w:t>
              </w:r>
            </w:hyperlink>
          </w:p>
        </w:tc>
      </w:tr>
      <w:tr>
        <w:trPr>
          <w:trHeight w:val="196"/>
        </w:trPr>
        <w:tc>
          <w:tcPr>
            <w:tcW w:w="1020" w:type="dxa"/>
            <w:vAlign w:val="bottom"/>
          </w:tcPr>
          <w:p>
            <w:pPr>
              <w:spacing w:after="0"/>
              <w:rPr>
                <w:sz w:val="17"/>
                <w:szCs w:val="17"/>
                <w:color w:val="auto"/>
              </w:rPr>
            </w:pPr>
          </w:p>
        </w:tc>
        <w:tc>
          <w:tcPr>
            <w:tcW w:w="100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Statement on Form S-1 (Registration No. 333-121001) filed July 28, 2006).</w:t>
              </w:r>
            </w:hyperlink>
          </w:p>
        </w:tc>
        <w:tc>
          <w:tcPr>
            <w:tcW w:w="30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440" w:type="dxa"/>
            <w:vAlign w:val="bottom"/>
            <w:gridSpan w:val="6"/>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9600" w:type="dxa"/>
            <w:vAlign w:val="bottom"/>
            <w:tcBorders>
              <w:bottom w:val="single" w:sz="8" w:color="0000FF"/>
            </w:tcBorders>
            <w:gridSpan w:val="17"/>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Form of Non-Qualified Stock Option Agreement under the 2006 Omnibus Award Plan (incorporated by reference to Exhibit 10.32 of</w:t>
              </w:r>
            </w:hyperlink>
          </w:p>
        </w:tc>
        <w:tc>
          <w:tcPr>
            <w:tcW w:w="70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Amendment 5 to the Company’s Registration Statement on Form S-1 (Registration No. 333-121001) filed October 4, 2006).</w:t>
              </w:r>
            </w:hyperlink>
          </w:p>
        </w:tc>
      </w:tr>
      <w:tr>
        <w:trPr>
          <w:trHeight w:val="20"/>
        </w:trPr>
        <w:tc>
          <w:tcPr>
            <w:tcW w:w="1020" w:type="dxa"/>
            <w:vAlign w:val="bottom"/>
          </w:tcPr>
          <w:p>
            <w:pPr>
              <w:spacing w:after="0" w:line="20" w:lineRule="exact"/>
              <w:rPr>
                <w:sz w:val="1"/>
                <w:szCs w:val="1"/>
                <w:color w:val="auto"/>
              </w:rPr>
            </w:pPr>
          </w:p>
        </w:tc>
        <w:tc>
          <w:tcPr>
            <w:tcW w:w="624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9920" w:type="dxa"/>
            <w:vAlign w:val="bottom"/>
            <w:tcBorders>
              <w:bottom w:val="single" w:sz="8" w:color="0000FF"/>
            </w:tcBorders>
            <w:gridSpan w:val="24"/>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ExlService Holdings, Inc. 2006 Omnibus India Subplan 2 (incorporated by reference to Exhibit 10.38 of Amendment 6 to the Company’s</w:t>
              </w:r>
            </w:hyperlink>
          </w:p>
        </w:tc>
        <w:tc>
          <w:tcPr>
            <w:tcW w:w="38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Registration Statement on Form S-1 (Registration No. 333-121001) filed October 17, 2006).</w:t>
              </w:r>
            </w:hyperlink>
          </w:p>
        </w:tc>
        <w:tc>
          <w:tcPr>
            <w:tcW w:w="3640" w:type="dxa"/>
            <w:vAlign w:val="bottom"/>
            <w:gridSpan w:val="23"/>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9900" w:type="dxa"/>
            <w:vAlign w:val="bottom"/>
            <w:tcBorders>
              <w:bottom w:val="single" w:sz="8" w:color="0000FF"/>
            </w:tcBorders>
            <w:gridSpan w:val="23"/>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Form of Non-Qualified Stock Option Agreement under the 2006 Omnibus India Subplan 2 (incorporated by reference to Exhibit 10.39 of</w:t>
              </w:r>
            </w:hyperlink>
          </w:p>
        </w:tc>
        <w:tc>
          <w:tcPr>
            <w:tcW w:w="4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Amendment 5 to the Company’s Registration Statement on Form S-1 (Registration No. 333-121001) filed October 4, 2006).</w:t>
              </w:r>
            </w:hyperlink>
          </w:p>
        </w:tc>
      </w:tr>
      <w:tr>
        <w:trPr>
          <w:trHeight w:val="20"/>
        </w:trPr>
        <w:tc>
          <w:tcPr>
            <w:tcW w:w="1020" w:type="dxa"/>
            <w:vAlign w:val="bottom"/>
          </w:tcPr>
          <w:p>
            <w:pPr>
              <w:spacing w:after="0" w:line="20" w:lineRule="exact"/>
              <w:rPr>
                <w:sz w:val="1"/>
                <w:szCs w:val="1"/>
                <w:color w:val="auto"/>
              </w:rPr>
            </w:pPr>
          </w:p>
        </w:tc>
        <w:tc>
          <w:tcPr>
            <w:tcW w:w="624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tcBorders>
              <w:bottom w:val="single" w:sz="8" w:color="0000FF"/>
            </w:tcBorders>
            <w:gridSpan w:val="21"/>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Amendment to ExlService Holdings, Inc. 2006 Omnibus Award Plan (incorporated by reference to Exhibit 10.43 of Amendment 5 to the</w:t>
              </w:r>
            </w:hyperlink>
          </w:p>
        </w:tc>
        <w:tc>
          <w:tcPr>
            <w:tcW w:w="44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Company’s Registration Statement on Form S-1 (Registration No. 333-121001) filed October 4, 2006).</w:t>
              </w:r>
            </w:hyperlink>
          </w:p>
        </w:tc>
      </w:tr>
      <w:tr>
        <w:trPr>
          <w:trHeight w:val="20"/>
        </w:trPr>
        <w:tc>
          <w:tcPr>
            <w:tcW w:w="1020" w:type="dxa"/>
            <w:vAlign w:val="bottom"/>
          </w:tcPr>
          <w:p>
            <w:pPr>
              <w:spacing w:after="0" w:line="20" w:lineRule="exact"/>
              <w:rPr>
                <w:sz w:val="1"/>
                <w:szCs w:val="1"/>
                <w:color w:val="auto"/>
              </w:rPr>
            </w:pPr>
          </w:p>
        </w:tc>
        <w:tc>
          <w:tcPr>
            <w:tcW w:w="624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300" w:type="dxa"/>
            <w:vAlign w:val="bottom"/>
            <w:tcBorders>
              <w:bottom w:val="single" w:sz="8" w:color="0000FF"/>
            </w:tcBorders>
            <w:gridSpan w:val="33"/>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Amendment No. 2 to ExlService Holdings, Inc. 2006 Omnibus Award Plan (incorporated by reference to Exhibit 10.46 of Amendment 6 to the</w:t>
              </w:r>
            </w:hyperlink>
          </w:p>
        </w:tc>
      </w:tr>
      <w:tr>
        <w:trPr>
          <w:trHeight w:val="196"/>
        </w:trPr>
        <w:tc>
          <w:tcPr>
            <w:tcW w:w="1020" w:type="dxa"/>
            <w:vAlign w:val="bottom"/>
          </w:tcPr>
          <w:p>
            <w:pPr>
              <w:spacing w:after="0"/>
              <w:rPr>
                <w:sz w:val="17"/>
                <w:szCs w:val="17"/>
                <w:color w:val="auto"/>
              </w:rPr>
            </w:pPr>
          </w:p>
        </w:tc>
        <w:tc>
          <w:tcPr>
            <w:tcW w:w="66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Registration Statement on Form S-1 (Registration No. 333-121001) filed October 17, 2006).</w:t>
              </w:r>
            </w:hyperlink>
          </w:p>
        </w:tc>
        <w:tc>
          <w:tcPr>
            <w:tcW w:w="3640" w:type="dxa"/>
            <w:vAlign w:val="bottom"/>
            <w:gridSpan w:val="23"/>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tcBorders>
              <w:bottom w:val="single" w:sz="8" w:color="0000FF"/>
            </w:tcBorders>
            <w:gridSpan w:val="18"/>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Amendment No. 3 to ExlService Holdings, Inc. 2006 Omnibus Award Plan (incorporated by reference to Exhibit 4.6 to the Company’s</w:t>
              </w:r>
            </w:hyperlink>
          </w:p>
        </w:tc>
        <w:tc>
          <w:tcPr>
            <w:tcW w:w="58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Registration Statement on Form S-8 (Registration No. 333-157076) filed February 2, 2009).</w:t>
              </w:r>
            </w:hyperlink>
          </w:p>
        </w:tc>
        <w:tc>
          <w:tcPr>
            <w:tcW w:w="3660" w:type="dxa"/>
            <w:vAlign w:val="bottom"/>
            <w:gridSpan w:val="24"/>
          </w:tcPr>
          <w:p>
            <w:pPr>
              <w:spacing w:after="0"/>
              <w:rPr>
                <w:sz w:val="17"/>
                <w:szCs w:val="17"/>
                <w:color w:val="auto"/>
              </w:rPr>
            </w:pPr>
          </w:p>
        </w:tc>
      </w:tr>
      <w:tr>
        <w:trPr>
          <w:trHeight w:val="399"/>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300" w:type="dxa"/>
            <w:vAlign w:val="bottom"/>
            <w:gridSpan w:val="33"/>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Form of Restricted Stock Unit Agreement (U.S.) under the 2006 Omnibus Award Plan (incorporated by reference to Exhibit 10.1 to the</w:t>
              </w:r>
            </w:hyperlink>
          </w:p>
        </w:tc>
      </w:tr>
      <w:tr>
        <w:trPr>
          <w:trHeight w:val="196"/>
        </w:trPr>
        <w:tc>
          <w:tcPr>
            <w:tcW w:w="10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Company’s Quarterly Report on Form 10-Q (File No. 1-33089) filed on May 1, 2014).</w:t>
              </w:r>
            </w:hyperlink>
          </w:p>
        </w:tc>
        <w:tc>
          <w:tcPr>
            <w:tcW w:w="3520" w:type="dxa"/>
            <w:vAlign w:val="bottom"/>
            <w:tcBorders>
              <w:top w:val="single" w:sz="8" w:color="0000FF"/>
            </w:tcBorders>
            <w:gridSpan w:val="12"/>
          </w:tcPr>
          <w:p>
            <w:pPr>
              <w:spacing w:after="0"/>
              <w:rPr>
                <w:sz w:val="17"/>
                <w:szCs w:val="17"/>
                <w:color w:val="auto"/>
              </w:rPr>
            </w:pPr>
          </w:p>
        </w:tc>
        <w:tc>
          <w:tcPr>
            <w:tcW w:w="540" w:type="dxa"/>
            <w:vAlign w:val="bottom"/>
            <w:gridSpan w:val="14"/>
          </w:tcPr>
          <w:p>
            <w:pPr>
              <w:spacing w:after="0"/>
              <w:rPr>
                <w:sz w:val="17"/>
                <w:szCs w:val="17"/>
                <w:color w:val="auto"/>
              </w:rPr>
            </w:pPr>
          </w:p>
        </w:tc>
      </w:tr>
      <w:tr>
        <w:trPr>
          <w:trHeight w:val="399"/>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tcBorders>
              <w:bottom w:val="single" w:sz="8" w:color="0000FF"/>
            </w:tcBorders>
            <w:gridSpan w:val="28"/>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ExlService Holdings, Inc. 2015 Amendment and Restatement of the 2006 Omnibus Award Plan (incorporated by reference to Exhibit 10.1 to</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the Company’s Current Report on Form 8-K (File No. 1-33089) filed on June 25, 2015).</w:t>
              </w:r>
            </w:hyperlink>
          </w:p>
        </w:tc>
      </w:tr>
      <w:tr>
        <w:trPr>
          <w:trHeight w:val="480"/>
        </w:trPr>
        <w:tc>
          <w:tcPr>
            <w:tcW w:w="1020" w:type="dxa"/>
            <w:vAlign w:val="bottom"/>
          </w:tcPr>
          <w:p>
            <w:pPr>
              <w:spacing w:after="0"/>
              <w:rPr>
                <w:sz w:val="24"/>
                <w:szCs w:val="24"/>
                <w:color w:val="auto"/>
              </w:rPr>
            </w:pPr>
          </w:p>
        </w:tc>
        <w:tc>
          <w:tcPr>
            <w:tcW w:w="4880" w:type="dxa"/>
            <w:vAlign w:val="bottom"/>
            <w:tcBorders>
              <w:top w:val="single" w:sz="8" w:color="0000FF"/>
            </w:tcBorders>
            <w:gridSpan w:val="5"/>
          </w:tcPr>
          <w:p>
            <w:pPr>
              <w:ind w:left="4560"/>
              <w:spacing w:after="0"/>
              <w:rPr>
                <w:sz w:val="20"/>
                <w:szCs w:val="20"/>
                <w:color w:val="auto"/>
              </w:rPr>
            </w:pPr>
            <w:r>
              <w:rPr>
                <w:rFonts w:ascii="Arial" w:cs="Arial" w:eastAsia="Arial" w:hAnsi="Arial"/>
                <w:sz w:val="18"/>
                <w:szCs w:val="18"/>
                <w:color w:val="auto"/>
              </w:rPr>
              <w:t>66</w:t>
            </w:r>
          </w:p>
        </w:tc>
        <w:tc>
          <w:tcPr>
            <w:tcW w:w="5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337"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10320" w:type="dxa"/>
            <w:vAlign w:val="bottom"/>
            <w:gridSpan w:val="33"/>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Form of Restricted Stock Unit Agreement (U.S.) under the ExlService Holdings, Inc. 2015 Amendment and Restatement of the 2006 Omnibus</w:t>
              </w:r>
            </w:hyperlink>
          </w:p>
        </w:tc>
      </w:tr>
      <w:tr>
        <w:trPr>
          <w:trHeight w:val="196"/>
        </w:trPr>
        <w:tc>
          <w:tcPr>
            <w:tcW w:w="1020" w:type="dxa"/>
            <w:vAlign w:val="bottom"/>
          </w:tcPr>
          <w:p>
            <w:pPr>
              <w:spacing w:after="0"/>
              <w:rPr>
                <w:sz w:val="17"/>
                <w:szCs w:val="17"/>
                <w:color w:val="auto"/>
              </w:rPr>
            </w:pPr>
          </w:p>
        </w:tc>
        <w:tc>
          <w:tcPr>
            <w:tcW w:w="10280" w:type="dxa"/>
            <w:vAlign w:val="bottom"/>
            <w:tcBorders>
              <w:top w:val="single" w:sz="8" w:color="0000FF"/>
            </w:tcBorders>
            <w:gridSpan w:val="31"/>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Award Plan (incorporated by reference to Exhibit 10.1 to the Company’s Quarterly Report on Form 10-Q (File No. 1-33089) filed on October</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27, 2016).</w:t>
              </w:r>
            </w:hyperlink>
          </w:p>
        </w:tc>
        <w:tc>
          <w:tcPr>
            <w:tcW w:w="138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320" w:type="dxa"/>
            <w:vAlign w:val="bottom"/>
            <w:gridSpan w:val="33"/>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Form of Restricted Stock Unit Agreement (U.S.) under the ExlService Holdings, Inc. 2015 Amendment and Restatement of the 2006 Omnibus</w:t>
              </w:r>
            </w:hyperlink>
          </w:p>
        </w:tc>
      </w:tr>
      <w:tr>
        <w:trPr>
          <w:trHeight w:val="196"/>
        </w:trPr>
        <w:tc>
          <w:tcPr>
            <w:tcW w:w="1020" w:type="dxa"/>
            <w:vAlign w:val="bottom"/>
          </w:tcPr>
          <w:p>
            <w:pPr>
              <w:spacing w:after="0"/>
              <w:rPr>
                <w:sz w:val="17"/>
                <w:szCs w:val="17"/>
                <w:color w:val="auto"/>
              </w:rPr>
            </w:pPr>
          </w:p>
        </w:tc>
        <w:tc>
          <w:tcPr>
            <w:tcW w:w="10280" w:type="dxa"/>
            <w:vAlign w:val="bottom"/>
            <w:tcBorders>
              <w:top w:val="single" w:sz="8" w:color="0000FF"/>
            </w:tcBorders>
            <w:gridSpan w:val="31"/>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Award Plan “(incorporated by reference to Exhibit 10.40 to the Company’s Annual Report on Form 10-K (File No. 1-33089) filed on March</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15, 2017).</w:t>
              </w:r>
            </w:hyperlink>
          </w:p>
        </w:tc>
        <w:tc>
          <w:tcPr>
            <w:tcW w:w="138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240" w:type="dxa"/>
            <w:vAlign w:val="bottom"/>
            <w:tcBorders>
              <w:bottom w:val="single" w:sz="8" w:color="0000FF"/>
            </w:tcBorders>
            <w:gridSpan w:val="30"/>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ExlService Holdings, Inc. 2018 Omnibus Incentive Plan (incorporated by reference to Exhibit 10.1 to the Company’s Current Report on Form</w:t>
              </w:r>
            </w:hyperlink>
          </w:p>
        </w:tc>
        <w:tc>
          <w:tcPr>
            <w:tcW w:w="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4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8-K (File No. 1-33089) filed on June 20, 2018).</w:t>
              </w:r>
            </w:hyperlink>
          </w:p>
        </w:tc>
        <w:tc>
          <w:tcPr>
            <w:tcW w:w="6860" w:type="dxa"/>
            <w:vAlign w:val="bottom"/>
            <w:gridSpan w:val="28"/>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9860" w:type="dxa"/>
            <w:vAlign w:val="bottom"/>
            <w:tcBorders>
              <w:bottom w:val="single" w:sz="8" w:color="0000FF"/>
            </w:tcBorders>
            <w:gridSpan w:val="1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Form of Restricted Stock Unit Agreement (U.S. Executive Officers Combined) under the 2018 Omnibus Incentive Plan (incorporated by</w:t>
              </w:r>
            </w:hyperlink>
          </w:p>
        </w:tc>
        <w:tc>
          <w:tcPr>
            <w:tcW w:w="46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3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reference to Exhibit 10.2 to the Company’s Current Report on Form 8-K (File No. 1-33089) filed on June 20, 2018).</w:t>
              </w:r>
            </w:hyperlink>
          </w:p>
        </w:tc>
        <w:tc>
          <w:tcPr>
            <w:tcW w:w="1940" w:type="dxa"/>
            <w:vAlign w:val="bottom"/>
            <w:gridSpan w:val="19"/>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9660" w:type="dxa"/>
            <w:vAlign w:val="bottom"/>
            <w:tcBorders>
              <w:bottom w:val="single" w:sz="8" w:color="0000FF"/>
            </w:tcBorders>
            <w:gridSpan w:val="16"/>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Form of Restricted Stock Unit Agreement (International Executive Officers) under the 2018 Omnibus Incentive Plan (incorporated by</w:t>
              </w:r>
            </w:hyperlink>
          </w:p>
        </w:tc>
        <w:tc>
          <w:tcPr>
            <w:tcW w:w="660" w:type="dxa"/>
            <w:vAlign w:val="bottom"/>
            <w:gridSpan w:val="1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3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reference to Exhibit 10.3 to the Company’s Current Report on Form 8-K (File No. 1-33089) filed on June 20, 2018).</w:t>
              </w:r>
            </w:hyperlink>
          </w:p>
        </w:tc>
        <w:tc>
          <w:tcPr>
            <w:tcW w:w="1940" w:type="dxa"/>
            <w:vAlign w:val="bottom"/>
            <w:gridSpan w:val="19"/>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10300" w:type="dxa"/>
            <w:vAlign w:val="bottom"/>
            <w:tcBorders>
              <w:bottom w:val="single" w:sz="8" w:color="0000FF"/>
            </w:tcBorders>
            <w:gridSpan w:val="3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Restricted Stock Unit Agreement (Directors) under the 2018 Omnibus Incentive Plan (incorporated by reference to Exhibit 10.4 to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Company’s Current Report on Form 8-K (File No. 1-33089) filed on June 20, 2018).</w:t>
              </w:r>
            </w:hyperlink>
          </w:p>
        </w:tc>
        <w:tc>
          <w:tcPr>
            <w:tcW w:w="4220" w:type="dxa"/>
            <w:vAlign w:val="bottom"/>
            <w:gridSpan w:val="23"/>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200" w:type="dxa"/>
            <w:vAlign w:val="bottom"/>
            <w:tcBorders>
              <w:bottom w:val="single" w:sz="8" w:color="0000FF"/>
            </w:tcBorders>
            <w:gridSpan w:val="28"/>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Credit Agreement, dated as of October 24, 2014, among ExlService Holdings, Inc., JPMorgan Chase Bank, N.A., as administrative agent and</w:t>
              </w:r>
            </w:hyperlink>
          </w:p>
        </w:tc>
        <w:tc>
          <w:tcPr>
            <w:tcW w:w="1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co-lead arranger, Citibank, N.A., as co-lead arranger, and the other Loan Parties and Lenders thereto (incorporated by reference to Exhibit</w:t>
              </w:r>
            </w:hyperlink>
          </w:p>
        </w:tc>
        <w:tc>
          <w:tcPr>
            <w:tcW w:w="36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39</w:t>
              </w:r>
              <w:r>
                <w:rPr>
                  <w:rFonts w:ascii="Arial" w:cs="Arial" w:eastAsia="Arial" w:hAnsi="Arial"/>
                  <w:sz w:val="18"/>
                  <w:szCs w:val="18"/>
                  <w:color w:val="0000FF"/>
                </w:rPr>
                <w:t xml:space="preserve"> to the Company’s Annual Report on Form 10-K (File No. 1-33089) filed on February 27, 2015).</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10320" w:type="dxa"/>
            <w:vAlign w:val="bottom"/>
            <w:gridSpan w:val="33"/>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First Amendment to Credit Agreement and Incremental Facility Agreement, dated as of February 23, 2015, by and among ExlService</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32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Holdings, Inc., each of its subsidiaries party thereto, the Lenders party thereto and JPMorgan Chase Bank, N.A., as administrative agent for the</w:t>
              </w:r>
            </w:hyperlink>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Lenders (incorporated by reference to Exhibit 10.40 to the Company’s Annual Report on Form 10-K (File No. 1-33089) filed on February 27,</w:t>
              </w:r>
            </w:hyperlink>
          </w:p>
        </w:tc>
      </w:tr>
      <w:tr>
        <w:trPr>
          <w:trHeight w:val="196"/>
        </w:trPr>
        <w:tc>
          <w:tcPr>
            <w:tcW w:w="1020" w:type="dxa"/>
            <w:vAlign w:val="bottom"/>
          </w:tcPr>
          <w:p>
            <w:pPr>
              <w:spacing w:after="0"/>
              <w:rPr>
                <w:sz w:val="17"/>
                <w:szCs w:val="17"/>
                <w:color w:val="auto"/>
              </w:rPr>
            </w:pPr>
          </w:p>
        </w:tc>
        <w:tc>
          <w:tcPr>
            <w:tcW w:w="7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2015).</w:t>
              </w:r>
            </w:hyperlink>
          </w:p>
        </w:tc>
        <w:tc>
          <w:tcPr>
            <w:tcW w:w="138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tcBorders>
              <w:bottom w:val="single" w:sz="8" w:color="0000FF"/>
            </w:tcBorders>
            <w:gridSpan w:val="26"/>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Credit Agreement, dated as of November 21, 2017, among ExlService Holdings, Inc., the other loan parties thereto, the lenders party thereto,</w:t>
              </w:r>
            </w:hyperlink>
          </w:p>
        </w:tc>
        <w:tc>
          <w:tcPr>
            <w:tcW w:w="16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and Citibank, N.A., as administrative agent, Citibank, N.A. and PNC Capital Markets LLC, as joint lead arrangers and joint bookrunners, and</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JPMorgan Chase Bank, N.A., as syndication agent (incorporated by reference to Exhibit 10.37 to the Company’s Annual Report on Form 10-K</w:t>
              </w:r>
            </w:hyperlink>
          </w:p>
        </w:tc>
      </w:tr>
      <w:tr>
        <w:trPr>
          <w:trHeight w:val="196"/>
        </w:trPr>
        <w:tc>
          <w:tcPr>
            <w:tcW w:w="10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(File No. 1-33089) filed on February 27, 2018).</w:t>
              </w:r>
            </w:hyperlink>
          </w:p>
        </w:tc>
        <w:tc>
          <w:tcPr>
            <w:tcW w:w="6860" w:type="dxa"/>
            <w:vAlign w:val="bottom"/>
            <w:tcBorders>
              <w:top w:val="single" w:sz="8" w:color="0000FF"/>
            </w:tcBorders>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10000" w:type="dxa"/>
            <w:vAlign w:val="bottom"/>
            <w:tcBorders>
              <w:bottom w:val="single" w:sz="8" w:color="0000FF"/>
            </w:tcBorders>
            <w:gridSpan w:val="22"/>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First Amendment to Credit Agreement, dated as of July 2, 2018, by and among the Company and the other loan parties thereto, the lenders</w:t>
              </w:r>
            </w:hyperlink>
          </w:p>
        </w:tc>
        <w:tc>
          <w:tcPr>
            <w:tcW w:w="32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party thereto, and Citibank, N.A., as administrative agent (incorporated by reference to Exhibit 10.24 to the Company’s Annual Report on</w:t>
              </w:r>
            </w:hyperlink>
          </w:p>
        </w:tc>
        <w:tc>
          <w:tcPr>
            <w:tcW w:w="38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Form 10-K (File No. 1-33089) filed on February 28, 2019).</w:t>
              </w:r>
            </w:hyperlink>
          </w:p>
        </w:tc>
      </w:tr>
      <w:tr>
        <w:trPr>
          <w:trHeight w:val="20"/>
        </w:trPr>
        <w:tc>
          <w:tcPr>
            <w:tcW w:w="102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10320" w:type="dxa"/>
            <w:vAlign w:val="bottom"/>
            <w:gridSpan w:val="33"/>
          </w:tcPr>
          <w:p>
            <w:pPr>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Second Amendment to Credit Agreement, dated as of October 1, 2018, by and among the Company and the other loan parties thereto, the</w:t>
              </w:r>
            </w:hyperlink>
          </w:p>
        </w:tc>
      </w:tr>
      <w:tr>
        <w:trPr>
          <w:trHeight w:val="20"/>
        </w:trPr>
        <w:tc>
          <w:tcPr>
            <w:tcW w:w="102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lenders party thereto, and Citibank, N.A., as administrative agent (incorporated by reference to Exhibit 10.2 to the Company’s Current Report</w:t>
              </w:r>
            </w:hyperlink>
          </w:p>
        </w:tc>
      </w:tr>
      <w:tr>
        <w:trPr>
          <w:trHeight w:val="196"/>
        </w:trPr>
        <w:tc>
          <w:tcPr>
            <w:tcW w:w="102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on Form 8-K (File No. 1-33089) filed on October 4, 2018).</w:t>
              </w:r>
            </w:hyperlink>
          </w:p>
        </w:tc>
        <w:tc>
          <w:tcPr>
            <w:tcW w:w="5920" w:type="dxa"/>
            <w:vAlign w:val="bottom"/>
            <w:tcBorders>
              <w:top w:val="single" w:sz="8" w:color="0000FF"/>
            </w:tcBorders>
            <w:gridSpan w:val="20"/>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10320" w:type="dxa"/>
            <w:vAlign w:val="bottom"/>
            <w:gridSpan w:val="33"/>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Investment Agreement, dated as of October 1, 2018, by and between the Company and Orogen Echo LLC (incorporated by reference to</w:t>
              </w:r>
            </w:hyperlink>
          </w:p>
        </w:tc>
      </w:tr>
      <w:tr>
        <w:trPr>
          <w:trHeight w:val="196"/>
        </w:trPr>
        <w:tc>
          <w:tcPr>
            <w:tcW w:w="1020" w:type="dxa"/>
            <w:vAlign w:val="bottom"/>
          </w:tcPr>
          <w:p>
            <w:pPr>
              <w:spacing w:after="0"/>
              <w:rPr>
                <w:sz w:val="17"/>
                <w:szCs w:val="17"/>
                <w:color w:val="auto"/>
              </w:rPr>
            </w:pPr>
          </w:p>
        </w:tc>
        <w:tc>
          <w:tcPr>
            <w:tcW w:w="76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Exhibit 10.1 to the Company’s Current Report on Form 8-K (File No. 1-33089) filed on October 4, 2018).</w:t>
              </w:r>
            </w:hyperlink>
          </w:p>
        </w:tc>
        <w:tc>
          <w:tcPr>
            <w:tcW w:w="2140" w:type="dxa"/>
            <w:vAlign w:val="bottom"/>
            <w:tcBorders>
              <w:top w:val="single" w:sz="8" w:color="0000FF"/>
            </w:tcBorders>
            <w:gridSpan w:val="4"/>
          </w:tcPr>
          <w:p>
            <w:pPr>
              <w:spacing w:after="0"/>
              <w:rPr>
                <w:sz w:val="17"/>
                <w:szCs w:val="17"/>
                <w:color w:val="auto"/>
              </w:rPr>
            </w:pPr>
          </w:p>
        </w:tc>
        <w:tc>
          <w:tcPr>
            <w:tcW w:w="540" w:type="dxa"/>
            <w:vAlign w:val="bottom"/>
            <w:gridSpan w:val="16"/>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21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34">
              <w:r>
                <w:rPr>
                  <w:rFonts w:ascii="Arial" w:cs="Arial" w:eastAsia="Arial" w:hAnsi="Arial"/>
                  <w:sz w:val="18"/>
                  <w:szCs w:val="18"/>
                  <w:color w:val="0000FF"/>
                  <w:w w:val="89"/>
                </w:rPr>
                <w:t>Subsidiaries of the Company.</w:t>
              </w:r>
            </w:hyperlink>
          </w:p>
        </w:tc>
        <w:tc>
          <w:tcPr>
            <w:tcW w:w="8200" w:type="dxa"/>
            <w:vAlign w:val="bottom"/>
            <w:gridSpan w:val="30"/>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61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35">
              <w:r>
                <w:rPr>
                  <w:rFonts w:ascii="Arial" w:cs="Arial" w:eastAsia="Arial" w:hAnsi="Arial"/>
                  <w:sz w:val="18"/>
                  <w:szCs w:val="18"/>
                  <w:color w:val="0000FF"/>
                  <w:w w:val="91"/>
                </w:rPr>
                <w:t>Consent of Deloitte &amp; Touche LLP, Independent Registered Public Accounting Firm.</w:t>
              </w:r>
            </w:hyperlink>
          </w:p>
        </w:tc>
        <w:tc>
          <w:tcPr>
            <w:tcW w:w="4180" w:type="dxa"/>
            <w:vAlign w:val="bottom"/>
            <w:gridSpan w:val="22"/>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10320" w:type="dxa"/>
            <w:vAlign w:val="bottom"/>
            <w:gridSpan w:val="33"/>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Consent of Ernst &amp; Young LLP, Independent Registered Public Accounting Firm.</w:t>
              </w:r>
            </w:hyperlink>
          </w:p>
        </w:tc>
      </w:tr>
      <w:tr>
        <w:trPr>
          <w:trHeight w:val="20"/>
        </w:trPr>
        <w:tc>
          <w:tcPr>
            <w:tcW w:w="102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2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gridSpan w:val="33"/>
          </w:tcPr>
          <w:p>
            <w:pPr>
              <w:spacing w:after="0"/>
              <w:rPr>
                <w:rFonts w:ascii="Arial" w:cs="Arial" w:eastAsia="Arial" w:hAnsi="Arial"/>
                <w:sz w:val="18"/>
                <w:szCs w:val="18"/>
                <w:color w:val="0000FF"/>
                <w:w w:val="93"/>
              </w:rPr>
            </w:pPr>
            <w:hyperlink w:anchor="page137">
              <w:r>
                <w:rPr>
                  <w:rFonts w:ascii="Arial" w:cs="Arial" w:eastAsia="Arial" w:hAnsi="Arial"/>
                  <w:sz w:val="18"/>
                  <w:szCs w:val="18"/>
                  <w:color w:val="0000FF"/>
                  <w:w w:val="93"/>
                </w:rPr>
                <w:t>Certification of the Chief Executive Officer of ExlService Holdings, pursuant to Rule 13a-14(a) of the Exchange Act, as adopted pursuant to</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Section 302 of the Sarbanes-Oxley Act of 2002.</w:t>
              </w:r>
            </w:hyperlink>
          </w:p>
        </w:tc>
        <w:tc>
          <w:tcPr>
            <w:tcW w:w="20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tcBorders>
              <w:bottom w:val="single" w:sz="8" w:color="0000FF"/>
            </w:tcBorders>
            <w:gridSpan w:val="23"/>
          </w:tcPr>
          <w:p>
            <w:pPr>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c>
          <w:tcPr>
            <w:tcW w:w="24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gridSpan w:val="33"/>
          </w:tcPr>
          <w:p>
            <w:pPr>
              <w:spacing w:after="0"/>
              <w:rPr>
                <w:rFonts w:ascii="Arial" w:cs="Arial" w:eastAsia="Arial" w:hAnsi="Arial"/>
                <w:sz w:val="18"/>
                <w:szCs w:val="18"/>
                <w:color w:val="0000FF"/>
                <w:w w:val="91"/>
              </w:rPr>
            </w:pPr>
            <w:hyperlink w:anchor="page139">
              <w:r>
                <w:rPr>
                  <w:rFonts w:ascii="Arial" w:cs="Arial" w:eastAsia="Arial" w:hAnsi="Arial"/>
                  <w:sz w:val="18"/>
                  <w:szCs w:val="18"/>
                  <w:color w:val="0000FF"/>
                  <w:w w:val="91"/>
                </w:rPr>
                <w:t>Certification of the Chief Executive Officer pursuant to Rule 13a-14(b) of the Exchange Act and 18 U.S.C. Section 1350, as adopted pursuant</w:t>
              </w:r>
            </w:hyperlink>
          </w:p>
        </w:tc>
      </w:tr>
      <w:tr>
        <w:trPr>
          <w:trHeight w:val="196"/>
        </w:trPr>
        <w:tc>
          <w:tcPr>
            <w:tcW w:w="102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to Section 906 of the Sarbanes-Oxley Act of 2002.</w:t>
              </w:r>
            </w:hyperlink>
          </w:p>
        </w:tc>
        <w:tc>
          <w:tcPr>
            <w:tcW w:w="6560" w:type="dxa"/>
            <w:vAlign w:val="bottom"/>
            <w:tcBorders>
              <w:top w:val="single" w:sz="8" w:color="0000FF"/>
            </w:tcBorders>
            <w:gridSpan w:val="2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180" w:type="dxa"/>
            <w:vAlign w:val="bottom"/>
            <w:tcBorders>
              <w:bottom w:val="single" w:sz="8" w:color="0000FF"/>
            </w:tcBorders>
            <w:gridSpan w:val="27"/>
          </w:tcPr>
          <w:p>
            <w:pPr>
              <w:spacing w:after="0"/>
              <w:rPr>
                <w:rFonts w:ascii="Arial" w:cs="Arial" w:eastAsia="Arial" w:hAnsi="Arial"/>
                <w:sz w:val="18"/>
                <w:szCs w:val="18"/>
                <w:color w:val="0000FF"/>
                <w:w w:val="91"/>
              </w:rPr>
            </w:pPr>
            <w:hyperlink w:anchor="page140">
              <w:r>
                <w:rPr>
                  <w:rFonts w:ascii="Arial" w:cs="Arial" w:eastAsia="Arial" w:hAnsi="Arial"/>
                  <w:sz w:val="18"/>
                  <w:szCs w:val="18"/>
                  <w:color w:val="0000FF"/>
                  <w:w w:val="91"/>
                </w:rPr>
                <w:t>Certification of the Chief Financial Officer pursuant to Rule 13a-14(b) of the Exchange Act and 18 U.S.C. Section 1350, as adopted pursuant</w:t>
              </w:r>
            </w:hyperlink>
          </w:p>
        </w:tc>
        <w:tc>
          <w:tcPr>
            <w:tcW w:w="14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320" w:type="dxa"/>
            <w:vAlign w:val="bottom"/>
            <w:gridSpan w:val="33"/>
          </w:tcPr>
          <w:p>
            <w:pPr>
              <w:spacing w:after="0" w:line="196" w:lineRule="exact"/>
              <w:rPr>
                <w:rFonts w:ascii="Arial" w:cs="Arial" w:eastAsia="Arial" w:hAnsi="Arial"/>
                <w:sz w:val="18"/>
                <w:szCs w:val="18"/>
                <w:color w:val="0000FF"/>
              </w:rPr>
            </w:pPr>
            <w:hyperlink w:anchor="page140">
              <w:r>
                <w:rPr>
                  <w:rFonts w:ascii="Arial" w:cs="Arial" w:eastAsia="Arial" w:hAnsi="Arial"/>
                  <w:sz w:val="18"/>
                  <w:szCs w:val="18"/>
                  <w:color w:val="0000FF"/>
                </w:rPr>
                <w:t>to Section 906 of the Sarbanes-Oxley Act of 2002.</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6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6680" w:type="dxa"/>
            <w:vAlign w:val="bottom"/>
            <w:gridSpan w:val="27"/>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40" w:top="337" w:right="279" w:bottom="144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337" w:right="27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Schema**</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Extension Presentation Linkbase**</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6700" w:type="dxa"/>
            <w:vAlign w:val="bottom"/>
          </w:tcPr>
          <w:p>
            <w:pPr>
              <w:ind w:left="18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26" w:lineRule="exact"/>
        <w:rPr>
          <w:sz w:val="20"/>
          <w:szCs w:val="20"/>
          <w:color w:val="auto"/>
        </w:rPr>
      </w:pPr>
    </w:p>
    <w:p>
      <w:pPr>
        <w:jc w:val="both"/>
        <w:ind w:left="80" w:hanging="80"/>
        <w:spacing w:after="0" w:line="258" w:lineRule="auto"/>
        <w:rPr>
          <w:sz w:val="20"/>
          <w:szCs w:val="20"/>
          <w:color w:val="auto"/>
        </w:rPr>
      </w:pPr>
      <w:r>
        <w:rPr>
          <w:rFonts w:ascii="Arial" w:cs="Arial" w:eastAsia="Arial" w:hAnsi="Arial"/>
          <w:sz w:val="18"/>
          <w:szCs w:val="18"/>
          <w:color w:val="auto"/>
        </w:rPr>
        <w:t>*Pursuant to Item 601(b)(2) of Regulation S-K promulgated by the SEC, certain schedules to this agreement have been omitted. The Company hereby agrees to furnish supplementally to the SEC, upon its request, any or all of such omitted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829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both"/>
        <w:ind w:left="80" w:hanging="80"/>
        <w:spacing w:after="0" w:line="250" w:lineRule="auto"/>
        <w:rPr>
          <w:sz w:val="20"/>
          <w:szCs w:val="20"/>
          <w:color w:val="auto"/>
        </w:rPr>
      </w:pPr>
      <w:r>
        <w:rPr>
          <w:rFonts w:ascii="Arial" w:cs="Arial" w:eastAsia="Arial" w:hAnsi="Arial"/>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contract or compensatory plan required to be filed as an Exhibit.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642"/>
        </w:trPr>
        <w:tc>
          <w:tcPr>
            <w:tcW w:w="9500" w:type="dxa"/>
            <w:vAlign w:val="bottom"/>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Reports of Independent Registered Public Accounting Firms</w:t>
              </w:r>
            </w:hyperlink>
          </w:p>
        </w:tc>
        <w:tc>
          <w:tcPr>
            <w:tcW w:w="1480" w:type="dxa"/>
            <w:vAlign w:val="bottom"/>
          </w:tcPr>
          <w:p>
            <w:pPr>
              <w:jc w:val="center"/>
              <w:spacing w:after="0"/>
              <w:rPr>
                <w:rFonts w:ascii="Arial" w:cs="Arial" w:eastAsia="Arial" w:hAnsi="Arial"/>
                <w:sz w:val="18"/>
                <w:szCs w:val="18"/>
                <w:color w:val="auto"/>
                <w:w w:val="88"/>
              </w:rPr>
            </w:pPr>
            <w:hyperlink w:anchor="page72">
              <w:r>
                <w:rPr>
                  <w:rFonts w:ascii="Arial" w:cs="Arial" w:eastAsia="Arial" w:hAnsi="Arial"/>
                  <w:sz w:val="18"/>
                  <w:szCs w:val="18"/>
                  <w:color w:val="auto"/>
                  <w:w w:val="88"/>
                </w:rPr>
                <w:t>F-2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Consolidated Balance Sheets as of December 31, 2019 and 2018</w:t>
              </w:r>
            </w:hyperlink>
          </w:p>
        </w:tc>
        <w:tc>
          <w:tcPr>
            <w:tcW w:w="4840" w:type="dxa"/>
            <w:vAlign w:val="bottom"/>
            <w:gridSpan w:val="4"/>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auto"/>
                <w:w w:val="88"/>
              </w:rPr>
            </w:pPr>
            <w:hyperlink w:anchor="page76">
              <w:r>
                <w:rPr>
                  <w:rFonts w:ascii="Arial" w:cs="Arial" w:eastAsia="Arial" w:hAnsi="Arial"/>
                  <w:sz w:val="18"/>
                  <w:szCs w:val="18"/>
                  <w:color w:val="auto"/>
                  <w:w w:val="88"/>
                </w:rPr>
                <w:t>F-6</w:t>
              </w:r>
            </w:hyperlink>
          </w:p>
        </w:tc>
      </w:tr>
      <w:tr>
        <w:trPr>
          <w:trHeight w:val="372"/>
        </w:trPr>
        <w:tc>
          <w:tcPr>
            <w:tcW w:w="9500" w:type="dxa"/>
            <w:vAlign w:val="bottom"/>
            <w:gridSpan w:val="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Income for the years ended December 31, 2019, 2018 and 2017</w:t>
              </w:r>
            </w:hyperlink>
          </w:p>
        </w:tc>
        <w:tc>
          <w:tcPr>
            <w:tcW w:w="1480" w:type="dxa"/>
            <w:vAlign w:val="bottom"/>
          </w:tcPr>
          <w:p>
            <w:pPr>
              <w:jc w:val="center"/>
              <w:spacing w:after="0"/>
              <w:rPr>
                <w:rFonts w:ascii="Arial" w:cs="Arial" w:eastAsia="Arial" w:hAnsi="Arial"/>
                <w:sz w:val="18"/>
                <w:szCs w:val="18"/>
                <w:color w:val="auto"/>
                <w:w w:val="88"/>
              </w:rPr>
            </w:pPr>
            <w:hyperlink w:anchor="page78">
              <w:r>
                <w:rPr>
                  <w:rFonts w:ascii="Arial" w:cs="Arial" w:eastAsia="Arial" w:hAnsi="Arial"/>
                  <w:sz w:val="18"/>
                  <w:szCs w:val="18"/>
                  <w:color w:val="auto"/>
                  <w:w w:val="88"/>
                </w:rPr>
                <w:t>F-7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950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Comprehensive Income for the years ended December 31, 2019, 2018 and 2017</w:t>
              </w:r>
            </w:hyperlink>
          </w:p>
        </w:tc>
        <w:tc>
          <w:tcPr>
            <w:tcW w:w="1480" w:type="dxa"/>
            <w:vAlign w:val="bottom"/>
          </w:tcPr>
          <w:p>
            <w:pPr>
              <w:jc w:val="center"/>
              <w:spacing w:after="0"/>
              <w:rPr>
                <w:rFonts w:ascii="Arial" w:cs="Arial" w:eastAsia="Arial" w:hAnsi="Arial"/>
                <w:sz w:val="18"/>
                <w:szCs w:val="18"/>
                <w:color w:val="auto"/>
                <w:w w:val="88"/>
              </w:rPr>
            </w:pPr>
            <w:hyperlink w:anchor="page79">
              <w:r>
                <w:rPr>
                  <w:rFonts w:ascii="Arial" w:cs="Arial" w:eastAsia="Arial" w:hAnsi="Arial"/>
                  <w:sz w:val="18"/>
                  <w:szCs w:val="18"/>
                  <w:color w:val="auto"/>
                  <w:w w:val="88"/>
                </w:rPr>
                <w:t>F-8</w:t>
              </w:r>
            </w:hyperlink>
          </w:p>
        </w:tc>
      </w:tr>
      <w:tr>
        <w:trPr>
          <w:trHeight w:val="372"/>
        </w:trPr>
        <w:tc>
          <w:tcPr>
            <w:tcW w:w="778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Equity for the years ended December 31, 2019, 2018 and 2017</w:t>
              </w:r>
            </w:hyperlink>
          </w:p>
        </w:tc>
        <w:tc>
          <w:tcPr>
            <w:tcW w:w="1720" w:type="dxa"/>
            <w:vAlign w:val="bottom"/>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auto"/>
                <w:w w:val="88"/>
              </w:rPr>
            </w:pPr>
            <w:hyperlink w:anchor="page80">
              <w:r>
                <w:rPr>
                  <w:rFonts w:ascii="Arial" w:cs="Arial" w:eastAsia="Arial" w:hAnsi="Arial"/>
                  <w:sz w:val="18"/>
                  <w:szCs w:val="18"/>
                  <w:color w:val="auto"/>
                  <w:w w:val="88"/>
                </w:rPr>
                <w:t>F-9</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 for the years ended December 31, 2019, 2018 and 2017</w:t>
              </w:r>
            </w:hyperlink>
          </w:p>
        </w:tc>
        <w:tc>
          <w:tcPr>
            <w:tcW w:w="2580" w:type="dxa"/>
            <w:vAlign w:val="bottom"/>
            <w:gridSpan w:val="2"/>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auto"/>
                <w:w w:val="91"/>
              </w:rPr>
            </w:pPr>
            <w:hyperlink w:anchor="page81">
              <w:r>
                <w:rPr>
                  <w:rFonts w:ascii="Arial" w:cs="Arial" w:eastAsia="Arial" w:hAnsi="Arial"/>
                  <w:sz w:val="18"/>
                  <w:szCs w:val="18"/>
                  <w:color w:val="auto"/>
                  <w:w w:val="91"/>
                </w:rPr>
                <w:t>F-10</w:t>
              </w:r>
            </w:hyperlink>
          </w:p>
        </w:tc>
      </w:tr>
      <w:tr>
        <w:trPr>
          <w:trHeight w:val="372"/>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Notes to Consolidated Financial Statements</w:t>
              </w:r>
            </w:hyperlink>
          </w:p>
        </w:tc>
        <w:tc>
          <w:tcPr>
            <w:tcW w:w="6340" w:type="dxa"/>
            <w:vAlign w:val="bottom"/>
            <w:gridSpan w:val="6"/>
          </w:tcPr>
          <w:p>
            <w:pPr>
              <w:spacing w:after="0"/>
              <w:rPr>
                <w:sz w:val="24"/>
                <w:szCs w:val="24"/>
                <w:color w:val="auto"/>
              </w:rPr>
            </w:pPr>
          </w:p>
        </w:tc>
        <w:tc>
          <w:tcPr>
            <w:tcW w:w="1480" w:type="dxa"/>
            <w:vAlign w:val="bottom"/>
          </w:tcPr>
          <w:p>
            <w:pPr>
              <w:jc w:val="center"/>
              <w:spacing w:after="0"/>
              <w:rPr>
                <w:rFonts w:ascii="Arial" w:cs="Arial" w:eastAsia="Arial" w:hAnsi="Arial"/>
                <w:sz w:val="18"/>
                <w:szCs w:val="18"/>
                <w:color w:val="auto"/>
                <w:w w:val="91"/>
              </w:rPr>
            </w:pPr>
            <w:hyperlink w:anchor="page83">
              <w:r>
                <w:rPr>
                  <w:rFonts w:ascii="Arial" w:cs="Arial" w:eastAsia="Arial" w:hAnsi="Arial"/>
                  <w:sz w:val="18"/>
                  <w:szCs w:val="18"/>
                  <w:color w:val="auto"/>
                  <w:w w:val="91"/>
                </w:rPr>
                <w:t>F-11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337"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ExlService Holdings,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have audited the accompanying consolidated balance sheets of ExlService Holdings, Inc. (the "Company") as of December 31, 2019 and 2018, the related consolidated statements of income, comprehensive income,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discussed in Note 2 to the financial statements, effective January 1, 2019, the Company adopted FASB ASC Topic 842, Leases,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37"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Refer to Notes 2 and 10 to the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Company determines the fair value of its reporting units using the discounted cash flow model and the market approach, as applicable. The determination of fair value using the discounted cash flow model requires management to make significant judgments and estimates, which include assumptions related to long-term future growth rates and estimated future cash flows, discounted at an appropriate risk-adjusted rate. The determination of fair value using the market approach requires management to make significant assumptions related to market multiples of revenues and earnings derived from comparable publicly-traded companies with characteristics similar to the reporting unit.</w:t>
      </w:r>
    </w:p>
    <w:p>
      <w:pPr>
        <w:spacing w:after="0" w:line="15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goodwill balance was approximately $350 million as of December 31, 2019, of which approximately $164 million has been allocated to the SCIOinspire Holdings, Inc. (SCIO) reporting unit. The SCIO reporting unit was formed as a result of the SCIO acquisition in July 2018 and its fair value was set at that time. As a result, the fair value of this reporting unit was not substantially in excess of its carrying value.</w:t>
      </w:r>
    </w:p>
    <w:p>
      <w:pPr>
        <w:spacing w:after="0" w:line="18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Significant estimates and assumptions are used by management to determine fair value and, thus, sensitivity in fair value may result from changes in these estimates. This requires a high degree of auditor judgment and an increased extent of efforts, including the need to involve our fair value specialists, when performing audit procedures to evaluate the reasonableness of management’s estimates and assumptions.</w:t>
      </w: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9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audit procedures related to the assumptions for long-term future growth rates and estimated future cash flows, and the selection of discount rates for the SCIO reporting unit included the following, among others:</w:t>
      </w:r>
    </w:p>
    <w:p>
      <w:pPr>
        <w:spacing w:after="0" w:line="62" w:lineRule="exact"/>
        <w:rPr>
          <w:sz w:val="20"/>
          <w:szCs w:val="20"/>
          <w:color w:val="auto"/>
        </w:rPr>
      </w:pPr>
    </w:p>
    <w:p>
      <w:pPr>
        <w:ind w:left="660" w:right="2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goodwill impairment evaluation, including those over the determination of fair value of the SCIO reporting unit, such as controls related to management’s forecasts and selection of discount rates.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 reviewing internal communications between management and the Board of Directors, and reviewing forecasted information included in Company press releases, and analyst and industry reports of the Company and companies in its peer group.</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growth rates and discount rates, including testing the underlying source information and the mathematical accuracy of the calculations.</w:t>
      </w:r>
    </w:p>
    <w:p>
      <w:pPr>
        <w:ind w:left="660" w:right="20" w:hanging="328"/>
        <w:spacing w:after="0" w:line="26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revenue and earnings multiples, including testing the underlying source information and mathematical accuracy of the calculations, and comparing the multiples selected by management to its guideline companies.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also evaluated all of the significant assumptions in the aggregate to determine if there is any indication of management bias.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37"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ExlService Holdings, Inc.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ExlService Holdings, Inc.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2019, of the Company and our report dated February 27, 2020, expressed an unqualified opinion on those financial statements and included an explanatory paragraph regarding the Company’s adoption of a new accounting standard.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337"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ExlService Holdings,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the accompanying consolidated statements of income, comprehensive income, equity and cash flows of ExlService Holdings, Inc. (the “Company”) for the year ended December 31, 2017, and the related notes (collectively referred to as the “financial statements”). In our opinion, the financial statements present fairly, in all material respects, the consolidated results of its operations and its cash flows for the year ended December 31, 2017, in conformity with U.S. generally accepted accounting principles.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2002 to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 except for Note 27, as to which the date is February 28,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7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b w:val="1"/>
                <w:bCs w:val="1"/>
                <w:color w:val="auto"/>
              </w:rPr>
              <w:t>As of</w:t>
            </w: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2019</w:t>
            </w:r>
          </w:p>
        </w:tc>
        <w:tc>
          <w:tcPr>
            <w:tcW w:w="18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Arial" w:cs="Arial" w:eastAsia="Arial" w:hAnsi="Arial"/>
                <w:sz w:val="15"/>
                <w:szCs w:val="15"/>
                <w:b w:val="1"/>
                <w:bCs w:val="1"/>
                <w:color w:val="auto"/>
                <w:w w:val="97"/>
              </w:rPr>
              <w:t>December 31, 2018</w:t>
            </w:r>
          </w:p>
        </w:tc>
        <w:tc>
          <w:tcPr>
            <w:tcW w:w="0" w:type="dxa"/>
            <w:vAlign w:val="bottom"/>
          </w:tcPr>
          <w:p>
            <w:pPr>
              <w:spacing w:after="0"/>
              <w:rPr>
                <w:sz w:val="1"/>
                <w:szCs w:val="1"/>
                <w:color w:val="auto"/>
              </w:rPr>
            </w:pPr>
          </w:p>
        </w:tc>
      </w:tr>
      <w:tr>
        <w:trPr>
          <w:trHeight w:val="19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119,165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95,881</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202,238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184,489</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5,453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5,608</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171,864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164,752</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13,246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11,326</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4,698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9,639</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28,240</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16"/>
                <w:szCs w:val="16"/>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541,258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499,935</w:t>
            </w:r>
          </w:p>
        </w:tc>
        <w:tc>
          <w:tcPr>
            <w:tcW w:w="0" w:type="dxa"/>
            <w:vAlign w:val="bottom"/>
          </w:tcPr>
          <w:p>
            <w:pPr>
              <w:spacing w:after="0"/>
              <w:rPr>
                <w:sz w:val="1"/>
                <w:szCs w:val="1"/>
                <w:color w:val="auto"/>
              </w:rPr>
            </w:pPr>
          </w:p>
        </w:tc>
      </w:tr>
      <w:tr>
        <w:trPr>
          <w:trHeight w:val="58"/>
        </w:trPr>
        <w:tc>
          <w:tcPr>
            <w:tcW w:w="7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2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79,142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73,510</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86,396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2,642</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11,855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6,602</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73,982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95,495</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349,529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349,984</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36,016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31,015</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Investment in equity affiliate</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2,484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58"/>
        </w:trPr>
        <w:tc>
          <w:tcPr>
            <w:tcW w:w="7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1,183,088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0"/>
              <w:spacing w:after="0"/>
              <w:rPr>
                <w:sz w:val="20"/>
                <w:szCs w:val="20"/>
                <w:color w:val="auto"/>
              </w:rPr>
            </w:pPr>
            <w:r>
              <w:rPr>
                <w:rFonts w:ascii="Arial" w:cs="Arial" w:eastAsia="Arial" w:hAnsi="Arial"/>
                <w:sz w:val="15"/>
                <w:szCs w:val="15"/>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6,564</w:t>
            </w:r>
          </w:p>
        </w:tc>
        <w:tc>
          <w:tcPr>
            <w:tcW w:w="10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5,653</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long-term borrowings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40,867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21,423</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13,436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employee costs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71,626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54,893</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71,023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64,169</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24,148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Income taxes payable, net</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1,432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finance lease liabilities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16"/>
                <w:szCs w:val="16"/>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229,349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155,095</w:t>
            </w:r>
          </w:p>
        </w:tc>
        <w:tc>
          <w:tcPr>
            <w:tcW w:w="0" w:type="dxa"/>
            <w:vAlign w:val="bottom"/>
          </w:tcPr>
          <w:p>
            <w:pPr>
              <w:spacing w:after="0"/>
              <w:rPr>
                <w:sz w:val="1"/>
                <w:szCs w:val="1"/>
                <w:color w:val="auto"/>
              </w:rPr>
            </w:pPr>
          </w:p>
        </w:tc>
      </w:tr>
      <w:tr>
        <w:trPr>
          <w:trHeight w:val="58"/>
        </w:trPr>
        <w:tc>
          <w:tcPr>
            <w:tcW w:w="7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borrowings, less current portion</w:t>
            </w:r>
          </w:p>
        </w:tc>
        <w:tc>
          <w:tcPr>
            <w:tcW w:w="22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194,131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263,241</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74,709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taxes payable</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Deferred tax liabilities, net</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966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8,445</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less current portion</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11,712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16,521</w:t>
            </w:r>
          </w:p>
        </w:tc>
        <w:tc>
          <w:tcPr>
            <w:tcW w:w="0" w:type="dxa"/>
            <w:vAlign w:val="bottom"/>
          </w:tcPr>
          <w:p>
            <w:pPr>
              <w:spacing w:after="0"/>
              <w:rPr>
                <w:sz w:val="1"/>
                <w:szCs w:val="1"/>
                <w:color w:val="auto"/>
              </w:rPr>
            </w:pPr>
          </w:p>
        </w:tc>
      </w:tr>
      <w:tr>
        <w:trPr>
          <w:trHeight w:val="58"/>
        </w:trPr>
        <w:tc>
          <w:tcPr>
            <w:tcW w:w="7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513,087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443,617</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480" w:type="dxa"/>
            <w:vAlign w:val="bottom"/>
          </w:tcPr>
          <w:p>
            <w:pPr>
              <w:ind w:left="20"/>
              <w:spacing w:after="0"/>
              <w:rPr>
                <w:sz w:val="20"/>
                <w:szCs w:val="20"/>
                <w:color w:val="auto"/>
              </w:rPr>
            </w:pPr>
            <w:r>
              <w:rPr>
                <w:rFonts w:ascii="Arial" w:cs="Arial" w:eastAsia="Arial" w:hAnsi="Arial"/>
                <w:sz w:val="15"/>
                <w:szCs w:val="15"/>
                <w:color w:val="auto"/>
              </w:rPr>
              <w:t>Commitments and contingencies (Refer Note 26)</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20" w:type="dxa"/>
            <w:vAlign w:val="bottom"/>
            <w:shd w:val="clear" w:color="auto" w:fill="CCEEFF"/>
          </w:tcPr>
          <w:p>
            <w:pPr>
              <w:spacing w:after="0"/>
              <w:rPr>
                <w:sz w:val="18"/>
                <w:szCs w:val="18"/>
                <w:color w:val="auto"/>
              </w:rPr>
            </w:pPr>
          </w:p>
        </w:tc>
        <w:tc>
          <w:tcPr>
            <w:tcW w:w="1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2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7"/>
              </w:rPr>
              <w:t>Common stock, $0.001 par value; 100,000,000 shares authorized, 38,480,654 shares issued and 34,185,241</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CEEFF"/>
          </w:tcPr>
          <w:p>
            <w:pPr>
              <w:ind w:left="380"/>
              <w:spacing w:after="0" w:line="162" w:lineRule="exact"/>
              <w:rPr>
                <w:sz w:val="20"/>
                <w:szCs w:val="20"/>
                <w:color w:val="auto"/>
              </w:rPr>
            </w:pPr>
            <w:r>
              <w:rPr>
                <w:rFonts w:ascii="Arial" w:cs="Arial" w:eastAsia="Arial" w:hAnsi="Arial"/>
                <w:sz w:val="15"/>
                <w:szCs w:val="15"/>
                <w:color w:val="auto"/>
                <w:w w:val="92"/>
              </w:rPr>
              <w:t>shares outstanding as of December 31, 2019 and 37,850,544 shares issued and 34,222,476 shares outstanding as</w:t>
            </w: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of December 31, 2018</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8"/>
                <w:szCs w:val="18"/>
                <w:color w:val="auto"/>
              </w:rPr>
            </w:pPr>
          </w:p>
        </w:tc>
        <w:tc>
          <w:tcPr>
            <w:tcW w:w="1720" w:type="dxa"/>
            <w:vAlign w:val="bottom"/>
            <w:vMerge w:val="restart"/>
          </w:tcPr>
          <w:p>
            <w:pPr>
              <w:jc w:val="right"/>
              <w:ind w:right="43"/>
              <w:spacing w:after="0"/>
              <w:rPr>
                <w:sz w:val="20"/>
                <w:szCs w:val="20"/>
                <w:color w:val="auto"/>
              </w:rPr>
            </w:pPr>
            <w:r>
              <w:rPr>
                <w:rFonts w:ascii="Arial" w:cs="Arial" w:eastAsia="Arial" w:hAnsi="Arial"/>
                <w:sz w:val="15"/>
                <w:szCs w:val="15"/>
                <w:color w:val="auto"/>
              </w:rPr>
              <w:t>391,240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43"/>
              <w:spacing w:after="0"/>
              <w:rPr>
                <w:sz w:val="20"/>
                <w:szCs w:val="20"/>
                <w:color w:val="auto"/>
              </w:rPr>
            </w:pPr>
            <w:r>
              <w:rPr>
                <w:rFonts w:ascii="Arial" w:cs="Arial" w:eastAsia="Arial" w:hAnsi="Arial"/>
                <w:sz w:val="15"/>
                <w:szCs w:val="15"/>
                <w:color w:val="auto"/>
              </w:rPr>
              <w:t>364,179</w:t>
            </w:r>
          </w:p>
        </w:tc>
        <w:tc>
          <w:tcPr>
            <w:tcW w:w="0" w:type="dxa"/>
            <w:vAlign w:val="bottom"/>
          </w:tcPr>
          <w:p>
            <w:pPr>
              <w:spacing w:after="0"/>
              <w:rPr>
                <w:sz w:val="1"/>
                <w:szCs w:val="1"/>
                <w:color w:val="auto"/>
              </w:rPr>
            </w:pPr>
          </w:p>
        </w:tc>
      </w:tr>
      <w:tr>
        <w:trPr>
          <w:trHeight w:val="58"/>
        </w:trPr>
        <w:tc>
          <w:tcPr>
            <w:tcW w:w="7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551,903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484,244</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8"/>
                <w:szCs w:val="18"/>
                <w:color w:val="auto"/>
              </w:rPr>
            </w:pPr>
          </w:p>
        </w:tc>
        <w:tc>
          <w:tcPr>
            <w:tcW w:w="1720" w:type="dxa"/>
            <w:vAlign w:val="bottom"/>
            <w:vMerge w:val="restart"/>
          </w:tcPr>
          <w:p>
            <w:pPr>
              <w:jc w:val="right"/>
              <w:spacing w:after="0"/>
              <w:rPr>
                <w:sz w:val="20"/>
                <w:szCs w:val="20"/>
                <w:color w:val="auto"/>
              </w:rPr>
            </w:pPr>
            <w:r>
              <w:rPr>
                <w:rFonts w:ascii="Arial" w:cs="Arial" w:eastAsia="Arial" w:hAnsi="Arial"/>
                <w:sz w:val="15"/>
                <w:szCs w:val="15"/>
                <w:color w:val="auto"/>
              </w:rPr>
              <w:t>(84,892)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(83,467)</w:t>
            </w:r>
          </w:p>
        </w:tc>
        <w:tc>
          <w:tcPr>
            <w:tcW w:w="0" w:type="dxa"/>
            <w:vAlign w:val="bottom"/>
          </w:tcPr>
          <w:p>
            <w:pPr>
              <w:spacing w:after="0"/>
              <w:rPr>
                <w:sz w:val="1"/>
                <w:szCs w:val="1"/>
                <w:color w:val="auto"/>
              </w:rPr>
            </w:pPr>
          </w:p>
        </w:tc>
      </w:tr>
      <w:tr>
        <w:trPr>
          <w:trHeight w:val="58"/>
        </w:trPr>
        <w:tc>
          <w:tcPr>
            <w:tcW w:w="7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22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858,290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764,994</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0"/>
              <w:spacing w:after="0" w:line="156" w:lineRule="exact"/>
              <w:rPr>
                <w:sz w:val="20"/>
                <w:szCs w:val="20"/>
                <w:color w:val="auto"/>
              </w:rPr>
            </w:pPr>
            <w:r>
              <w:rPr>
                <w:rFonts w:ascii="Arial" w:cs="Arial" w:eastAsia="Arial" w:hAnsi="Arial"/>
                <w:sz w:val="15"/>
                <w:szCs w:val="15"/>
                <w:color w:val="auto"/>
                <w:w w:val="95"/>
              </w:rPr>
              <w:t>Less: 4,295,413 shares as of December 31, 2019 and 3,628,068 shares as of December 31, 2018, held in treasury, at</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(188,289)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(146,925)</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670,001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618,069</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748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22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50"/>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670,001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618,319</w:t>
            </w:r>
          </w:p>
        </w:tc>
        <w:tc>
          <w:tcPr>
            <w:tcW w:w="0" w:type="dxa"/>
            <w:vAlign w:val="bottom"/>
          </w:tcPr>
          <w:p>
            <w:pPr>
              <w:spacing w:after="0"/>
              <w:rPr>
                <w:sz w:val="1"/>
                <w:szCs w:val="1"/>
                <w:color w:val="auto"/>
              </w:rPr>
            </w:pPr>
          </w:p>
        </w:tc>
      </w:tr>
      <w:tr>
        <w:trPr>
          <w:trHeight w:val="241"/>
        </w:trPr>
        <w:tc>
          <w:tcPr>
            <w:tcW w:w="748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1,183,088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380"/>
          </w:cols>
          <w:pgMar w:left="240" w:top="337" w:right="279" w:bottom="0" w:gutter="0" w:footer="0" w:header="0"/>
        </w:sectPr>
      </w:pPr>
    </w:p>
    <w:p>
      <w:pPr>
        <w:jc w:val="center"/>
        <w:ind w:right="-39"/>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ectPr>
          <w:pgSz w:w="11900" w:h="16838" w:orient="portrait"/>
          <w:cols w:equalWidth="0" w:num="1">
            <w:col w:w="11380"/>
          </w:cols>
          <w:pgMar w:left="240" w:top="337" w:right="279" w:bottom="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9019"/>
          </w:cols>
          <w:pgMar w:left="1440" w:top="125"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6"/>
                <w:szCs w:val="16"/>
                <w:b w:val="1"/>
                <w:bCs w:val="1"/>
                <w:color w:val="auto"/>
              </w:rPr>
              <w:t>2017</w:t>
            </w:r>
          </w:p>
        </w:tc>
      </w:tr>
      <w:tr>
        <w:trPr>
          <w:trHeight w:val="33"/>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991,346</w:t>
            </w:r>
          </w:p>
        </w:tc>
        <w:tc>
          <w:tcPr>
            <w:tcW w:w="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883,112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762,310</w:t>
            </w:r>
          </w:p>
        </w:tc>
      </w:tr>
      <w:tr>
        <w:trPr>
          <w:trHeight w:val="270"/>
        </w:trPr>
        <w:tc>
          <w:tcPr>
            <w:tcW w:w="72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655,490</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584,855</w:t>
            </w:r>
          </w:p>
        </w:tc>
        <w:tc>
          <w:tcPr>
            <w:tcW w:w="2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495,142</w:t>
            </w:r>
          </w:p>
        </w:tc>
      </w:tr>
      <w:tr>
        <w:trPr>
          <w:trHeight w:val="264"/>
        </w:trPr>
        <w:tc>
          <w:tcPr>
            <w:tcW w:w="72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335,856</w:t>
            </w: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298,257</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267,168</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
        </w:trPr>
        <w:tc>
          <w:tcPr>
            <w:tcW w:w="7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116,202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102,515</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63,612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53,379</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48,566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38,549</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Impairment and restructuring charges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20,056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259,403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248,436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194,443</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76,453</w:t>
            </w: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49,821</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72,725</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2,839</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(13,612)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12,989</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11,359</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83,100</w:t>
            </w: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60,370</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85,034</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3,397</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36,146</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67,928</w:t>
            </w: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56,973</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48,888</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67,659</w:t>
            </w: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56,726</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48,888</w:t>
            </w:r>
          </w:p>
        </w:tc>
      </w:tr>
      <w:tr>
        <w:trPr>
          <w:trHeight w:val="67"/>
        </w:trPr>
        <w:tc>
          <w:tcPr>
            <w:tcW w:w="7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attributable to ExlService Holdings, Inc. 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Weighted-average number of shares used in computing earnings per share attributable to</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ExlService Holdings Inc. stockholders: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34,350,150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34,451,008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33,897,916</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34,732,683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35,030,984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35,110,210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337"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gridSpan w:val="5"/>
          </w:tcPr>
          <w:p>
            <w:pPr>
              <w:jc w:val="right"/>
              <w:ind w:right="130"/>
              <w:spacing w:after="0"/>
              <w:rPr>
                <w:sz w:val="20"/>
                <w:szCs w:val="20"/>
                <w:color w:val="auto"/>
              </w:rPr>
            </w:pPr>
            <w:r>
              <w:rPr>
                <w:rFonts w:ascii="Arial" w:cs="Arial" w:eastAsia="Arial" w:hAnsi="Arial"/>
                <w:sz w:val="16"/>
                <w:szCs w:val="16"/>
                <w:b w:val="1"/>
                <w:bCs w:val="1"/>
                <w:color w:val="auto"/>
                <w:w w:val="93"/>
              </w:rPr>
              <w:t>Year ended December 31,</w:t>
            </w:r>
          </w:p>
        </w:tc>
        <w:tc>
          <w:tcPr>
            <w:tcW w:w="110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33"/>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67,659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48,888</w:t>
            </w:r>
          </w:p>
        </w:tc>
      </w:tr>
      <w:tr>
        <w:trPr>
          <w:trHeight w:val="243"/>
        </w:trPr>
        <w:tc>
          <w:tcPr>
            <w:tcW w:w="6960" w:type="dxa"/>
            <w:vAlign w:val="bottom"/>
          </w:tcPr>
          <w:p>
            <w:pPr>
              <w:ind w:left="80"/>
              <w:spacing w:after="0"/>
              <w:rPr>
                <w:sz w:val="20"/>
                <w:szCs w:val="20"/>
                <w:color w:val="auto"/>
              </w:rPr>
            </w:pPr>
            <w:r>
              <w:rPr>
                <w:rFonts w:ascii="Arial" w:cs="Arial" w:eastAsia="Arial" w:hAnsi="Arial"/>
                <w:sz w:val="18"/>
                <w:szCs w:val="18"/>
                <w:b w:val="1"/>
                <w:bCs w:val="1"/>
                <w:color w:val="auto"/>
              </w:rPr>
              <w:t>Other comprehensive income/(loss):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Unrealized gain/(loss)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19,802</w:t>
            </w:r>
          </w:p>
        </w:tc>
      </w:tr>
      <w:tr>
        <w:trPr>
          <w:trHeight w:val="243"/>
        </w:trPr>
        <w:tc>
          <w:tcPr>
            <w:tcW w:w="6960" w:type="dxa"/>
            <w:vAlign w:val="bottom"/>
          </w:tcPr>
          <w:p>
            <w:pPr>
              <w:ind w:left="620"/>
              <w:spacing w:after="0"/>
              <w:rPr>
                <w:sz w:val="20"/>
                <w:szCs w:val="20"/>
                <w:color w:val="auto"/>
              </w:rPr>
            </w:pPr>
            <w:r>
              <w:rPr>
                <w:rFonts w:ascii="Arial" w:cs="Arial" w:eastAsia="Arial" w:hAnsi="Arial"/>
                <w:sz w:val="18"/>
                <w:szCs w:val="18"/>
                <w:color w:val="auto"/>
              </w:rPr>
              <w:t>Foreign currency translation (loss)/gain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18,894</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r>
      <w:tr>
        <w:trPr>
          <w:trHeight w:val="243"/>
        </w:trPr>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Reclassification adjustments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6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Gain on cash flow hedges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r>
      <w:tr>
        <w:trPr>
          <w:trHeight w:val="270"/>
        </w:trPr>
        <w:tc>
          <w:tcPr>
            <w:tcW w:w="6960" w:type="dxa"/>
            <w:vAlign w:val="bottom"/>
          </w:tcPr>
          <w:p>
            <w:pPr>
              <w:ind w:left="480"/>
              <w:spacing w:after="0" w:line="270" w:lineRule="exact"/>
              <w:rPr>
                <w:sz w:val="20"/>
                <w:szCs w:val="20"/>
                <w:color w:val="auto"/>
              </w:rPr>
            </w:pPr>
            <w:r>
              <w:rPr>
                <w:rFonts w:ascii="Arial" w:cs="Arial" w:eastAsia="Arial" w:hAnsi="Arial"/>
                <w:sz w:val="18"/>
                <w:szCs w:val="18"/>
                <w:color w:val="auto"/>
              </w:rPr>
              <w:t>Retirement benefits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0"/>
        </w:trPr>
        <w:tc>
          <w:tcPr>
            <w:tcW w:w="69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Income tax (expense)/benefit relating to above</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4,782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37"/>
        </w:trPr>
        <w:tc>
          <w:tcPr>
            <w:tcW w:w="6960" w:type="dxa"/>
            <w:vAlign w:val="bottom"/>
          </w:tcPr>
          <w:p>
            <w:pPr>
              <w:ind w:left="120"/>
              <w:spacing w:after="0"/>
              <w:rPr>
                <w:sz w:val="20"/>
                <w:szCs w:val="20"/>
                <w:color w:val="auto"/>
              </w:rPr>
            </w:pPr>
            <w:r>
              <w:rPr>
                <w:rFonts w:ascii="Arial" w:cs="Arial" w:eastAsia="Arial" w:hAnsi="Arial"/>
                <w:sz w:val="18"/>
                <w:szCs w:val="18"/>
                <w:b w:val="1"/>
                <w:bCs w:val="1"/>
                <w:color w:val="auto"/>
              </w:rPr>
              <w:t>Total other comprehensive (loss)/income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(37,757)</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29,347</w:t>
            </w: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66,234</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78,235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40" w:hanging="532"/>
        <w:spacing w:after="0" w:line="275" w:lineRule="auto"/>
        <w:tabs>
          <w:tab w:leader="none" w:pos="5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consolidated statements of income. Refer to Note 17 to the consolidated financial statements.</w:t>
      </w:r>
    </w:p>
    <w:p>
      <w:pPr>
        <w:spacing w:after="0" w:line="64" w:lineRule="exact"/>
        <w:rPr>
          <w:rFonts w:ascii="Arial" w:cs="Arial" w:eastAsia="Arial" w:hAnsi="Arial"/>
          <w:sz w:val="16"/>
          <w:szCs w:val="16"/>
          <w:i w:val="1"/>
          <w:iCs w:val="1"/>
          <w:color w:val="auto"/>
        </w:rPr>
      </w:pPr>
    </w:p>
    <w:p>
      <w:pPr>
        <w:ind w:left="540" w:hanging="532"/>
        <w:spacing w:after="0" w:line="275" w:lineRule="auto"/>
        <w:tabs>
          <w:tab w:leader="none" w:pos="5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consolidated statements of income. Refer to Note 20 to the consolidated financial statements.</w:t>
      </w:r>
    </w:p>
    <w:p>
      <w:pPr>
        <w:spacing w:after="0" w:line="64" w:lineRule="exact"/>
        <w:rPr>
          <w:rFonts w:ascii="Arial" w:cs="Arial" w:eastAsia="Arial" w:hAnsi="Arial"/>
          <w:sz w:val="16"/>
          <w:szCs w:val="16"/>
          <w:i w:val="1"/>
          <w:iCs w:val="1"/>
          <w:color w:val="auto"/>
        </w:rPr>
      </w:pPr>
    </w:p>
    <w:p>
      <w:pPr>
        <w:ind w:left="540" w:hanging="532"/>
        <w:spacing w:after="0"/>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income tax (expense)/benefit recognized on cash flow hedges and retirement benefits. Refer to Note 22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37"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2016</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Impact on adoption of ASU No. 2016-09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January 1, 2017</w:t>
      </w:r>
    </w:p>
    <w:p>
      <w:pPr>
        <w:spacing w:after="0" w:line="113"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Stock issued against stock-based compensation plans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right="220"/>
        <w:spacing w:after="0" w:line="436" w:lineRule="auto"/>
        <w:rPr>
          <w:sz w:val="20"/>
          <w:szCs w:val="20"/>
          <w:color w:val="auto"/>
        </w:rPr>
      </w:pPr>
      <w:r>
        <w:rPr>
          <w:rFonts w:ascii="Arial" w:cs="Arial" w:eastAsia="Arial" w:hAnsi="Arial"/>
          <w:sz w:val="12"/>
          <w:szCs w:val="12"/>
          <w:b w:val="1"/>
          <w:bCs w:val="1"/>
          <w:color w:val="auto"/>
        </w:rPr>
        <w:t xml:space="preserve">Balance as of December 31, 2017 </w:t>
      </w:r>
      <w:r>
        <w:rPr>
          <w:rFonts w:ascii="Arial" w:cs="Arial" w:eastAsia="Arial" w:hAnsi="Arial"/>
          <w:sz w:val="12"/>
          <w:szCs w:val="12"/>
          <w:color w:val="auto"/>
        </w:rPr>
        <w:t>Impact of adoption of Topic 606</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January 1, 2018</w:t>
      </w:r>
    </w:p>
    <w:p>
      <w:pPr>
        <w:spacing w:after="0" w:line="46"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Stock issued against stock-based compensation plans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issued, business acquisition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right="20"/>
        <w:spacing w:after="0" w:line="264" w:lineRule="auto"/>
        <w:rPr>
          <w:sz w:val="20"/>
          <w:szCs w:val="20"/>
          <w:color w:val="auto"/>
        </w:rPr>
      </w:pPr>
      <w:r>
        <w:rPr>
          <w:rFonts w:ascii="Arial" w:cs="Arial" w:eastAsia="Arial" w:hAnsi="Arial"/>
          <w:sz w:val="13"/>
          <w:szCs w:val="13"/>
          <w:color w:val="auto"/>
        </w:rPr>
        <w:t>Allocation of equity component related to the convertible senior notes, net of tax and issuance costs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2018</w:t>
      </w:r>
    </w:p>
    <w:p>
      <w:pPr>
        <w:spacing w:after="0" w:line="46"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Stock issued against stock-based compensation plans</w:t>
      </w:r>
    </w:p>
    <w:p>
      <w:pPr>
        <w:spacing w:after="0" w:line="79" w:lineRule="exact"/>
        <w:rPr>
          <w:sz w:val="20"/>
          <w:szCs w:val="20"/>
          <w:color w:val="auto"/>
        </w:rPr>
      </w:pPr>
    </w:p>
    <w:p>
      <w:pPr>
        <w:ind w:left="40" w:right="560"/>
        <w:spacing w:after="0" w:line="379" w:lineRule="auto"/>
        <w:rPr>
          <w:sz w:val="20"/>
          <w:szCs w:val="20"/>
          <w:color w:val="auto"/>
        </w:rPr>
      </w:pPr>
      <w:r>
        <w:rPr>
          <w:rFonts w:ascii="Arial" w:cs="Arial" w:eastAsia="Arial" w:hAnsi="Arial"/>
          <w:sz w:val="13"/>
          <w:szCs w:val="13"/>
          <w:color w:val="auto"/>
        </w:rPr>
        <w:t>Stock-based compensation Acquisition of treasury stock</w:t>
      </w:r>
    </w:p>
    <w:p>
      <w:pPr>
        <w:spacing w:after="0" w:line="1" w:lineRule="exact"/>
        <w:rPr>
          <w:sz w:val="20"/>
          <w:szCs w:val="20"/>
          <w:color w:val="auto"/>
        </w:rPr>
      </w:pPr>
    </w:p>
    <w:p>
      <w:pPr>
        <w:ind w:left="40" w:right="380"/>
        <w:spacing w:after="0" w:line="264" w:lineRule="auto"/>
        <w:rPr>
          <w:sz w:val="20"/>
          <w:szCs w:val="20"/>
          <w:color w:val="auto"/>
        </w:rPr>
      </w:pPr>
      <w:r>
        <w:rPr>
          <w:rFonts w:ascii="Arial" w:cs="Arial" w:eastAsia="Arial" w:hAnsi="Arial"/>
          <w:sz w:val="13"/>
          <w:szCs w:val="13"/>
          <w:color w:val="auto"/>
        </w:rPr>
        <w:t>Allocation of equity component related to issuance costs on convertible notes</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2019</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00" w:type="dxa"/>
            <w:vAlign w:val="bottom"/>
            <w:gridSpan w:val="5"/>
          </w:tcPr>
          <w:p>
            <w:pPr>
              <w:ind w:left="48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900" w:type="dxa"/>
            <w:vAlign w:val="bottom"/>
            <w:gridSpan w:val="5"/>
          </w:tcPr>
          <w:p>
            <w:pPr>
              <w:ind w:left="420"/>
              <w:spacing w:after="0" w:line="158"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Non -</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4"/>
                <w:szCs w:val="4"/>
                <w:color w:val="auto"/>
              </w:rPr>
            </w:pPr>
          </w:p>
        </w:tc>
        <w:tc>
          <w:tcPr>
            <w:tcW w:w="82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4"/>
                <w:szCs w:val="4"/>
                <w:color w:val="auto"/>
              </w:rPr>
            </w:pPr>
          </w:p>
        </w:tc>
        <w:tc>
          <w:tcPr>
            <w:tcW w:w="124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Controlling</w:t>
            </w:r>
          </w:p>
        </w:tc>
        <w:tc>
          <w:tcPr>
            <w:tcW w:w="140" w:type="dxa"/>
            <w:vAlign w:val="bottom"/>
          </w:tcPr>
          <w:p>
            <w:pPr>
              <w:spacing w:after="0"/>
              <w:rPr>
                <w:sz w:val="4"/>
                <w:szCs w:val="4"/>
                <w:color w:val="auto"/>
              </w:rPr>
            </w:pPr>
          </w:p>
        </w:tc>
        <w:tc>
          <w:tcPr>
            <w:tcW w:w="64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(Loss)/Income</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35,699,819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284,646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382,722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(75,057)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(2,071,710)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(60,362)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532,178</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5,999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270"/>
        </w:trPr>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35,699,819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290,645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378,176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(75,057)</w:t>
            </w:r>
          </w:p>
        </w:tc>
        <w:tc>
          <w:tcPr>
            <w:tcW w:w="12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(2,071,710)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(60,362)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533,631</w:t>
            </w:r>
          </w:p>
        </w:tc>
        <w:tc>
          <w:tcPr>
            <w:tcW w:w="0" w:type="dxa"/>
            <w:vAlign w:val="bottom"/>
          </w:tcPr>
          <w:p>
            <w:pPr>
              <w:spacing w:after="0"/>
              <w:rPr>
                <w:sz w:val="1"/>
                <w:szCs w:val="1"/>
                <w:color w:val="auto"/>
              </w:rPr>
            </w:pPr>
          </w:p>
        </w:tc>
      </w:tr>
      <w:tr>
        <w:trPr>
          <w:trHeight w:val="351"/>
        </w:trPr>
        <w:tc>
          <w:tcPr>
            <w:tcW w:w="940" w:type="dxa"/>
            <w:vAlign w:val="bottom"/>
          </w:tcPr>
          <w:p>
            <w:pPr>
              <w:jc w:val="right"/>
              <w:ind w:right="68"/>
              <w:spacing w:after="0"/>
              <w:rPr>
                <w:sz w:val="20"/>
                <w:szCs w:val="20"/>
                <w:color w:val="auto"/>
              </w:rPr>
            </w:pPr>
            <w:r>
              <w:rPr>
                <w:rFonts w:ascii="Arial" w:cs="Arial" w:eastAsia="Arial" w:hAnsi="Arial"/>
                <w:sz w:val="14"/>
                <w:szCs w:val="14"/>
                <w:color w:val="auto"/>
              </w:rPr>
              <w:t>1,090,932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8,560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8,561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23,041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23,041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(830,308)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(43,454)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(43,454)</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29,347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29,347</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48,888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48,888</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427,064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(45,710)</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(103,816)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600,045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70"/>
        </w:trPr>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427,518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(45,710)</w:t>
            </w:r>
          </w:p>
        </w:tc>
        <w:tc>
          <w:tcPr>
            <w:tcW w:w="12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(103,816)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600,499</w:t>
            </w:r>
          </w:p>
        </w:tc>
        <w:tc>
          <w:tcPr>
            <w:tcW w:w="0" w:type="dxa"/>
            <w:vAlign w:val="bottom"/>
          </w:tcPr>
          <w:p>
            <w:pPr>
              <w:spacing w:after="0"/>
              <w:rPr>
                <w:sz w:val="1"/>
                <w:szCs w:val="1"/>
                <w:color w:val="auto"/>
              </w:rPr>
            </w:pPr>
          </w:p>
        </w:tc>
      </w:tr>
      <w:tr>
        <w:trPr>
          <w:trHeight w:val="351"/>
        </w:trPr>
        <w:tc>
          <w:tcPr>
            <w:tcW w:w="940" w:type="dxa"/>
            <w:vAlign w:val="bottom"/>
          </w:tcPr>
          <w:p>
            <w:pPr>
              <w:jc w:val="right"/>
              <w:ind w:right="68"/>
              <w:spacing w:after="0"/>
              <w:rPr>
                <w:sz w:val="20"/>
                <w:szCs w:val="20"/>
                <w:color w:val="auto"/>
              </w:rPr>
            </w:pPr>
            <w:r>
              <w:rPr>
                <w:rFonts w:ascii="Arial" w:cs="Arial" w:eastAsia="Arial" w:hAnsi="Arial"/>
                <w:sz w:val="14"/>
                <w:szCs w:val="14"/>
                <w:color w:val="auto"/>
              </w:rPr>
              <w:t>990,334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70"/>
        </w:trPr>
        <w:tc>
          <w:tcPr>
            <w:tcW w:w="940" w:type="dxa"/>
            <w:vAlign w:val="bottom"/>
          </w:tcPr>
          <w:p>
            <w:pPr>
              <w:jc w:val="right"/>
              <w:ind w:right="68"/>
              <w:spacing w:after="0"/>
              <w:rPr>
                <w:sz w:val="20"/>
                <w:szCs w:val="20"/>
                <w:color w:val="auto"/>
              </w:rPr>
            </w:pPr>
            <w:r>
              <w:rPr>
                <w:rFonts w:ascii="Arial" w:cs="Arial" w:eastAsia="Arial" w:hAnsi="Arial"/>
                <w:sz w:val="14"/>
                <w:szCs w:val="14"/>
                <w:color w:val="auto"/>
              </w:rPr>
              <w:t>69,459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4,080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4,080</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23,901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23,901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(726,050)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(43,109)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(43,109)</w:t>
            </w:r>
          </w:p>
        </w:tc>
        <w:tc>
          <w:tcPr>
            <w:tcW w:w="0" w:type="dxa"/>
            <w:vAlign w:val="bottom"/>
          </w:tcPr>
          <w:p>
            <w:pPr>
              <w:spacing w:after="0"/>
              <w:rPr>
                <w:sz w:val="1"/>
                <w:szCs w:val="1"/>
                <w:color w:val="auto"/>
              </w:rPr>
            </w:pPr>
          </w:p>
        </w:tc>
      </w:tr>
      <w:tr>
        <w:trPr>
          <w:trHeight w:val="50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12,555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12,555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(37,757)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(37,757)</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56,726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56,726</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37,850,544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364,179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484,244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(83,467)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(3,628,068)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(146,925)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618,319</w:t>
            </w:r>
          </w:p>
        </w:tc>
        <w:tc>
          <w:tcPr>
            <w:tcW w:w="0" w:type="dxa"/>
            <w:vAlign w:val="bottom"/>
          </w:tcPr>
          <w:p>
            <w:pPr>
              <w:spacing w:after="0"/>
              <w:rPr>
                <w:sz w:val="1"/>
                <w:szCs w:val="1"/>
                <w:color w:val="auto"/>
              </w:rPr>
            </w:pPr>
          </w:p>
        </w:tc>
      </w:tr>
      <w:tr>
        <w:trPr>
          <w:trHeight w:val="351"/>
        </w:trPr>
        <w:tc>
          <w:tcPr>
            <w:tcW w:w="940" w:type="dxa"/>
            <w:vAlign w:val="bottom"/>
          </w:tcPr>
          <w:p>
            <w:pPr>
              <w:jc w:val="right"/>
              <w:ind w:right="68"/>
              <w:spacing w:after="0"/>
              <w:rPr>
                <w:sz w:val="20"/>
                <w:szCs w:val="20"/>
                <w:color w:val="auto"/>
              </w:rPr>
            </w:pPr>
            <w:r>
              <w:rPr>
                <w:rFonts w:ascii="Arial" w:cs="Arial" w:eastAsia="Arial" w:hAnsi="Arial"/>
                <w:sz w:val="14"/>
                <w:szCs w:val="14"/>
                <w:color w:val="auto"/>
              </w:rPr>
              <w:t>630,110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26,070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26,070</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(667,345)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(41,364)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(41,364)</w:t>
            </w:r>
          </w:p>
        </w:tc>
        <w:tc>
          <w:tcPr>
            <w:tcW w:w="0" w:type="dxa"/>
            <w:vAlign w:val="bottom"/>
          </w:tcPr>
          <w:p>
            <w:pPr>
              <w:spacing w:after="0"/>
              <w:rPr>
                <w:sz w:val="1"/>
                <w:szCs w:val="1"/>
                <w:color w:val="auto"/>
              </w:rPr>
            </w:pPr>
          </w:p>
        </w:tc>
      </w:tr>
      <w:tr>
        <w:trPr>
          <w:trHeight w:val="50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276"/>
        </w:trPr>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67,659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67,659</w:t>
            </w:r>
          </w:p>
        </w:tc>
        <w:tc>
          <w:tcPr>
            <w:tcW w:w="0" w:type="dxa"/>
            <w:vAlign w:val="bottom"/>
          </w:tcPr>
          <w:p>
            <w:pPr>
              <w:spacing w:after="0"/>
              <w:rPr>
                <w:sz w:val="1"/>
                <w:szCs w:val="1"/>
                <w:color w:val="auto"/>
              </w:rPr>
            </w:pPr>
          </w:p>
        </w:tc>
      </w:tr>
      <w:tr>
        <w:trPr>
          <w:trHeight w:val="237"/>
        </w:trPr>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38,480,654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391,240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551,903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(84,892)</w:t>
            </w:r>
          </w:p>
        </w:tc>
        <w:tc>
          <w:tcPr>
            <w:tcW w:w="12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(4,295,413)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(188,289)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670,001</w:t>
            </w: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-5487670</wp:posOffset>
            </wp:positionV>
            <wp:extent cx="72377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-5093335</wp:posOffset>
            </wp:positionV>
            <wp:extent cx="72377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-4699000</wp:posOffset>
            </wp:positionV>
            <wp:extent cx="72377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-4356100</wp:posOffset>
            </wp:positionV>
            <wp:extent cx="72377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-4012565</wp:posOffset>
            </wp:positionV>
            <wp:extent cx="72377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-3669665</wp:posOffset>
            </wp:positionV>
            <wp:extent cx="72377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-3326765</wp:posOffset>
            </wp:positionV>
            <wp:extent cx="723773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-2932430</wp:posOffset>
            </wp:positionV>
            <wp:extent cx="72377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-2589530</wp:posOffset>
            </wp:positionV>
            <wp:extent cx="723773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237730" cy="31750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-2100580</wp:posOffset>
            </wp:positionV>
            <wp:extent cx="723773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-1757680</wp:posOffset>
            </wp:positionV>
            <wp:extent cx="72377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-1362710</wp:posOffset>
            </wp:positionV>
            <wp:extent cx="72377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-1019810</wp:posOffset>
            </wp:positionV>
            <wp:extent cx="7237730"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237730" cy="31750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-530860</wp:posOffset>
            </wp:positionV>
            <wp:extent cx="723773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-187960</wp:posOffset>
            </wp:positionV>
            <wp:extent cx="72377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40"/>
            <w:col w:w="912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37"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40"/>
          </w:cols>
          <w:pgMar w:left="240" w:top="33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-106680</wp:posOffset>
            </wp:positionV>
            <wp:extent cx="714375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Amortization of 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Unrealized gain on short term investments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Unrealized foreign exchange (gain)/loss,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income tax (benefit)/expense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Allowance for doubtful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Loss from equity-method investment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Amortization of non-cash interest expense related to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71120</wp:posOffset>
            </wp:positionV>
            <wp:extent cx="71437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Impairment charges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 in operating assets and liabilities, net of effects of acquisitions: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Advance income tax,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Accrued employee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Accrued expenses and other liabilities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175260</wp:posOffset>
            </wp:positionV>
            <wp:extent cx="71437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flows from investing activities: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 equity affiliate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Purchase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Business acquisition (net of cash acquired)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Purchase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Proceeds from redemption of investments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64135</wp:posOffset>
            </wp:positionV>
            <wp:extent cx="71437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4872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514"/>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67,659</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56,726</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48,888</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52,193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48,719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38,984</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26,070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23,901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23,041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27,335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(10,116)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1,523</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(12,345)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731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2,816</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252</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(7,093)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(20,482)</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11,037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(2,224)</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1,706</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6,679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(6,625)</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16,915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6,391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14,141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6,903</w:t>
            </w:r>
          </w:p>
        </w:tc>
      </w:tr>
      <w:tr>
        <w:trPr>
          <w:trHeight w:val="276"/>
        </w:trPr>
        <w:tc>
          <w:tcPr>
            <w:tcW w:w="3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(24,813)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168,420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92,435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113,159</w:t>
            </w:r>
          </w:p>
        </w:tc>
      </w:tr>
      <w:tr>
        <w:trPr>
          <w:trHeight w:val="690"/>
        </w:trPr>
        <w:tc>
          <w:tcPr>
            <w:tcW w:w="30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(40,138)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(35,154)</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(231,829)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(23,300)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(187,974)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(133,434)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(402,721)</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176,968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128,208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241,439</w:t>
            </w:r>
          </w:p>
        </w:tc>
      </w:tr>
      <w:tr>
        <w:trPr>
          <w:trHeight w:val="250"/>
        </w:trPr>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(51,385)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(277,492)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(222,736)</w:t>
            </w:r>
          </w:p>
        </w:tc>
      </w:tr>
    </w:tbl>
    <w:p>
      <w:pPr>
        <w:spacing w:after="0" w:line="200" w:lineRule="exact"/>
        <w:rPr>
          <w:sz w:val="20"/>
          <w:szCs w:val="20"/>
          <w:color w:val="auto"/>
        </w:rPr>
      </w:pPr>
    </w:p>
    <w:p>
      <w:pPr>
        <w:sectPr>
          <w:pgSz w:w="11900" w:h="16838" w:orient="portrait"/>
          <w:cols w:equalWidth="0" w:num="2">
            <w:col w:w="6700" w:space="720"/>
            <w:col w:w="3920"/>
          </w:cols>
          <w:pgMar w:left="240" w:top="337" w:right="319" w:bottom="0" w:gutter="0" w:footer="0" w:header="0"/>
          <w:type w:val="continuous"/>
        </w:sectPr>
      </w:pPr>
    </w:p>
    <w:p>
      <w:pPr>
        <w:spacing w:after="0" w:line="65"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7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of finance lease liabilities</w:t>
            </w:r>
          </w:p>
        </w:tc>
        <w:tc>
          <w:tcPr>
            <w:tcW w:w="3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80"/>
        </w:trPr>
        <w:tc>
          <w:tcPr>
            <w:tcW w:w="73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340" w:type="dxa"/>
            <w:vAlign w:val="bottom"/>
          </w:tcPr>
          <w:p>
            <w:pPr>
              <w:ind w:left="380"/>
              <w:spacing w:after="0"/>
              <w:rPr>
                <w:sz w:val="20"/>
                <w:szCs w:val="20"/>
                <w:color w:val="auto"/>
              </w:rPr>
            </w:pPr>
            <w:r>
              <w:rPr>
                <w:rFonts w:ascii="Arial" w:cs="Arial" w:eastAsia="Arial" w:hAnsi="Arial"/>
                <w:sz w:val="14"/>
                <w:szCs w:val="14"/>
                <w:color w:val="auto"/>
              </w:rPr>
              <w:t>Proceeds from borrowings</w:t>
            </w:r>
          </w:p>
        </w:tc>
        <w:tc>
          <w:tcPr>
            <w:tcW w:w="3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46,000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246,614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60,574</w:t>
            </w:r>
          </w:p>
        </w:tc>
        <w:tc>
          <w:tcPr>
            <w:tcW w:w="0" w:type="dxa"/>
            <w:vAlign w:val="bottom"/>
          </w:tcPr>
          <w:p>
            <w:pPr>
              <w:spacing w:after="0"/>
              <w:rPr>
                <w:sz w:val="1"/>
                <w:szCs w:val="1"/>
                <w:color w:val="auto"/>
              </w:rPr>
            </w:pPr>
          </w:p>
        </w:tc>
      </w:tr>
      <w:tr>
        <w:trPr>
          <w:trHeight w:val="74"/>
        </w:trPr>
        <w:tc>
          <w:tcPr>
            <w:tcW w:w="7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of borrowings</w:t>
            </w:r>
          </w:p>
        </w:tc>
        <w:tc>
          <w:tcPr>
            <w:tcW w:w="3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(98,247)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(155,209)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(45,192)</w:t>
            </w:r>
          </w:p>
        </w:tc>
        <w:tc>
          <w:tcPr>
            <w:tcW w:w="0" w:type="dxa"/>
            <w:vAlign w:val="bottom"/>
          </w:tcPr>
          <w:p>
            <w:pPr>
              <w:spacing w:after="0"/>
              <w:rPr>
                <w:sz w:val="1"/>
                <w:szCs w:val="1"/>
                <w:color w:val="auto"/>
              </w:rPr>
            </w:pPr>
          </w:p>
        </w:tc>
      </w:tr>
      <w:tr>
        <w:trPr>
          <w:trHeight w:val="80"/>
        </w:trPr>
        <w:tc>
          <w:tcPr>
            <w:tcW w:w="73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340" w:type="dxa"/>
            <w:vAlign w:val="bottom"/>
          </w:tcPr>
          <w:p>
            <w:pPr>
              <w:ind w:left="380"/>
              <w:spacing w:after="0"/>
              <w:rPr>
                <w:sz w:val="20"/>
                <w:szCs w:val="20"/>
                <w:color w:val="auto"/>
              </w:rPr>
            </w:pPr>
            <w:r>
              <w:rPr>
                <w:rFonts w:ascii="Arial" w:cs="Arial" w:eastAsia="Arial" w:hAnsi="Arial"/>
                <w:sz w:val="14"/>
                <w:szCs w:val="14"/>
                <w:color w:val="auto"/>
              </w:rPr>
              <w:t>Proceeds from convertible notes</w:t>
            </w:r>
          </w:p>
        </w:tc>
        <w:tc>
          <w:tcPr>
            <w:tcW w:w="3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149,000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debt issuance costs</w:t>
            </w:r>
          </w:p>
        </w:tc>
        <w:tc>
          <w:tcPr>
            <w:tcW w:w="3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80"/>
        </w:trPr>
        <w:tc>
          <w:tcPr>
            <w:tcW w:w="73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340" w:type="dxa"/>
            <w:vAlign w:val="bottom"/>
          </w:tcPr>
          <w:p>
            <w:pPr>
              <w:ind w:left="380"/>
              <w:spacing w:after="0"/>
              <w:rPr>
                <w:sz w:val="20"/>
                <w:szCs w:val="20"/>
                <w:color w:val="auto"/>
              </w:rPr>
            </w:pPr>
            <w:r>
              <w:rPr>
                <w:rFonts w:ascii="Arial" w:cs="Arial" w:eastAsia="Arial" w:hAnsi="Arial"/>
                <w:sz w:val="14"/>
                <w:szCs w:val="14"/>
                <w:color w:val="auto"/>
              </w:rPr>
              <w:t>Acquisition of treasury stock</w:t>
            </w:r>
          </w:p>
        </w:tc>
        <w:tc>
          <w:tcPr>
            <w:tcW w:w="38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(41,364)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(43,109)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(43,454)</w:t>
            </w:r>
          </w:p>
        </w:tc>
        <w:tc>
          <w:tcPr>
            <w:tcW w:w="0" w:type="dxa"/>
            <w:vAlign w:val="bottom"/>
          </w:tcPr>
          <w:p>
            <w:pPr>
              <w:spacing w:after="0"/>
              <w:rPr>
                <w:sz w:val="1"/>
                <w:szCs w:val="1"/>
                <w:color w:val="auto"/>
              </w:rPr>
            </w:pPr>
          </w:p>
        </w:tc>
      </w:tr>
      <w:tr>
        <w:trPr>
          <w:trHeight w:val="74"/>
        </w:trPr>
        <w:tc>
          <w:tcPr>
            <w:tcW w:w="7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3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8,561</w:t>
            </w:r>
          </w:p>
        </w:tc>
        <w:tc>
          <w:tcPr>
            <w:tcW w:w="0" w:type="dxa"/>
            <w:vAlign w:val="bottom"/>
          </w:tcPr>
          <w:p>
            <w:pPr>
              <w:spacing w:after="0"/>
              <w:rPr>
                <w:sz w:val="1"/>
                <w:szCs w:val="1"/>
                <w:color w:val="auto"/>
              </w:rPr>
            </w:pPr>
          </w:p>
        </w:tc>
      </w:tr>
      <w:tr>
        <w:trPr>
          <w:trHeight w:val="80"/>
        </w:trPr>
        <w:tc>
          <w:tcPr>
            <w:tcW w:w="734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340" w:type="dxa"/>
            <w:vAlign w:val="bottom"/>
          </w:tcPr>
          <w:p>
            <w:pPr>
              <w:ind w:left="40"/>
              <w:spacing w:after="0"/>
              <w:rPr>
                <w:sz w:val="20"/>
                <w:szCs w:val="20"/>
                <w:color w:val="auto"/>
              </w:rPr>
            </w:pPr>
            <w:r>
              <w:rPr>
                <w:rFonts w:ascii="Arial" w:cs="Arial" w:eastAsia="Arial" w:hAnsi="Arial"/>
                <w:sz w:val="14"/>
                <w:szCs w:val="14"/>
                <w:color w:val="auto"/>
              </w:rPr>
              <w:t>Net cash (used for)/provided by financing activities</w:t>
            </w:r>
          </w:p>
        </w:tc>
        <w:tc>
          <w:tcPr>
            <w:tcW w:w="38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(93,077)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197,779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(20,475)</w:t>
            </w:r>
          </w:p>
        </w:tc>
        <w:tc>
          <w:tcPr>
            <w:tcW w:w="0" w:type="dxa"/>
            <w:vAlign w:val="bottom"/>
          </w:tcPr>
          <w:p>
            <w:pPr>
              <w:spacing w:after="0"/>
              <w:rPr>
                <w:sz w:val="1"/>
                <w:szCs w:val="1"/>
                <w:color w:val="auto"/>
              </w:rPr>
            </w:pPr>
          </w:p>
        </w:tc>
      </w:tr>
      <w:tr>
        <w:trPr>
          <w:trHeight w:val="74"/>
        </w:trPr>
        <w:tc>
          <w:tcPr>
            <w:tcW w:w="73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80"/>
        </w:trPr>
        <w:tc>
          <w:tcPr>
            <w:tcW w:w="734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340" w:type="dxa"/>
            <w:vAlign w:val="bottom"/>
          </w:tcPr>
          <w:p>
            <w:pPr>
              <w:ind w:left="40"/>
              <w:spacing w:after="0"/>
              <w:rPr>
                <w:sz w:val="20"/>
                <w:szCs w:val="20"/>
                <w:color w:val="auto"/>
              </w:rPr>
            </w:pPr>
            <w:r>
              <w:rPr>
                <w:rFonts w:ascii="Arial" w:cs="Arial" w:eastAsia="Arial" w:hAnsi="Arial"/>
                <w:sz w:val="14"/>
                <w:szCs w:val="14"/>
                <w:color w:val="auto"/>
              </w:rPr>
              <w:t>Net increase/(decrease) in cash, cash equivalents and restricted cash</w:t>
            </w:r>
          </w:p>
        </w:tc>
        <w:tc>
          <w:tcPr>
            <w:tcW w:w="38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22,913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9,854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(126,117)</w:t>
            </w:r>
          </w:p>
        </w:tc>
        <w:tc>
          <w:tcPr>
            <w:tcW w:w="0" w:type="dxa"/>
            <w:vAlign w:val="bottom"/>
          </w:tcPr>
          <w:p>
            <w:pPr>
              <w:spacing w:after="0"/>
              <w:rPr>
                <w:sz w:val="1"/>
                <w:szCs w:val="1"/>
                <w:color w:val="auto"/>
              </w:rPr>
            </w:pPr>
          </w:p>
        </w:tc>
      </w:tr>
      <w:tr>
        <w:trPr>
          <w:trHeight w:val="74"/>
        </w:trPr>
        <w:tc>
          <w:tcPr>
            <w:tcW w:w="7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104,131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94,277</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220,394</w:t>
            </w:r>
          </w:p>
        </w:tc>
        <w:tc>
          <w:tcPr>
            <w:tcW w:w="0" w:type="dxa"/>
            <w:vAlign w:val="bottom"/>
          </w:tcPr>
          <w:p>
            <w:pPr>
              <w:spacing w:after="0"/>
              <w:rPr>
                <w:sz w:val="1"/>
                <w:szCs w:val="1"/>
                <w:color w:val="auto"/>
              </w:rPr>
            </w:pPr>
          </w:p>
        </w:tc>
      </w:tr>
      <w:tr>
        <w:trPr>
          <w:trHeight w:val="171"/>
        </w:trPr>
        <w:tc>
          <w:tcPr>
            <w:tcW w:w="73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127,044</w:t>
            </w:r>
          </w:p>
        </w:tc>
        <w:tc>
          <w:tcPr>
            <w:tcW w:w="12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104,131</w:t>
            </w:r>
          </w:p>
        </w:tc>
        <w:tc>
          <w:tcPr>
            <w:tcW w:w="10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94,277</w:t>
            </w:r>
          </w:p>
        </w:tc>
        <w:tc>
          <w:tcPr>
            <w:tcW w:w="0" w:type="dxa"/>
            <w:vAlign w:val="bottom"/>
          </w:tcPr>
          <w:p>
            <w:pPr>
              <w:spacing w:after="0"/>
              <w:rPr>
                <w:sz w:val="1"/>
                <w:szCs w:val="1"/>
                <w:color w:val="auto"/>
              </w:rPr>
            </w:pPr>
          </w:p>
        </w:tc>
      </w:tr>
      <w:tr>
        <w:trPr>
          <w:trHeight w:val="100"/>
        </w:trPr>
        <w:tc>
          <w:tcPr>
            <w:tcW w:w="734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34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common stock issued for business acquisition</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34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10,649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4,725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6"/>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taxes, net of refund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19,128</w:t>
            </w:r>
          </w:p>
        </w:tc>
        <w:tc>
          <w:tcPr>
            <w:tcW w:w="0" w:type="dxa"/>
            <w:vAlign w:val="bottom"/>
          </w:tcPr>
          <w:p>
            <w:pPr>
              <w:spacing w:after="0"/>
              <w:rPr>
                <w:sz w:val="1"/>
                <w:szCs w:val="1"/>
                <w:color w:val="auto"/>
              </w:rPr>
            </w:pPr>
          </w:p>
        </w:tc>
      </w:tr>
      <w:tr>
        <w:trPr>
          <w:trHeight w:val="258"/>
        </w:trPr>
        <w:tc>
          <w:tcPr>
            <w:tcW w:w="7340" w:type="dxa"/>
            <w:vAlign w:val="bottom"/>
          </w:tcPr>
          <w:p>
            <w:pPr>
              <w:ind w:left="40"/>
              <w:spacing w:after="0"/>
              <w:rPr>
                <w:sz w:val="20"/>
                <w:szCs w:val="20"/>
                <w:color w:val="auto"/>
              </w:rPr>
            </w:pPr>
            <w:r>
              <w:rPr>
                <w:rFonts w:ascii="Arial" w:cs="Arial" w:eastAsia="Arial" w:hAnsi="Arial"/>
                <w:sz w:val="14"/>
                <w:szCs w:val="14"/>
                <w:color w:val="auto"/>
              </w:rPr>
              <w:t>Assets acquired under finance lease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bl>
    <w:p>
      <w:pPr>
        <w:sectPr>
          <w:pgSz w:w="11900" w:h="16838" w:orient="portrait"/>
          <w:cols w:equalWidth="0" w:num="1">
            <w:col w:w="11340"/>
          </w:cols>
          <w:pgMar w:left="240" w:top="337" w:right="319"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ectPr>
          <w:pgSz w:w="11900" w:h="16838" w:orient="portrait"/>
          <w:cols w:equalWidth="0" w:num="1">
            <w:col w:w="9019"/>
          </w:cols>
          <w:pgMar w:left="1440" w:top="773"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9019"/>
          </w:cols>
          <w:pgMar w:left="1440" w:top="773" w:right="1440"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and all of its subsidiaries and includes the Company's share in the results of its associates.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standalone financial statements of subsidiaries are fully consolidated on a line-by-line basis. Intra-group balances and transactions, and income and expenses arising from intra-group transactions, are eliminated while preparing those financial statements.</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consolidated statements of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consolidated financial statements include, but are not limited to, allowance for doubtful receivables,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lease cost, depreciation and amortization periods, purchase price allocation, recoverability of long-lived assets including goodwill and intangibles, and estimated costs to complete fixed price contracts.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337"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Translation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of the subsidiary at exchange rates that prevailed on the date of inception of the transaction. All foreign exchange gains and losses arising on re-measurement are recorded in the accompanying consolidated statements of income.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Resulting translation adjustments are included in accumulated other comprehensive loss in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recognized when services are provided to the Company's customers, in an amount that reflects the consideration which the Company expect to be entitled to in exchange for the services provided.</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3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Adoption of Financial Accounting Standards Board Accounting Standards Update (“ASU”) No. 2014-09 Topic 606, Revenue from Contracts with Customers (“Topic 606”)</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January 1, 2018, the date of initial application, the Company adopted Topic 606 using the modified retrospective method by recognizing the cumulative effect of initially applying Topic 606 as an adjustment to the opening balance of retained earnings, resulting in an increase of $454, primarily due to new contract acquisition costs. The initial application scopes in those contracts which were not completed as of January 1, 2018. Results for reporting periods beginning January 1, 2018 are presented under Topic 606. The prior period consolidated financial statements have not been retrospectively adjusted and continue to be reported under the accounting standards in effect for those periods. The key area impacted upon adoption of Topic 606 relates to the accounting for sales commissions costs. Specifically, under Topic 606 a portion of sales commission costs have been recorded as an asset and recognized as an operating expense on a straight-line basis over the expected period of benefit. Prior to adoption, the Company was expensing sales commission costs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Services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 The Company also provides care optimization and reimbursement optimization services, for its clients through its healthcare analytics solutions and services. The Company offers integrated solutions to help its clients with cost containment by leveraging technology platforms, customizable and configurable analytics and expertise in healthcare reimbursements to help clients enhance their claims payment accuracy.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of Contracts</w:t>
      </w:r>
    </w:p>
    <w:p>
      <w:pPr>
        <w:spacing w:after="0" w:line="225" w:lineRule="exact"/>
        <w:rPr>
          <w:sz w:val="20"/>
          <w:szCs w:val="20"/>
          <w:color w:val="auto"/>
        </w:rPr>
      </w:pPr>
    </w:p>
    <w:p>
      <w:pPr>
        <w:jc w:val="both"/>
        <w:ind w:left="740" w:hanging="408"/>
        <w:spacing w:after="0" w:line="259"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86" w:lineRule="exact"/>
        <w:rPr>
          <w:rFonts w:ascii="Arial" w:cs="Arial" w:eastAsia="Arial" w:hAnsi="Arial"/>
          <w:sz w:val="18"/>
          <w:szCs w:val="18"/>
          <w:color w:val="auto"/>
        </w:rPr>
      </w:pPr>
    </w:p>
    <w:p>
      <w:pPr>
        <w:jc w:val="both"/>
        <w:ind w:left="740"/>
        <w:spacing w:after="0" w:line="259" w:lineRule="auto"/>
        <w:rPr>
          <w:rFonts w:ascii="Arial" w:cs="Arial" w:eastAsia="Arial" w:hAnsi="Arial"/>
          <w:sz w:val="18"/>
          <w:szCs w:val="18"/>
          <w:color w:val="auto"/>
        </w:rPr>
      </w:pPr>
      <w:r>
        <w:rPr>
          <w:rFonts w:ascii="Arial" w:cs="Arial" w:eastAsia="Arial" w:hAnsi="Arial"/>
          <w:sz w:val="18"/>
          <w:szCs w:val="18"/>
          <w:color w:val="auto"/>
        </w:rPr>
        <w:t>b) Revenues from arrangements involving subcontracting, either in part or whole of the assigned work, are recognized after Company’s assessment of “Principal versus agent considerations”. The Company evaluates whether it is in control of the services before the same are transferred to the customer to assess whether it is principal or agent in the arrangement. Revenues are recognized on a gross basis if the Company is in the capacity of principal and on a net basis if it falls in the capacity of an agent.</w:t>
      </w:r>
    </w:p>
    <w:p>
      <w:pPr>
        <w:spacing w:after="0" w:line="186" w:lineRule="exact"/>
        <w:rPr>
          <w:rFonts w:ascii="Arial" w:cs="Arial" w:eastAsia="Arial" w:hAnsi="Arial"/>
          <w:sz w:val="18"/>
          <w:szCs w:val="18"/>
          <w:color w:val="auto"/>
        </w:rPr>
      </w:pPr>
    </w:p>
    <w:p>
      <w:pPr>
        <w:jc w:val="both"/>
        <w:ind w:left="740" w:hanging="408"/>
        <w:spacing w:after="0" w:line="272"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Revenues for the Company’s fixed-price contracts are recognized using costs incurred to date relative to total estimated costs at completion to measure progress toward satisfying our performance obligations. Incurred cost represents work performed, which corresponds with, and thereby best depicts, the transfer of control to the client. The use of this method requires significant judgment to estimate the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 period in which a change in an estimate is determined. If a change in an estimate results in a projected loss on a project, such loss is recognized in the period in which it is first identified.</w:t>
      </w:r>
    </w:p>
    <w:p>
      <w:pPr>
        <w:spacing w:after="0" w:line="177" w:lineRule="exact"/>
        <w:rPr>
          <w:rFonts w:ascii="Arial" w:cs="Arial" w:eastAsia="Arial" w:hAnsi="Arial"/>
          <w:sz w:val="17"/>
          <w:szCs w:val="17"/>
          <w:color w:val="auto"/>
        </w:rPr>
      </w:pPr>
    </w:p>
    <w:p>
      <w:pPr>
        <w:jc w:val="both"/>
        <w:ind w:left="740" w:hanging="408"/>
        <w:spacing w:after="0" w:line="312"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146" w:lineRule="exact"/>
        <w:rPr>
          <w:rFonts w:ascii="Arial" w:cs="Arial" w:eastAsia="Arial" w:hAnsi="Arial"/>
          <w:sz w:val="16"/>
          <w:szCs w:val="16"/>
          <w:color w:val="auto"/>
        </w:rPr>
      </w:pPr>
    </w:p>
    <w:p>
      <w:pPr>
        <w:jc w:val="both"/>
        <w:ind w:left="740"/>
        <w:spacing w:after="0" w:line="312" w:lineRule="auto"/>
        <w:rPr>
          <w:rFonts w:ascii="Arial" w:cs="Arial" w:eastAsia="Arial" w:hAnsi="Arial"/>
          <w:sz w:val="16"/>
          <w:szCs w:val="16"/>
          <w:color w:val="auto"/>
        </w:rPr>
      </w:pPr>
      <w:r>
        <w:rPr>
          <w:rFonts w:ascii="Arial" w:cs="Arial" w:eastAsia="Arial" w:hAnsi="Arial"/>
          <w:sz w:val="16"/>
          <w:szCs w:val="16"/>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146" w:lineRule="exact"/>
        <w:rPr>
          <w:rFonts w:ascii="Arial" w:cs="Arial" w:eastAsia="Arial" w:hAnsi="Arial"/>
          <w:sz w:val="16"/>
          <w:szCs w:val="16"/>
          <w:color w:val="auto"/>
        </w:rPr>
      </w:pPr>
    </w:p>
    <w:p>
      <w:pPr>
        <w:ind w:left="740"/>
        <w:spacing w:after="0" w:line="277" w:lineRule="auto"/>
        <w:rPr>
          <w:rFonts w:ascii="Arial" w:cs="Arial" w:eastAsia="Arial" w:hAnsi="Arial"/>
          <w:sz w:val="16"/>
          <w:szCs w:val="16"/>
          <w:color w:val="auto"/>
        </w:rPr>
      </w:pPr>
      <w:r>
        <w:rPr>
          <w:rFonts w:ascii="Arial" w:cs="Arial" w:eastAsia="Arial" w:hAnsi="Arial"/>
          <w:sz w:val="18"/>
          <w:szCs w:val="18"/>
          <w:color w:val="auto"/>
        </w:rPr>
        <w:t>Revenue from distinct subscription based licenses is recognized over the period of service performed. Revenue from any associated maintenance or ongoing support services is recognized over the term of the contract.</w:t>
      </w:r>
    </w:p>
    <w:p>
      <w:pPr>
        <w:spacing w:after="0" w:line="170" w:lineRule="exact"/>
        <w:rPr>
          <w:rFonts w:ascii="Arial" w:cs="Arial" w:eastAsia="Arial" w:hAnsi="Arial"/>
          <w:sz w:val="16"/>
          <w:szCs w:val="16"/>
          <w:color w:val="auto"/>
        </w:rPr>
      </w:pPr>
    </w:p>
    <w:p>
      <w:pPr>
        <w:jc w:val="both"/>
        <w:ind w:left="740" w:hanging="408"/>
        <w:spacing w:after="0" w:line="255"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 from reimbursement optimization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to Contracts</w:t>
      </w:r>
    </w:p>
    <w:p>
      <w:pPr>
        <w:spacing w:after="0" w:line="2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Multiple Performance Obligations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Variability in the transaction price arises primarily due to service level agreements, pre-payment and volume discounts.</w:t>
      </w:r>
    </w:p>
    <w:p>
      <w:pPr>
        <w:spacing w:after="0" w:line="2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Transaction Price to Performance Obligations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Unbilled Receivables</w:t>
      </w:r>
    </w:p>
    <w:p>
      <w:pPr>
        <w:spacing w:after="0" w:line="2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Unbilled receivables represents revenues recognized for services rendered between the last billing date and the balance sheet date. Unbilled receivables also include revenues recognized from reimbursement optimization services where the Company identify an overpayment claim. In such contracts, Company’s consideration is contingent upon and collectable only when the actual collections are made by its customers. Based on guidance on “variable consideration” in Topic 606, Company use its historical experience and projections to determine the expected recoveries from its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Contract Fulfillment Costs</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Company has contract liabilities (deferred revenue) consisting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spacing w:after="0" w:line="73"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Further, the Company also defer revenues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ratably over the period during which the related services are performed.</w:t>
      </w:r>
    </w:p>
    <w:p>
      <w:pPr>
        <w:spacing w:after="0" w:line="3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Costs related to such transition activities are contract fulfillment costs, and thereby classified under “Other Current Assets” and “Other Assets” in the consolidated balance sheets, and are recognized over the estimated expected period of benefit, under Cost of Revenues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period of benefit and recorded under Selling and marketing expenses in the consolidated statements of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Upfront Payment Made to Customer</w:t>
      </w:r>
    </w:p>
    <w:p>
      <w:pPr>
        <w:spacing w:after="0" w:line="2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 of Pocket Expenses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Reimbursements of out-of-pocket expenses received from clients are included as part of revenues.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terms</w:t>
      </w:r>
    </w:p>
    <w:p>
      <w:pPr>
        <w:spacing w:after="0" w:line="2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does not disclose the value of remaining performance obligations by applying the practical expedient provided in Topic 606, for contracts that meet any of the following criteria:</w:t>
      </w:r>
    </w:p>
    <w:p>
      <w:pPr>
        <w:spacing w:after="0" w:line="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Contracts with an original expected length of one year or less as determined under ASC 606,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Contracts for which Company recognize revenue based on the right to invoice for service performed.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 and Restricted Cash</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to Note 8 to the consolidated financial statements for details). These deposits with banks have maturity dates after December 31, 2019. Restricted cash presented under current assets represents funds held on behalf of clients in dedicated bank accounts.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purposes of the statements of cash flows, the Company includes in its cash and cash-equivalent balances those amounts that have been classified as restricted cash and restricted cash equivalents.</w:t>
      </w:r>
    </w:p>
    <w:p>
      <w:pPr>
        <w:spacing w:after="0" w:line="2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Investments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4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The Company's mutual fund investments are in debt and money market funds which invest in instruments of various maturities in India. These investments are accounted for in accordance with the fair value option under Financial Accounting Standard Board Accounting Standards Codification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(“Topic 825”) and any changes in fair value are included in interest and other income. The fair value is represented by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Accounts Receivable and Allowance for Doubtful Receivable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the accounts receivable aging and prior collection experience, current market conditions, client’s financial condition and the amounts of receivables in dispute to ascertain the ultimate collectability of these receivables. As of December 31, 2019 and 2018, the Company had $1,163 and $956, respectively, of allowance for doubtful accounts.</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Accounts receivable include unbilled accounts receivable which represent revenues on contracts to be billed, in subsequent periods, as per the terms of the related contracts. As of December 31, 2019 and 2018, the Company had $73,920 and $63,952, respectively, of unbilled accounts receivable.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impairment. Equipment held under finance leases are capitalized at the commencement of the lease at the lower of present value of minimum lease payments at the inception of the leases or its fair value. Advances paid towards acquisition of property and equipment and the cost of property and equipment not yet placed in service before the end of the reporting period are classified as capital work in progress.</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Depreciation is computed using the straight-line method over the estimated useful lives of the assets. Depreciation on equipment held under finance leases and leasehold improvements are computed using the straight-line method over the shorter of the asset's estimated useful lives or the lease term.</w:t>
      </w:r>
    </w:p>
    <w:p>
      <w:pPr>
        <w:spacing w:after="0" w:line="200" w:lineRule="exact"/>
        <w:rPr>
          <w:sz w:val="20"/>
          <w:szCs w:val="20"/>
          <w:color w:val="auto"/>
        </w:rPr>
      </w:pPr>
    </w:p>
    <w:p>
      <w:pPr>
        <w:spacing w:after="0" w:line="2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related carrying amounts may not be recoverable.</w:t>
      </w:r>
    </w:p>
    <w:p>
      <w:pPr>
        <w:spacing w:after="0" w:line="200" w:lineRule="exact"/>
        <w:rPr>
          <w:sz w:val="20"/>
          <w:szCs w:val="20"/>
          <w:color w:val="auto"/>
        </w:rPr>
      </w:pPr>
    </w:p>
    <w:p>
      <w:pPr>
        <w:spacing w:after="0" w:line="39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192"/>
        </w:trPr>
        <w:tc>
          <w:tcPr>
            <w:tcW w:w="744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3-8</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2-5</w:t>
            </w:r>
          </w:p>
        </w:tc>
      </w:tr>
      <w:tr>
        <w:trPr>
          <w:trHeight w:val="27"/>
        </w:trPr>
        <w:tc>
          <w:tcPr>
            <w:tcW w:w="7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7"/>
        </w:trPr>
        <w:tc>
          <w:tcPr>
            <w:tcW w:w="74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Software Development Costs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capitalizes certain costs related to the development or enhancements to existing software products to be sold, leased or otherwise marketed and / or used for internal 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The Company exercises judgment in determining the point at which various projects may be capitalized, in assessing the ongoing value of the capitalized costs, and in determining the estimated useful lives over which the costs are amortized.</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Annual amortization of internally developed software products meant for sale, lease or otherwise marketing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 Annual amortization of internally developed software products meant for internal use is based on the straight-line method over the estimated useful lives of the internally developed software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Business Combinations, Goodwill and Other Intangible Assets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ASC Topic 805, Business Combinations,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Changes in fair value are recognized in earnings. These fair value measurements represent Level 3 measurements as they are based on significant inputs not observable in the market. Under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all assets and liabilities of the acquired businesses, including goodwill, are assigned to reporting units. Acquisition related costs are expensed as incurred under general and administrative expenses.</w:t>
      </w:r>
    </w:p>
    <w:p>
      <w:pPr>
        <w:spacing w:after="0" w:line="18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The Company undertakes studies to determine the fair values of assets and liabilities acquired and allocate purchase consideration to assets and liabilities, including property and equipment, goodwill and other identifiable intangibles. The Company examines the carrying value of the goodwill annually in the fourth quarter, or more frequently, as circumstances warrant, to determine whether there are any impairment losses. The Company tests for goodwill impairment at the reporting unit level, as that term is defined in U.S. GAAP. Refer to Note 10 for discussion of the Company's goodwill impairment testing. The Company adopted ASU No. 2017-04, </w:t>
      </w:r>
      <w:r>
        <w:rPr>
          <w:rFonts w:ascii="Arial" w:cs="Arial" w:eastAsia="Arial" w:hAnsi="Arial"/>
          <w:sz w:val="16"/>
          <w:szCs w:val="16"/>
          <w:i w:val="1"/>
          <w:iCs w:val="1"/>
          <w:color w:val="auto"/>
        </w:rPr>
        <w:t>Simplifying the Test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Goodwill Impairment, </w:t>
      </w:r>
      <w:r>
        <w:rPr>
          <w:rFonts w:ascii="Arial" w:cs="Arial" w:eastAsia="Arial" w:hAnsi="Arial"/>
          <w:sz w:val="16"/>
          <w:szCs w:val="16"/>
          <w:color w:val="auto"/>
        </w:rPr>
        <w:t>effective January 1, 2018 in conjunction with our goodwill impairment assessment.</w:t>
      </w:r>
    </w:p>
    <w:p>
      <w:pPr>
        <w:spacing w:after="0" w:line="16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quantitative goodwill impairment test involves a comparison of the fair value of a reporting unit with its carrying amount. The Company estimates the fair value of reporting unit using a combination of the income approach, using discounted cash flow analysis (“DCF model”), and also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The Company uses its internal forecasts to estimate future cash flows and include an estimate of long-term future growth rates based on its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the Company’s control, provide the Company’s best estimate of all assumptions applied within the DCF model. The Company uses the “Market approach” to corroborate the results of the income approach. Under the market approach, the Company estimates fair value based on market multiples of revenues and earnings derived from comparable publicly-traded companies with characteristics similar to the reporting unit and comparable market transactions.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the control of the Company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definite lived intangible assets are amortized over their estimated useful lives as listed below using a straight-line method:</w:t>
      </w:r>
    </w:p>
    <w:p>
      <w:pPr>
        <w:spacing w:after="0" w:line="200" w:lineRule="exact"/>
        <w:rPr>
          <w:sz w:val="20"/>
          <w:szCs w:val="20"/>
          <w:color w:val="auto"/>
        </w:rPr>
      </w:pPr>
    </w:p>
    <w:p>
      <w:pPr>
        <w:spacing w:after="0" w:line="350"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years</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4300" w:type="dxa"/>
            <w:vAlign w:val="bottom"/>
          </w:tcPr>
          <w:p>
            <w:pPr>
              <w:jc w:val="right"/>
              <w:spacing w:after="0"/>
              <w:rPr>
                <w:sz w:val="20"/>
                <w:szCs w:val="20"/>
                <w:color w:val="auto"/>
              </w:rPr>
            </w:pPr>
            <w:r>
              <w:rPr>
                <w:rFonts w:ascii="Arial" w:cs="Arial" w:eastAsia="Arial" w:hAnsi="Arial"/>
                <w:sz w:val="18"/>
                <w:szCs w:val="18"/>
                <w:color w:val="auto"/>
              </w:rPr>
              <w:t>3-8 years</w:t>
            </w: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 years</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430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7"/>
        </w:trPr>
        <w:tc>
          <w:tcPr>
            <w:tcW w:w="56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Investment in Equity Affiliate</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Investments in equity affiliate are initially recorded at cost and any excess cost over proportionate share of the fair value of the net assets of the investee at the acquisition date is recognized as goodwill. The proportionate share of net income or loss of the investee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p>
    <w:p>
      <w:pPr>
        <w:spacing w:after="0" w:line="2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follows the discounted cash flow approach and uses its internal cash flow estimates discounted at an appropriate discount rate and independent appraisals, as appropriate. The impairment amount to be recognized is measured as the amount by which the carrying value of the assets exceeds their fair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Derivative Financial Instruments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uses derivative instruments for the purpose of mitigating the exposure from risk of foreign currency fluctuation associated with forecasted transactions denominated in certain foreign currencies and to minimize earnings and cash flow volatility associated with changes in foreign currency exchange rates, and not for speculative trading purposes. These derivative contracts are purchased adhering to the Company’s policy and are with counterparties that are highly rated financial institutions.</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hedges forecasted transactions that are subject to foreign exchange exposure with foreign currency exchange contracts that qualify as cash flow hedges. Changes in the fair value of these cash flow hedges are recorded as a component of accumulated other comprehensive income/(loss) ("AOCI"), net of tax, until the hedged transactions occurs. The resultant foreign exchange gain/(loss) upon settlement of cash flow hedges are recorded in the consolidated statements of income along with the underlying hedged item in the same line as either part of “Cost of revenues”, “General and administrative expenses”, “Selling and marketing expenses”, “Depreciation and amortization expense”, as applicable.</w:t>
      </w:r>
    </w:p>
    <w:p>
      <w:pPr>
        <w:spacing w:after="0" w:line="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uses derivatives instruments consisting of foreign currency exchange contracts to economically hedge intercompany balances and other monetary assets or liabilities denominated in currencies other than the functional currency, against the risk of foreign currency fluctuations associated with remeasurement of such assets and liabilities to functional currency. Changes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 the fair value of these derivatives are recognized in the consolidated statements of income and are included in foreign exchange gain/(loss).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also uses forward contracts designated as net investment hedges to hedge the foreign currency risks related to the Company's investment in foreign subsidiaries. Gains and losses on these forward contracts are recognized in AOCI as part of the foreign currency translation adjustment.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Borrowings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Company accounts for convertible notes in accordance with the guidelines established by the ASC 470-20, </w:t>
      </w:r>
      <w:r>
        <w:rPr>
          <w:rFonts w:ascii="Arial" w:cs="Arial" w:eastAsia="Arial" w:hAnsi="Arial"/>
          <w:sz w:val="18"/>
          <w:szCs w:val="18"/>
          <w:i w:val="1"/>
          <w:iCs w:val="1"/>
          <w:color w:val="auto"/>
        </w:rPr>
        <w:t>Debt with Conversion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w:t>
      </w:r>
      <w:r>
        <w:rPr>
          <w:rFonts w:ascii="Arial" w:cs="Arial" w:eastAsia="Arial" w:hAnsi="Arial"/>
          <w:sz w:val="18"/>
          <w:szCs w:val="18"/>
          <w:color w:val="auto"/>
        </w:rPr>
        <w:t>The Company separates the convertible notes into liability and equity components. The Beneficial Conversion Feature ("BCF") of a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 which is the equity component and recorded as additional paid-in capital, is normally characterized as the convertible portion or feature of certain notes payable that provide a rate of conversion that is below market value or in-the-money when issued. The Company records a BCF related to the issuance of a convertible note when issued.</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If a convertible note is within the scope of the Cash Conversion Subsections and contains embedded features other than the embedded conversion option, the guidance in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(ASC 815-15), is applied to determine if any of those features must be separately accounted for as a derivative instrument.</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estimated fair value of the liability component at issuance is determined using a discounted cash flow technique, which considers debt issuances with similar features of the Company’s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amortized to interest expense over the expected term of the convertible notes using the effective interest method.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Employee Benefits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classified in - “Other income, net”. Refer to Note 20 and Note 27 to the consolidated financial statements for details.</w:t>
      </w:r>
    </w:p>
    <w:p>
      <w:pPr>
        <w:spacing w:after="0" w:line="5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recognizes its liabilities for compensated absences depending on whether the obligation is attributable to employee services already rendered, rights to compensated absences vest or accumulate and payment is probable and estimable.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over the requisite service period of the award. Forfeitures are accounted when the actual forfeitures occur.</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the Company’s 2018 Omnibus Incentive Plan (the “2018 Plan”), which was adopted by the Company's stockholders on June 15, 2018, which replaces and supersedes the 2015 Amendment and Restatement of the Company’s 2006 Omnibus Award Plan (the “ Prior Plan”) and is effective upon the date approved by the Company’s stockholders, the Company grants performance-based restricted stock units (“PRSUs”) to executive officers and other specified employees. 50% of the PRSUs cliff vest based on an aggregated revenue target (“PU”) for a three-year period. The remaining 50% vest based on a market condition (“MUs”) that is contingent on meeting or exceeding the Company's total shareholder return relative to a group of peer companies specified under the program, measured over a three-year performance period. The award recipient may earn up to two hundred percent (200%) of the PRSUs granted based on the actual achievement of both targets.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fair value of each PU is determined based on the market price of one common share of the Company on the day prior to the date of grant, and the associated compensation expense is calculated on the basis that performance targets to receive 100% of the PUs are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PUs as of December 31, 2019 was based on the Company's assessment of performance criteria for these grants that would most likely be met during the respective years of vesting against the targeted performance level.</w:t>
      </w:r>
    </w:p>
    <w:p>
      <w:pPr>
        <w:spacing w:after="0" w:line="5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grant date fair value for the MUs is determined using a Monte Carlo simulation model and the related compensation expense is expensed on a straight-line basis over the vesting period. All compensation expense related to the MUs will be recognized if the requisite performance period is fulfilled, regardless of the extent of the market condition achieved.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Income Taxes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Financial Instruments and Concentration of Credit Risk</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For certain financial instruments, including cash and cash equivalents, short-term investments (except investment in mutual</w:t>
      </w:r>
      <w:r>
        <w:rPr>
          <w:rFonts w:ascii="Arial" w:cs="Arial" w:eastAsia="Arial" w:hAnsi="Arial"/>
          <w:sz w:val="17"/>
          <w:szCs w:val="17"/>
          <w:i w:val="1"/>
          <w:iCs w:val="1"/>
          <w:color w:val="auto"/>
        </w:rPr>
        <w:t xml:space="preserve"> </w:t>
      </w:r>
      <w:r>
        <w:rPr>
          <w:rFonts w:ascii="Arial" w:cs="Arial" w:eastAsia="Arial" w:hAnsi="Arial"/>
          <w:sz w:val="17"/>
          <w:szCs w:val="17"/>
          <w:color w:val="auto"/>
        </w:rPr>
        <w:t>funds, as disclosed in Note 16), restricted cash, accounts receivable, accounts payable, accrued expenses, other current liabilities and outstanding revolver credit, recorded amounts approximate fair value due to the relatively short maturity periods and/or timing of repayments of such instruments.</w:t>
      </w:r>
    </w:p>
    <w:p>
      <w:pPr>
        <w:spacing w:after="0" w:line="1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time deposits, mutual fund investments, accounts receivable and derivative financial instruments. By their nature, all such financial instruments involve risks including the credit risks of non-performance by counterparties. Pursuant to the Company’s investment policy, surplus funds are maintained as cash equivalents and are invested in highly-rated mutual funds, money market accounts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Arial" w:cs="Arial" w:eastAsia="Arial" w:hAnsi="Arial"/>
          <w:sz w:val="13"/>
          <w:szCs w:val="13"/>
          <w:color w:val="auto"/>
        </w:rPr>
        <w:t>s.</w:t>
      </w:r>
      <w:r>
        <w:rPr>
          <w:rFonts w:ascii="Arial" w:cs="Arial" w:eastAsia="Arial" w:hAnsi="Arial"/>
          <w:sz w:val="16"/>
          <w:szCs w:val="16"/>
          <w:color w:val="auto"/>
        </w:rPr>
        <w:t xml:space="preserve"> To mitigate this risk the Company evaluates the creditworthiness of its clients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Leases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determines if an arrangement is a lease at inception of the contract. Operating leases are recorded in "operating lease right-of-use ("ROU") assets", "current portion of operating lease liabilities" and "operating lease liabilities, less current portion" in the Company's consolidated balance sheets. Finance leases are recorded in "property and equipment", "current portion of finance lease liabilities" and "finance lease liabilities, less current portion" in the Company's consolidated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ROU assets represent the Company’s right to use an underlying asset during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for determining the present value of lease payments. Lease term includes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January 1, 2019, the date of initial application, the Company adopted, Leases (Topic 842), using the modified retrospective method. The modified retrospective method provides a method of recognizing those leases which had not expired as of the date of adoption of January 1, 2019. The prior period consolidated financial statements have not been retrospectively adjusted and continues to be reported under Topic 840.</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elected the practical expedient permitted under the transition guidance under Topic 842, which amongst other matters, allowed the Company (i) not to apply the recognition requirements to short-term leases (leases with a lease term of 12 months or less), (ii) not to reassess whether any expired or existing contracts are or contain leases, (iii) not to reassess the lease classification for any expired or existing leases, and (iv) not to reassess initial direct costs for any existing leases.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 The adoption had no impact on opening balance of retained earnings. Refer to Note 21 to the consolidated financial statements for details.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reviews ROU assets for impairment whenever events or changes in circumstances indicate that the related carrying amount may not be recoverable.</w:t>
      </w:r>
    </w:p>
    <w:p>
      <w:pPr>
        <w:spacing w:after="0" w:line="2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Government Grants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Government grants related to income are recognized as a reduction of expenses in the consolidated statements of income when there is a reasonable assurance that the entity will comply with the conditions attached to the grant and that the grants will be received.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Earnings per share</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adjusted for outstanding shares that are subject to repurchase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except where the results would be anti-dilutive.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Commitments and contingencies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such liabilities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Recent Accounting Pronouncements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which requires a financial asset (or a group of financial assets) measured at amortized cost basis to be presented at the net amount expected to be collected based on historical experience, current conditions, and reasonable and supportable forecasts that affect the collectability of the reported amount. The new guidance replaces the existing incurred loss impairment model with an expected loss model which requires the use of forward-looking information to calculate credit loss estimates. These changes will result in earlier recognition of credit losses.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Early adoption as of the fiscal years beginning after December 15, 2018 was permitted. The amendment should be applied using a modified retrospective approach through a cumulative-effect adjustment to retained earnings as of the effective date to align credit loss methodology with the new standard. Adoption of the ASU will result in immaterial impact to equity as of January 1, 2020 with a corresponding offset to accounts receivable. The impact of adoption of this guidance did not have a material effect on the Company's accounting policies, processes, and systems.</w:t>
      </w:r>
    </w:p>
    <w:p>
      <w:pPr>
        <w:spacing w:after="0" w:line="18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August 2018, FASB issued ASU No. 2018-13,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("Topic 820"): Changes to the Disclosure Requirements for Fair Value Measurement. The amendments in this ASU changes the disclosure requirements on fair value measurements in Topic 820 by prescribing new, elimination and modification of disclosure requirements, based on the concepts in the Concepts Statement, including the consideration of costs and benefits. The amendments in this ASU are effective for fiscal years beginning after December 15, 2019, including interim periods within those fiscal years. An entity was permitted to early adopt either the entire standard or only the provisions that eliminate or modify requirements. The adoption of this ASU effective January 1, 2020 is not expected to have any material effect on the Company’s consolidated financial statements.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2018, FASB issued ASU No. 2018-14, </w:t>
      </w:r>
      <w:r>
        <w:rPr>
          <w:rFonts w:ascii="Arial" w:cs="Arial" w:eastAsia="Arial" w:hAnsi="Arial"/>
          <w:sz w:val="18"/>
          <w:szCs w:val="18"/>
          <w:i w:val="1"/>
          <w:iCs w:val="1"/>
          <w:color w:val="auto"/>
        </w:rPr>
        <w:t>Compensation-Retirement Benefits-Defined Benefit Plans-General</w:t>
      </w:r>
      <w:r>
        <w:rPr>
          <w:rFonts w:ascii="Arial" w:cs="Arial" w:eastAsia="Arial" w:hAnsi="Arial"/>
          <w:sz w:val="18"/>
          <w:szCs w:val="18"/>
          <w:color w:val="auto"/>
        </w:rPr>
        <w:t xml:space="preserve"> ("Subtopic 715-20"): Changes to the Disclosure Requirements for Defined Benefit Plans. The amendments in this ASU remove disclosures that no longer are considered cost beneficial, clarify the specific requirements of disclosures, and add disclosure requirements identified as relevant. The amendments in this ASU are effective for fiscal years beginning after December 15, 2020. Early adoption is permitted. The adoption of this ASU is not expected to have any material effect on the Company’s consolidated financial statements.</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August 2018,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Early adoption was permitted and both prospective and retrospective transition methods are allowed. The adoption of this ASU did not have any material effect on the Company’s consolidated financial statements.</w:t>
      </w:r>
    </w:p>
    <w:p>
      <w:pPr>
        <w:spacing w:after="0" w:line="19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April 2019, FASB issued ASU No. 2019-04, </w:t>
      </w:r>
      <w:r>
        <w:rPr>
          <w:rFonts w:ascii="Arial" w:cs="Arial" w:eastAsia="Arial" w:hAnsi="Arial"/>
          <w:sz w:val="17"/>
          <w:szCs w:val="17"/>
          <w:i w:val="1"/>
          <w:iCs w:val="1"/>
          <w:color w:val="auto"/>
        </w:rPr>
        <w:t>Codification Improvements to Financial Instruments-Credit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(Topic 815), and</w:t>
      </w:r>
      <w:r>
        <w:rPr>
          <w:rFonts w:ascii="Arial" w:cs="Arial" w:eastAsia="Arial" w:hAnsi="Arial"/>
          <w:sz w:val="17"/>
          <w:szCs w:val="17"/>
          <w:i w:val="1"/>
          <w:iCs w:val="1"/>
          <w:color w:val="auto"/>
        </w:rPr>
        <w:t xml:space="preserve"> Financial Instruments: Targeted Transition Relief </w:t>
      </w:r>
      <w:r>
        <w:rPr>
          <w:rFonts w:ascii="Arial" w:cs="Arial" w:eastAsia="Arial" w:hAnsi="Arial"/>
          <w:sz w:val="17"/>
          <w:szCs w:val="17"/>
          <w:color w:val="auto"/>
        </w:rPr>
        <w:t>(Topic 825). The amendments clarify the scope of the credit losses standard and</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is permitted. The adoption of this ASU is not expected to have any material effect on the Company’s consolidated financial statements.</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 May 2019, FASB issued ASU No. 2019-05,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Targeted Transition Relief. This ASU provide entities with the option to irrevocably elect the fair value option, on an instrument-by-instrument basis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accordance with Subtopic 825-10, for certain financial instruments that are within the scope of Subtopic 326-20, upon adopting Topic 326. The fair value option election does not apply to held-to-maturity debt securities. The amendments in this Update provide entities with targeted transition relief that is intended to increase comparability of financial statement information for some entities that otherwise would have measured similar financial instruments using different measurement methodologies. This ASU is effective for public business entities for fiscal years beginning after December 15, 2019, including interim periods within that fiscal year. Early adoption is permitted. The adoption of this ASU is not expected to have any material effect on the Company's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Recently Adopted Accounting Pronouncements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requires the identification of arrangements that should be accounted for as leases. Lease arrangements exceeding a twelve months term should be recognized as assets with corresponding liabilities on the balance sheet of the lessee. This ASU requires recognition of an ROU asset and lease obligation for those leases classified as operating leases under Topic 840, while the income statement will reflect lease expense for operating leases. The balance sheet amounts recorded for existing operating leases at the date of adoption of this ASU must be calculated using the applicable incremental borrowing rate. The Company adopted Topic 842 as of January 1, 2019 using the modified retrospective method provided by ASU 2018-11. The adoption had a material impact on the Company's consolidated balance sheets, but did not have a material impact on the Company's consolidated income statements and consolidated statements of cash flows. The most significant impact was the recognition of ROU assets and lease liabilities for operating leases, while the Company's accounting for finance leases remained substantially unchanged. Refer to Note 21 to the consolidated financial statements for details.</w:t>
      </w:r>
    </w:p>
    <w:p>
      <w:pPr>
        <w:spacing w:after="0" w:line="18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In July 2018, FASB issued ASU No.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The Company adopted Topic 842 as of January 1, 2019 using this ASU. Refer to Note 21 to the consolidated financial statements for details.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operates in the BPM industry and is a provider of operations management and analytics services. Effective January 1, 2020, the Company realigned its operating and reportable segments, but the presentation in this Annual Report, including the discussion in next paragraphs, refers to the structure in place prior to such realignment.</w:t>
      </w:r>
    </w:p>
    <w:p>
      <w:pPr>
        <w:spacing w:after="0" w:line="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eight operating segments, which are strategic business units that align its products and services with how it manages its business, approaches its key markets and interacts with its clients. Five of those operating segments provide BPM or “operations management” services, which is organized into industry-focused operating segments (Insurance, Healthcare, Travel, Transportation and Logistics, Banking and Financial Services, and Utilities) and one of the operating segment is a “capability” segment (Finance and Accounting) that provides services to clients in the Company's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Finance and Accounting (“F&amp;A”)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hanging="327"/>
        <w:spacing w:after="0" w:line="261"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(consisting of the Company's remaining operating segments, which are the Banking and Financial Services, Utilities and Consulting operating segments).</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Revenues and cost of revenues for each of the years ended December 31, 2019, 2018 and 2017,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176530</wp:posOffset>
            </wp:positionV>
            <wp:extent cx="5574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 ended December 31, 2019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Insurance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Healthcare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294,159</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90,589</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68,010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106,580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74,679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357,329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991,346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199,678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73,650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38,736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63,317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48,864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231,245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655,490</w:t>
            </w:r>
          </w:p>
        </w:tc>
        <w:tc>
          <w:tcPr>
            <w:tcW w:w="0" w:type="dxa"/>
            <w:vAlign w:val="bottom"/>
          </w:tcPr>
          <w:p>
            <w:pPr>
              <w:spacing w:after="0"/>
              <w:rPr>
                <w:sz w:val="1"/>
                <w:szCs w:val="1"/>
                <w:color w:val="auto"/>
              </w:rPr>
            </w:pPr>
          </w:p>
        </w:tc>
      </w:tr>
      <w:tr>
        <w:trPr>
          <w:trHeight w:val="304"/>
        </w:trPr>
        <w:tc>
          <w:tcPr>
            <w:tcW w:w="264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94,481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16,939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29,274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43,263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126,084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335,856</w:t>
            </w:r>
          </w:p>
        </w:tc>
        <w:tc>
          <w:tcPr>
            <w:tcW w:w="0" w:type="dxa"/>
            <w:vAlign w:val="bottom"/>
          </w:tcPr>
          <w:p>
            <w:pPr>
              <w:spacing w:after="0"/>
              <w:rPr>
                <w:sz w:val="1"/>
                <w:szCs w:val="1"/>
                <w:color w:val="auto"/>
              </w:rPr>
            </w:pPr>
          </w:p>
        </w:tc>
      </w:tr>
      <w:tr>
        <w:trPr>
          <w:trHeight w:val="23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259,403</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Loss from equity-method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67,659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8"/>
          </w:tcPr>
          <w:p>
            <w:pPr>
              <w:ind w:left="560"/>
              <w:spacing w:after="0"/>
              <w:rPr>
                <w:sz w:val="20"/>
                <w:szCs w:val="20"/>
                <w:color w:val="auto"/>
              </w:rPr>
            </w:pPr>
            <w:r>
              <w:rPr>
                <w:rFonts w:ascii="Arial" w:cs="Arial" w:eastAsia="Arial" w:hAnsi="Arial"/>
                <w:sz w:val="16"/>
                <w:szCs w:val="16"/>
                <w:b w:val="1"/>
                <w:bCs w:val="1"/>
                <w:color w:val="auto"/>
              </w:rPr>
              <w:t>Year ended December 31, 2018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7"/>
              </w:rPr>
              <w:t>Insurance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5"/>
              </w:rPr>
              <w:t>Healthcare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258,144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84,391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70,237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97,941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285,290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883,112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174,921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66,768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41,066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59,155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58,341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184,604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584,855</w:t>
            </w:r>
          </w:p>
        </w:tc>
        <w:tc>
          <w:tcPr>
            <w:tcW w:w="0" w:type="dxa"/>
            <w:vAlign w:val="bottom"/>
          </w:tcPr>
          <w:p>
            <w:pPr>
              <w:spacing w:after="0"/>
              <w:rPr>
                <w:sz w:val="1"/>
                <w:szCs w:val="1"/>
                <w:color w:val="auto"/>
              </w:rPr>
            </w:pPr>
          </w:p>
        </w:tc>
      </w:tr>
      <w:tr>
        <w:trPr>
          <w:trHeight w:val="304"/>
        </w:trPr>
        <w:tc>
          <w:tcPr>
            <w:tcW w:w="2640" w:type="dxa"/>
            <w:vAlign w:val="bottom"/>
          </w:tcPr>
          <w:p>
            <w:pPr>
              <w:ind w:left="4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83,223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17,623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29,171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38,786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28,768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100,686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298,257</w:t>
            </w:r>
          </w:p>
        </w:tc>
        <w:tc>
          <w:tcPr>
            <w:tcW w:w="0" w:type="dxa"/>
            <w:vAlign w:val="bottom"/>
          </w:tcPr>
          <w:p>
            <w:pPr>
              <w:spacing w:after="0"/>
              <w:rPr>
                <w:sz w:val="1"/>
                <w:szCs w:val="1"/>
                <w:color w:val="auto"/>
              </w:rPr>
            </w:pPr>
          </w:p>
        </w:tc>
      </w:tr>
      <w:tr>
        <w:trPr>
          <w:trHeight w:val="231"/>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248,436</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w w:val="97"/>
              </w:rPr>
              <w:t>Loss from equity-method investment</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56,726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297180</wp:posOffset>
            </wp:positionV>
            <wp:extent cx="5574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F&amp;A</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Analytics</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234,794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77,013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70,951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86,527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83,082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209,943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762,310</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159,433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49,412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41,337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51,362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56,638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136,960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495,142</w:t>
            </w:r>
          </w:p>
        </w:tc>
      </w:tr>
      <w:tr>
        <w:trPr>
          <w:trHeight w:val="304"/>
        </w:trPr>
        <w:tc>
          <w:tcPr>
            <w:tcW w:w="264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75,361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27,601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29,614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35,165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72,983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267,168</w:t>
            </w:r>
          </w:p>
        </w:tc>
      </w:tr>
      <w:tr>
        <w:trPr>
          <w:trHeight w:val="23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194,443</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12,309</w:t>
            </w: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36,146</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48,888</w:t>
            </w: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right="7460" w:hanging="412"/>
        <w:spacing w:after="0" w:line="393" w:lineRule="auto"/>
        <w:tabs>
          <w:tab w:leader="none" w:pos="207"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Exclusive of depreciation and amortization expense. Revenues, net by service type, were as follows:</w:t>
      </w:r>
    </w:p>
    <w:p>
      <w:pPr>
        <w:spacing w:after="0" w:line="109"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BPM and related services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634,017</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597,822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552,367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357,329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285,290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209,943</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991,346</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883,112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762,310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13"/>
        <w:spacing w:after="0" w:line="227" w:lineRule="auto"/>
        <w:tabs>
          <w:tab w:leader="none" w:pos="615"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BPM and related services include revenues of the Company's five industry-focused operating segments, one capability operating segment and the consulting operating segment, which provides services related to operations management services. Refer to reportable segment disclosure above.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817,878</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732,589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626,336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8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114,515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108,640</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27,334</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173,468</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135,974</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991,346</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762,310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net were as follows: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6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20"/>
                <w:szCs w:val="20"/>
                <w:color w:val="auto"/>
              </w:rPr>
            </w:pPr>
          </w:p>
        </w:tc>
        <w:tc>
          <w:tcPr>
            <w:tcW w:w="160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India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78,244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36,152</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28,254</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5,985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73,510</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Quarterly Financial Data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quarterly results for the years ended December 31, 2019 and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Three months ended 2019 (Unaudited)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Year ended (Audited)</w:t>
            </w:r>
          </w:p>
        </w:tc>
      </w:tr>
      <w:tr>
        <w:trPr>
          <w:trHeight w:val="33"/>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0"/>
                <w:szCs w:val="20"/>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December 31, 2019</w:t>
            </w:r>
          </w:p>
        </w:tc>
      </w:tr>
      <w:tr>
        <w:trPr>
          <w:trHeight w:val="33"/>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3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239,573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243,509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251,392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256,872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991,346</w:t>
            </w: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82,333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335,856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14,695</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12,564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19,044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21,356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67,659</w:t>
            </w: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70"/>
        </w:trPr>
        <w:tc>
          <w:tcPr>
            <w:tcW w:w="3900" w:type="dxa"/>
            <w:vAlign w:val="bottom"/>
          </w:tcPr>
          <w:p>
            <w:pPr>
              <w:ind w:left="380"/>
              <w:spacing w:after="0"/>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70"/>
        </w:trPr>
        <w:tc>
          <w:tcPr>
            <w:tcW w:w="3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w w:val="97"/>
              </w:rPr>
              <w:t>Weighted-average number of shares used in computing</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5"/>
          <w:szCs w:val="15"/>
          <w:color w:val="auto"/>
        </w:rPr>
        <w:t>Amortization of intangibles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34,374,815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34,451,671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34,322,449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34,253,308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34,350,150</w:t>
            </w:r>
          </w:p>
        </w:tc>
      </w:tr>
      <w:tr>
        <w:trPr>
          <w:trHeight w:val="270"/>
        </w:trPr>
        <w:tc>
          <w:tcPr>
            <w:tcW w:w="2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34,833,435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34,702,547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34,699,497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34,696,896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34,732,683</w:t>
            </w:r>
          </w:p>
        </w:tc>
      </w:tr>
      <w:tr>
        <w:trPr>
          <w:trHeight w:val="54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7,155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7,427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26,070</w:t>
            </w:r>
          </w:p>
        </w:tc>
      </w:tr>
      <w:tr>
        <w:trPr>
          <w:trHeight w:val="27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5,528</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5,554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5,502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4,974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21,558</w:t>
            </w:r>
          </w:p>
        </w:tc>
      </w:tr>
      <w:tr>
        <w:trPr>
          <w:trHeight w:val="513"/>
        </w:trPr>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Three months ended 2018 (Unaudited)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Year ended (Audited)</w:t>
            </w: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20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0"/>
                <w:szCs w:val="20"/>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December 31, 2018</w:t>
            </w:r>
          </w:p>
        </w:tc>
      </w:tr>
      <w:tr>
        <w:trPr>
          <w:trHeight w:val="3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-1028700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-685165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-8255</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20"/>
          </w:cols>
          <w:pgMar w:left="240" w:top="121" w:right="23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ind w:left="40"/>
              <w:spacing w:after="0"/>
              <w:rPr>
                <w:sz w:val="20"/>
                <w:szCs w:val="20"/>
                <w:color w:val="auto"/>
              </w:rPr>
            </w:pPr>
            <w:r>
              <w:rPr>
                <w:rFonts w:ascii="Arial" w:cs="Arial" w:eastAsia="Arial" w:hAnsi="Arial"/>
                <w:sz w:val="16"/>
                <w:szCs w:val="16"/>
                <w:color w:val="auto"/>
              </w:rPr>
              <w:t>Revenues, net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206,973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210,112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231,124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234,903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883,112</w:t>
            </w:r>
          </w:p>
        </w:tc>
      </w:tr>
      <w:tr>
        <w:trPr>
          <w:trHeight w:val="33"/>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68,872</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70,463</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78,967</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79,955</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298,257</w:t>
            </w: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23,158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14,462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15,249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3,857</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56,726</w:t>
            </w:r>
          </w:p>
        </w:tc>
      </w:tr>
      <w:tr>
        <w:trPr>
          <w:trHeight w:val="33"/>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3760" w:type="dxa"/>
            <w:vAlign w:val="bottom"/>
          </w:tcPr>
          <w:p>
            <w:pPr>
              <w:ind w:left="380"/>
              <w:spacing w:after="0"/>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0.67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0.42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0.66</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0.41</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20"/>
        </w:trPr>
        <w:tc>
          <w:tcPr>
            <w:tcW w:w="3760" w:type="dxa"/>
            <w:vAlign w:val="bottom"/>
          </w:tcPr>
          <w:p>
            <w:pPr>
              <w:ind w:left="40"/>
              <w:spacing w:after="0"/>
              <w:rPr>
                <w:sz w:val="20"/>
                <w:szCs w:val="20"/>
                <w:color w:val="auto"/>
              </w:rPr>
            </w:pPr>
            <w:r>
              <w:rPr>
                <w:rFonts w:ascii="Arial" w:cs="Arial" w:eastAsia="Arial" w:hAnsi="Arial"/>
                <w:sz w:val="16"/>
                <w:szCs w:val="16"/>
                <w:color w:val="auto"/>
                <w:w w:val="93"/>
              </w:rPr>
              <w:t>Weighted-average number of shares used in computing</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6"/>
        </w:trPr>
        <w:tc>
          <w:tcPr>
            <w:tcW w:w="376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3"/>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34,446,265</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34,511,777</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34,458,520</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34,388,025</w:t>
            </w:r>
          </w:p>
        </w:tc>
        <w:tc>
          <w:tcPr>
            <w:tcW w:w="7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34,451,008</w:t>
            </w:r>
          </w:p>
        </w:tc>
      </w:tr>
      <w:tr>
        <w:trPr>
          <w:trHeight w:val="270"/>
        </w:trPr>
        <w:tc>
          <w:tcPr>
            <w:tcW w:w="3760" w:type="dxa"/>
            <w:vAlign w:val="bottom"/>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40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35,302,926</w:t>
            </w:r>
          </w:p>
        </w:tc>
        <w:tc>
          <w:tcPr>
            <w:tcW w:w="38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35,142,388</w:t>
            </w:r>
          </w:p>
        </w:tc>
        <w:tc>
          <w:tcPr>
            <w:tcW w:w="4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35,207,991</w:t>
            </w:r>
          </w:p>
        </w:tc>
        <w:tc>
          <w:tcPr>
            <w:tcW w:w="3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34,921,388</w:t>
            </w:r>
          </w:p>
        </w:tc>
        <w:tc>
          <w:tcPr>
            <w:tcW w:w="7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35,030,984</w:t>
            </w:r>
          </w:p>
        </w:tc>
      </w:tr>
      <w:tr>
        <w:trPr>
          <w:trHeight w:val="270"/>
        </w:trPr>
        <w:tc>
          <w:tcPr>
            <w:tcW w:w="3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5,074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6,893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5,344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6,590</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23,901</w:t>
            </w:r>
          </w:p>
        </w:tc>
      </w:tr>
      <w:tr>
        <w:trPr>
          <w:trHeight w:val="33"/>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3,947</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3,761</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6,718</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5,951</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20,377</w:t>
            </w:r>
          </w:p>
        </w:tc>
      </w:tr>
      <w:tr>
        <w:trPr>
          <w:trHeight w:val="33"/>
        </w:trPr>
        <w:tc>
          <w:tcPr>
            <w:tcW w:w="3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Exclusive of depreciation and amortization expense.</w:t>
      </w:r>
    </w:p>
    <w:p>
      <w:pPr>
        <w:spacing w:after="0" w:line="144" w:lineRule="exact"/>
        <w:rPr>
          <w:rFonts w:ascii="Arial" w:cs="Arial" w:eastAsia="Arial" w:hAnsi="Arial"/>
          <w:sz w:val="13"/>
          <w:szCs w:val="13"/>
          <w:color w:val="auto"/>
        </w:rPr>
      </w:pPr>
    </w:p>
    <w:p>
      <w:pPr>
        <w:ind w:left="260" w:right="20" w:hanging="252"/>
        <w:spacing w:after="0" w:line="258" w:lineRule="auto"/>
        <w:tabs>
          <w:tab w:leader="none" w:pos="219" w:val="left"/>
        </w:tabs>
        <w:numPr>
          <w:ilvl w:val="0"/>
          <w:numId w:val="30"/>
        </w:numPr>
        <w:rPr>
          <w:rFonts w:ascii="Arial" w:cs="Arial" w:eastAsia="Arial" w:hAnsi="Arial"/>
          <w:sz w:val="12"/>
          <w:szCs w:val="12"/>
          <w:color w:val="auto"/>
        </w:rPr>
      </w:pPr>
      <w:r>
        <w:rPr>
          <w:rFonts w:ascii="Arial" w:cs="Arial" w:eastAsia="Arial" w:hAnsi="Arial"/>
          <w:sz w:val="17"/>
          <w:szCs w:val="17"/>
          <w:color w:val="auto"/>
        </w:rPr>
        <w:t>Total of quarterly basic and diluted earnings per share and weighted average number of shares used in computing earnings per share will not be equal to year end basic and diluted earnings per share and weighted average number of shares used in computing earnings per share,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3 to the consolidated financial statements for revenues disaggregated by reportable segments and geography.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accounts receivable, contract assets and contract liabilities from contracts with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87"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December 31, 2018</w:t>
            </w:r>
          </w:p>
        </w:tc>
      </w:tr>
      <w:tr>
        <w:trPr>
          <w:trHeight w:val="60"/>
        </w:trPr>
        <w:tc>
          <w:tcPr>
            <w:tcW w:w="6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164,752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5,391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5,445</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220"/>
              <w:spacing w:after="0"/>
              <w:rPr>
                <w:sz w:val="20"/>
                <w:szCs w:val="20"/>
                <w:color w:val="auto"/>
              </w:rPr>
            </w:pPr>
            <w:r>
              <w:rPr>
                <w:rFonts w:ascii="Arial" w:cs="Arial" w:eastAsia="Arial" w:hAnsi="Arial"/>
                <w:sz w:val="18"/>
                <w:szCs w:val="18"/>
                <w:color w:val="auto"/>
              </w:rPr>
              <w:t>Deferred revenue (consideration received in advance)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6,345</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Consideration received for process transition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r>
      <w:tr>
        <w:trPr>
          <w:trHeight w:val="27"/>
        </w:trPr>
        <w:tc>
          <w:tcPr>
            <w:tcW w:w="6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Accounts receivable includes $73,920 and $63,952 as of December 31, 2019 and 2018,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Contract assets represents upfront payments in nature of deal signing discount or deal signing bonuses made to customers. These costs are amortized over the expected period of benefit and are recorded as an adjustment to transaction price and reduced from revenues.</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Contract liabilities represents that portion of deferred revenue for which payments have been received in advance from customers. This may also include revenues deferred for certain contracts where services have been rendered but other conditions for revenue recognition have not been met for e.g. legally enforceable contract is not executed. The Company also defers revenues attributable to certain process transition activities for which costs have been capitalized by the Company as contract fulfillment costs. The contract liabilities are included within “Deferred revenues” and “other non-current liabilities” in the consolidated balance sheets. The revenues are recognized as (or when) the performance obligation is fulfilled under the contract with customer.</w:t>
      </w:r>
    </w:p>
    <w:p>
      <w:pPr>
        <w:spacing w:after="0" w:line="5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recognized during the year ended December 31, 2019 that was included in the contract liabilities balance at the beginning of the period was $6,077 and revenue recognized during the year ended December 31, 2018 that was included in the contract liabilities balance at the beginning of the period was $9,147.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and fulfillment costs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details of the Company’s contract acquisition and fulfillment costs: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gridSpan w:val="4"/>
          </w:tcPr>
          <w:p>
            <w:pPr>
              <w:jc w:val="right"/>
              <w:ind w:right="143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5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Contract acquisition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Contract fulfillment</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Contract acquisition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6"/>
                <w:szCs w:val="16"/>
                <w:b w:val="1"/>
                <w:bCs w:val="1"/>
                <w:color w:val="auto"/>
                <w:w w:val="95"/>
              </w:rPr>
              <w:t>Contract fulfillment</w:t>
            </w:r>
          </w:p>
        </w:tc>
      </w:tr>
      <w:tr>
        <w:trPr>
          <w:trHeight w:val="210"/>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cost</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613"/>
              <w:spacing w:after="0"/>
              <w:rPr>
                <w:sz w:val="20"/>
                <w:szCs w:val="20"/>
                <w:color w:val="auto"/>
              </w:rPr>
            </w:pPr>
            <w:r>
              <w:rPr>
                <w:rFonts w:ascii="Arial" w:cs="Arial" w:eastAsia="Arial" w:hAnsi="Arial"/>
                <w:sz w:val="16"/>
                <w:szCs w:val="16"/>
                <w:b w:val="1"/>
                <w:bCs w:val="1"/>
                <w:color w:val="auto"/>
              </w:rPr>
              <w:t>cost</w:t>
            </w:r>
          </w:p>
        </w:tc>
      </w:tr>
      <w:tr>
        <w:trPr>
          <w:trHeight w:val="33"/>
        </w:trPr>
        <w:tc>
          <w:tcPr>
            <w:tcW w:w="3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Balance as of January 1</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center"/>
              <w:ind w:left="1113"/>
              <w:spacing w:after="0"/>
              <w:rPr>
                <w:sz w:val="20"/>
                <w:szCs w:val="20"/>
                <w:color w:val="auto"/>
              </w:rPr>
            </w:pPr>
            <w:r>
              <w:rPr>
                <w:rFonts w:ascii="Arial" w:cs="Arial" w:eastAsia="Arial" w:hAnsi="Arial"/>
                <w:sz w:val="18"/>
                <w:szCs w:val="18"/>
                <w:color w:val="auto"/>
                <w:w w:val="86"/>
              </w:rPr>
              <w:t>454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2,769</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Addition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left="1113"/>
              <w:spacing w:after="0"/>
              <w:rPr>
                <w:sz w:val="20"/>
                <w:szCs w:val="20"/>
                <w:color w:val="auto"/>
              </w:rPr>
            </w:pPr>
            <w:r>
              <w:rPr>
                <w:rFonts w:ascii="Arial" w:cs="Arial" w:eastAsia="Arial" w:hAnsi="Arial"/>
                <w:sz w:val="18"/>
                <w:szCs w:val="18"/>
                <w:color w:val="auto"/>
                <w:w w:val="86"/>
              </w:rPr>
              <w:t>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2,216</w:t>
            </w:r>
          </w:p>
        </w:tc>
      </w:tr>
      <w:tr>
        <w:trPr>
          <w:trHeight w:val="27"/>
        </w:trPr>
        <w:tc>
          <w:tcPr>
            <w:tcW w:w="3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center"/>
              <w:ind w:left="1013"/>
              <w:spacing w:after="0"/>
              <w:rPr>
                <w:sz w:val="20"/>
                <w:szCs w:val="20"/>
                <w:color w:val="auto"/>
              </w:rPr>
            </w:pPr>
            <w:r>
              <w:rPr>
                <w:rFonts w:ascii="Arial" w:cs="Arial" w:eastAsia="Arial" w:hAnsi="Arial"/>
                <w:sz w:val="18"/>
                <w:szCs w:val="18"/>
                <w:color w:val="auto"/>
                <w:w w:val="90"/>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57"/>
        </w:trPr>
        <w:tc>
          <w:tcPr>
            <w:tcW w:w="36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center"/>
              <w:ind w:left="1113"/>
              <w:spacing w:after="0"/>
              <w:rPr>
                <w:sz w:val="20"/>
                <w:szCs w:val="20"/>
                <w:color w:val="auto"/>
              </w:rPr>
            </w:pPr>
            <w:r>
              <w:rPr>
                <w:rFonts w:ascii="Arial" w:cs="Arial" w:eastAsia="Arial" w:hAnsi="Arial"/>
                <w:sz w:val="18"/>
                <w:szCs w:val="18"/>
                <w:color w:val="auto"/>
                <w:w w:val="86"/>
              </w:rPr>
              <w:t>713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4,051</w:t>
            </w:r>
          </w:p>
        </w:tc>
      </w:tr>
      <w:tr>
        <w:trPr>
          <w:trHeight w:val="20"/>
        </w:trPr>
        <w:tc>
          <w:tcPr>
            <w:tcW w:w="3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was no impairment loss in relation to costs capitalized. The capitalized costs are amortized on a straight line basis over the life of the contract.</w:t>
      </w:r>
    </w:p>
    <w:p>
      <w:pPr>
        <w:spacing w:after="0" w:line="14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Consideration received from customers, if any, relating to such transition activities are classified under Contract Liabilities and are recognized over the period in which the related performance obligations are fulfilled.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 consists of the following:</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Gain on sale and mark-to-market of mutual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1,625</w:t>
            </w: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Others, net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r>
      <w:tr>
        <w:trPr>
          <w:trHeight w:val="257"/>
        </w:trPr>
        <w:tc>
          <w:tcPr>
            <w:tcW w:w="60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12,989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11,359</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8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90"/>
              </w:rPr>
              <w:t>Year ended December 31,</w:t>
            </w:r>
          </w:p>
        </w:tc>
        <w:tc>
          <w:tcPr>
            <w:tcW w:w="108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r>
      <w:tr>
        <w:trPr>
          <w:trHeight w:val="33"/>
        </w:trPr>
        <w:tc>
          <w:tcPr>
            <w:tcW w:w="6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67,659</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48,888</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34,350,150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34,451,008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33,897,916</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382,533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1,212,294</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34,732,683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35,030,984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35,110,210</w:t>
            </w:r>
          </w:p>
        </w:tc>
      </w:tr>
      <w:tr>
        <w:trPr>
          <w:trHeight w:val="67"/>
        </w:trPr>
        <w:tc>
          <w:tcPr>
            <w:tcW w:w="6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attributable to ExlService Holdings Inc.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7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Weighted average potentially dilutive shares considered anti-dilutive and not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included in computing diluted earnings per share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106,375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151,961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Cash Equivalents and Restricted Cash</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purpose of statements of cash flows, cash, cash equivalents and restricted cash comprise of the following:</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2"/>
                <w:szCs w:val="22"/>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2"/>
                <w:szCs w:val="22"/>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86,795</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127,044</w:t>
            </w:r>
          </w:p>
        </w:tc>
        <w:tc>
          <w:tcPr>
            <w:tcW w:w="120" w:type="dxa"/>
            <w:vAlign w:val="bottom"/>
          </w:tcPr>
          <w:p>
            <w:pPr>
              <w:spacing w:after="0"/>
              <w:rPr>
                <w:sz w:val="19"/>
                <w:szCs w:val="1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104,131</w:t>
            </w:r>
          </w:p>
        </w:tc>
        <w:tc>
          <w:tcPr>
            <w:tcW w:w="120" w:type="dxa"/>
            <w:vAlign w:val="bottom"/>
          </w:tcPr>
          <w:p>
            <w:pPr>
              <w:spacing w:after="0"/>
              <w:rPr>
                <w:sz w:val="19"/>
                <w:szCs w:val="1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94,277</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Effective January 1, 2018, the Company adopted ASU 2016-18, </w:t>
      </w:r>
      <w:r>
        <w:rPr>
          <w:rFonts w:ascii="Arial" w:cs="Arial" w:eastAsia="Arial" w:hAnsi="Arial"/>
          <w:sz w:val="18"/>
          <w:szCs w:val="18"/>
          <w:i w:val="1"/>
          <w:iCs w:val="1"/>
          <w:color w:val="auto"/>
        </w:rPr>
        <w:t>Statements of Cash Flows (Topic 230), Restricted Cash</w:t>
      </w:r>
      <w:r>
        <w:rPr>
          <w:rFonts w:ascii="Arial" w:cs="Arial" w:eastAsia="Arial" w:hAnsi="Arial"/>
          <w:sz w:val="18"/>
          <w:szCs w:val="18"/>
          <w:color w:val="auto"/>
        </w:rPr>
        <w:t>. Accordingly, restricted cash and restricted cash equivalents is included with cash and cash equivalents when reconciling the beginning-of-period and end-of-period total amounts shown in the consolidated statements of cash flows. Refer to Note 27 to the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856"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consists of the following:</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Estimated useful lives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Owned assets:</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Network equipment and computers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2"/>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85,921</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20" w:type="dxa"/>
            <w:vAlign w:val="bottom"/>
          </w:tcPr>
          <w:p>
            <w:pPr>
              <w:jc w:val="center"/>
              <w:ind w:left="252"/>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79,746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69,752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39,533</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620" w:type="dxa"/>
            <w:vAlign w:val="bottom"/>
          </w:tcPr>
          <w:p>
            <w:pPr>
              <w:jc w:val="center"/>
              <w:ind w:left="252"/>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22,046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Motor vehicles</w:t>
            </w:r>
          </w:p>
        </w:tc>
        <w:tc>
          <w:tcPr>
            <w:tcW w:w="162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Capital work in progress</w:t>
            </w:r>
          </w:p>
        </w:tc>
        <w:tc>
          <w:tcPr>
            <w:tcW w:w="172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228,850</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(179,331)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(155,798)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73,052</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Right-of-use assets under finance leases: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Motor vehicles</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73,510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costs incurred on internally developed software, not yet ready to be placed in service.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consolidated statements of income was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38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2017</w:t>
            </w:r>
          </w:p>
        </w:tc>
      </w:tr>
      <w:tr>
        <w:trPr>
          <w:trHeight w:val="33"/>
        </w:trPr>
        <w:tc>
          <w:tcPr>
            <w:tcW w:w="5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30,423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28,189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24,574</w:t>
            </w:r>
          </w:p>
        </w:tc>
      </w:tr>
      <w:tr>
        <w:trPr>
          <w:trHeight w:val="20"/>
        </w:trPr>
        <w:tc>
          <w:tcPr>
            <w:tcW w:w="5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depreciation and amortization set forth above includes the effect of foreign exchange gain upon settlement of cash flow hedges, amounting to $212, $153 and $435 for the year ended December 31, 2019, 2018 and 2017, respectively (Refer to Note 17 to the consolidated financial statements for further details).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293"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20"/>
                <w:szCs w:val="20"/>
                <w:color w:val="auto"/>
              </w:rPr>
            </w:pPr>
          </w:p>
        </w:tc>
        <w:tc>
          <w:tcPr>
            <w:tcW w:w="1620" w:type="dxa"/>
            <w:vAlign w:val="bottom"/>
          </w:tcPr>
          <w:p>
            <w:pPr>
              <w:jc w:val="right"/>
              <w:ind w:right="172"/>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Less : Accumulated amortization</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(2,393)</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6,390</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2019, there were no significant changes in estimated useful lives of property and equipment.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amortization expense on internally developed software recognized in the consolidated statements of income was as follows:</w:t>
      </w:r>
    </w:p>
    <w:p>
      <w:pPr>
        <w:spacing w:after="0" w:line="293"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3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74"/>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640</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year ended December 31, 2019, the Company performed an impairment test of its long-lived assets related to its Health Integrated business. Based on the results, the long-lived assets carrying value exceeded its fair value. The primary factor contributing to a reduction in the fair value is the wind down of the Health Integrated business, due to an anticipated reduction to the Company's estimated future cash flows. As a result of this analysis, the Company recognized impairment charges of $2,178 during the year ended December 31, 2019, to write down the carrying value of property and equipment to its fair value. This impairment charge was recorded in the consolidated statements of income under "Impairment and restructuring charges". Refer to Note 24 to the consolidated financial statements for further details.</w:t>
      </w:r>
    </w:p>
    <w:p>
      <w:pPr>
        <w:spacing w:after="0" w:line="200" w:lineRule="exact"/>
        <w:rPr>
          <w:sz w:val="20"/>
          <w:szCs w:val="20"/>
          <w:color w:val="auto"/>
        </w:rPr>
      </w:pPr>
    </w:p>
    <w:p>
      <w:pPr>
        <w:spacing w:after="0" w:line="245" w:lineRule="exact"/>
        <w:rPr>
          <w:sz w:val="20"/>
          <w:szCs w:val="20"/>
          <w:color w:val="auto"/>
        </w:rPr>
      </w:pPr>
    </w:p>
    <w:p>
      <w:pPr>
        <w:ind w:right="6880" w:firstLine="8"/>
        <w:spacing w:after="0" w:line="440" w:lineRule="auto"/>
        <w:tabs>
          <w:tab w:leader="none" w:pos="27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Goodwill and Intangible Assets SCIOinspire Holdings Inc.</w:t>
      </w:r>
    </w:p>
    <w:p>
      <w:pPr>
        <w:spacing w:after="0" w:line="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July 1, 2018, the Company, through its wholly owned subsidiary ExlService.com, LLC (“Buyer”) and Buyer’s wholly owned subsidiary, ExlService Cayman Merger Sub, completed the acquisition of SCIO pursuant to an Agreement of Merger dated April 28, 2018 (the "Merger Agreement"). ExlService Cayman Merger Sub, merged with and into SCIO, with SCIO surviving the merger as a wholly-owned subsidiary of the Buyer.</w:t>
      </w:r>
    </w:p>
    <w:p>
      <w:pPr>
        <w:spacing w:after="0" w:line="5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SCIO is a health analytics solution and services company serving healthcare organizations including providers, health plans, pharmacy benefit managers, employers, health services and global life sciences companies. The acquisition is expected to significantly strengthen the Company’s capability in the high growth cost optimization and care optimization markets. The acquisition of SCIO is included in the Analytics reportable segment.</w:t>
      </w:r>
    </w:p>
    <w:p>
      <w:pPr>
        <w:spacing w:after="0" w:line="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aggregate purchase consideration was $245,044, including cash and cash equivalents acquired and post-closing adjustments. The aggregate base purchase consideration payable at closing of the merger was $236,500 based on completion of diligence, which was adjusted based on, among other things, SCIO’s cash, debt, working capital position and other adjustments as of the Closing as set forth in the Merger Agreement. To finance the acquisition at Closing, the Company utilized its revolving Credit Facility in the amount of $233,000, issued 69,459 shares of restricted common stock of the Company in the amount of $4,080 and paid the balance with available cash on hand.</w:t>
      </w:r>
    </w:p>
    <w:p>
      <w:pPr>
        <w:spacing w:after="0" w:line="8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Pursuant to the Company’s business combinations accounting policy, the total purchase consideration for SCIO was allocated to identifiable net tangible and intangible assets based upon their fair values. The excess of the purchase consideration over fair value of identifiable net tangible and intangible assets was recorded as goodwill. In order to allocate the consideration transferred for SCIO, the fair values of all identifiable assets and liabilities were established. For accounting and financial reporting purposes, fair value is defined under ASC No. 820, </w:t>
      </w:r>
      <w:r>
        <w:rPr>
          <w:rFonts w:ascii="Arial" w:cs="Arial" w:eastAsia="Arial" w:hAnsi="Arial"/>
          <w:sz w:val="16"/>
          <w:szCs w:val="16"/>
          <w:i w:val="1"/>
          <w:iCs w:val="1"/>
          <w:color w:val="auto"/>
        </w:rPr>
        <w:t>Fair Value Measurement and Disclosure</w:t>
      </w:r>
      <w:r>
        <w:rPr>
          <w:rFonts w:ascii="Arial" w:cs="Arial" w:eastAsia="Arial" w:hAnsi="Arial"/>
          <w:sz w:val="16"/>
          <w:szCs w:val="16"/>
          <w:color w:val="auto"/>
        </w:rPr>
        <w:t>, as the price that would be received upon sale of an asset or the amount paid to transfer a liability in an orderly transaction between market participants at the measurement date. Market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6"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The Company’s purchase price allocation to net tangible and intangible assets of SCIO is as follows: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140" w:type="dxa"/>
            <w:vAlign w:val="bottom"/>
          </w:tcPr>
          <w:p>
            <w:pPr>
              <w:spacing w:after="0"/>
              <w:rPr>
                <w:sz w:val="24"/>
                <w:szCs w:val="24"/>
                <w:color w:val="auto"/>
              </w:rPr>
            </w:pP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9,842</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2,790</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19,924</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2,076</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1,751</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914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47,800</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r>
      <w:tr>
        <w:trPr>
          <w:trHeight w:val="243"/>
        </w:trPr>
        <w:tc>
          <w:tcPr>
            <w:tcW w:w="140" w:type="dxa"/>
            <w:vAlign w:val="bottom"/>
          </w:tcPr>
          <w:p>
            <w:pPr>
              <w:spacing w:after="0"/>
              <w:rPr>
                <w:sz w:val="21"/>
                <w:szCs w:val="21"/>
                <w:color w:val="auto"/>
              </w:rPr>
            </w:pPr>
          </w:p>
        </w:tc>
        <w:tc>
          <w:tcPr>
            <w:tcW w:w="9140" w:type="dxa"/>
            <w:vAlign w:val="bottom"/>
          </w:tcPr>
          <w:p>
            <w:pPr>
              <w:ind w:left="280"/>
              <w:spacing w:after="0"/>
              <w:rPr>
                <w:sz w:val="20"/>
                <w:szCs w:val="20"/>
                <w:color w:val="auto"/>
              </w:rPr>
            </w:pPr>
            <w:r>
              <w:rPr>
                <w:rFonts w:ascii="Arial" w:cs="Arial" w:eastAsia="Arial" w:hAnsi="Arial"/>
                <w:sz w:val="18"/>
                <w:szCs w:val="18"/>
                <w:color w:val="auto"/>
              </w:rPr>
              <w:t>Trade names and trademarks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3,700</w:t>
            </w:r>
          </w:p>
        </w:tc>
      </w:tr>
      <w:tr>
        <w:trPr>
          <w:trHeight w:val="27"/>
        </w:trPr>
        <w:tc>
          <w:tcPr>
            <w:tcW w:w="140" w:type="dxa"/>
            <w:vAlign w:val="bottom"/>
          </w:tcPr>
          <w:p>
            <w:pPr>
              <w:spacing w:after="0"/>
              <w:rPr>
                <w:sz w:val="2"/>
                <w:szCs w:val="2"/>
                <w:color w:val="auto"/>
              </w:rPr>
            </w:pPr>
          </w:p>
        </w:tc>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111,107</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(17,132)</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14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(29,814)</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140" w:type="dxa"/>
            <w:vAlign w:val="bottom"/>
          </w:tcPr>
          <w:p>
            <w:pPr>
              <w:spacing w:after="0"/>
              <w:rPr>
                <w:sz w:val="24"/>
                <w:szCs w:val="24"/>
                <w:color w:val="auto"/>
              </w:rPr>
            </w:pPr>
          </w:p>
        </w:tc>
        <w:tc>
          <w:tcPr>
            <w:tcW w:w="9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81,293</w:t>
            </w:r>
          </w:p>
        </w:tc>
      </w:tr>
      <w:tr>
        <w:trPr>
          <w:trHeight w:val="27"/>
        </w:trPr>
        <w:tc>
          <w:tcPr>
            <w:tcW w:w="14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163,751</w:t>
            </w:r>
          </w:p>
        </w:tc>
      </w:tr>
      <w:tr>
        <w:trPr>
          <w:trHeight w:val="257"/>
        </w:trPr>
        <w:tc>
          <w:tcPr>
            <w:tcW w:w="140" w:type="dxa"/>
            <w:vAlign w:val="bottom"/>
          </w:tcPr>
          <w:p>
            <w:pPr>
              <w:spacing w:after="0"/>
              <w:rPr>
                <w:sz w:val="22"/>
                <w:szCs w:val="22"/>
                <w:color w:val="auto"/>
              </w:rPr>
            </w:pPr>
          </w:p>
        </w:tc>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Total purchase consideration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245,044</w:t>
            </w:r>
          </w:p>
        </w:tc>
      </w:tr>
      <w:tr>
        <w:trPr>
          <w:trHeight w:val="20"/>
        </w:trPr>
        <w:tc>
          <w:tcPr>
            <w:tcW w:w="14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fair values of the trade names and trademarks intangible assets were determined by using an “income approach”, specifically the relief-from-royalty approach. The basic principle of the relief-from-royalty method is that without ownership of the subject intangible asset, the user of that intangible asset would have to make a stream of payments to the owner of the asset in return for the rights to use that asset. By acquiring the intangible asset, the user avoids these payments. Therefore, a portion of SCIO’s earnings, equal to the after-tax royalty that would have been paid for the use of the asset, can be attributed to the firm’s ownership. The trade names and trademarks are being amortized on a straight-line basis (which approximates the economic pattern of benefits) over the estimated economic life of 3 years.</w:t>
      </w:r>
    </w:p>
    <w:p>
      <w:pPr>
        <w:spacing w:after="0" w:line="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values of the developed technology intangible assets were also determined by the relief-from-royalty approach. Similarly, this approach is based on the assumption that in lieu of ownership, a firm would be willing to pay a royalty in order to exploit the related benefits of the technology. Therefore, a portion of SCIO’s earnings, equal to the after-tax royalty that would have been paid for the use of the technology, can be attributed to the firm’s ownership of the technology. The technology assets are being amortized on a straight-line basis (which approximates the economic pattern of benefits) over the estimated economic life of 5 years.</w:t>
      </w:r>
    </w:p>
    <w:p>
      <w:pPr>
        <w:spacing w:after="0" w:line="8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fair values of the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 resulting from its development, that each project rents only those assets it needs (including elements of goodwill) and not the ones that it does 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10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goodwill recognized is attributable primarily to expected synergies from continuing operations of SCIO and the Company. The amount of goodwill recognized from SCIO's acquisition is not deductible for tax purposes. The goodwill has been assigned to our Analytics reportable segment based upon the Company’s assessment of nature of services rendered by SCIO.</w:t>
      </w: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changes in goodwill by reportable segment of the Company: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Healthcare</w:t>
            </w:r>
          </w:p>
        </w:tc>
        <w:tc>
          <w:tcPr>
            <w:tcW w:w="2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TT&amp;L</w:t>
            </w: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F&amp;A</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Analytics</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204,481</w:t>
            </w: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163,751</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Measurement period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(2,291)</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(14,229)</w:t>
            </w: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12,697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349,984</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38,276</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19,276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12,457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46,905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227,289</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349,529</w:t>
            </w:r>
          </w:p>
        </w:tc>
      </w:tr>
      <w:tr>
        <w:trPr>
          <w:trHeight w:val="27"/>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During the fourth quarter of 2019, the Company performed its annual impairment test of goodwill for those reporting units that had goodwill recorded. Key assumptions used in determining the fair value of the Company’s reporting units was a long-term revenue growth rate in the terminal year of 3.0% and discount rates ranging from 9.0% to 11.0%. Based on the results, the fair value of each of the Company’s reporting units exceeded their carrying value and the Company’s goodwill was not impaired. However, for the SCIO reporting unit within the Analytics reportable segment, the fair value was not substantially in excess of its carrying value. The SCIO reporting unit was formed as a result of the SCIO acquisition in July 2018 and its fair value was set at the time of acquisition. As of December 31, 2019, the goodwill associated with the SCIO reporting unit was $163,751, representing approximately 47.0% of the Company’s total goodwill, and the percentage by which the fair value of the SCIO reporting unit exceeded the carrying value as of the date of the most recent annual impairment test was approximately 10.0%. While the goodwill of this reporting unit is not currently impaired, there could be an impairment in the future as a result of changes in certain assumptions. For example, the fair value could be adversely affected and may result in an impairment of goodwill if this reporting unit is not able to expand its existing customer relationships, win new clients, improve profitability, the estimated cash flows are discounted at a higher risk-adjusted rate, or the market multiples decreases. The Company also believes that it is possible that its actual revenue growth rates could be higher than the long-term revenue growth rates used in the impairment test due to a number of factors, including (i) continued demand for the Company’s reimbursement and care optimization services to help clients identify overpayments and enhance their claims payment accuracy, and (ii) the Company’s ability to offer integrated solutions by leveraging technology platforms, digital, customizable and configurable analytics to deliver better business outcomes for its clients. The Company believes that its discount rate utilized is appropriate to use for its future cash flow assumptions considering current market conditions. However, keeping all other variables constant, a further 50 basis points increase in discount rate will decrease the percentage by which the fair value exceeds the carrying value of the SCIO reporting unit to 6.0%. The Company continues to monitor the cash flows of the SCIO reporting unit for changes in the business environment that could impact recoverability.</w:t>
      </w:r>
    </w:p>
    <w:p>
      <w:pPr>
        <w:spacing w:after="0" w:line="3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recoverability of goodwill is dependent upon the continued growth of cash flows from our business activities. 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fourth quarter of 2018, the Company performed its annual impairment test of goodwill for all its reporting units. Based on the results, the fair values of each of the Company’s reporting units exceeded their carrying values except for the Health Integrated reporting unit, within the Healthcare operating segment. The primary factors contributing to a reduction in the fair value of the Health Integrated reporting unit were: (i) revenues and profitability in 2018 were significantly lower than the Company’s budget; and (ii) significant changes to the Company's estimated future cash flows and long-term growth assumptions for the Health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Integrated reporting unit driven by loss of customer contracts, cost pressures and the Company’s most recent views of the long-term outlook for the Health Integrated business. As a result of this analysis, the Company recognized a goodwill impairment charge of $14,229 during the fourth quarter to write down the carrying value of Health Integrated’s goodwill to its fair value of $nil as of December 31, 2018. This impairment charge was recorded in the consolidated statements of income under "Impairment and restructuring charges"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4"/>
          </w:tcPr>
          <w:p>
            <w:pPr>
              <w:ind w:left="440"/>
              <w:spacing w:after="0"/>
              <w:rPr>
                <w:sz w:val="20"/>
                <w:szCs w:val="20"/>
                <w:color w:val="auto"/>
              </w:rPr>
            </w:pPr>
            <w:r>
              <w:rPr>
                <w:rFonts w:ascii="Arial" w:cs="Arial" w:eastAsia="Arial" w:hAnsi="Arial"/>
                <w:sz w:val="16"/>
                <w:szCs w:val="16"/>
                <w:b w:val="1"/>
                <w:bCs w:val="1"/>
                <w:color w:val="auto"/>
              </w:rPr>
              <w:t>As of December 31, 2019</w:t>
            </w:r>
          </w:p>
        </w:tc>
        <w:tc>
          <w:tcPr>
            <w:tcW w:w="1460" w:type="dxa"/>
            <w:vAlign w:val="bottom"/>
          </w:tcPr>
          <w:p>
            <w:pPr>
              <w:spacing w:after="0"/>
              <w:rPr>
                <w:sz w:val="18"/>
                <w:szCs w:val="18"/>
                <w:color w:val="auto"/>
              </w:rPr>
            </w:pPr>
          </w:p>
        </w:tc>
      </w:tr>
      <w:tr>
        <w:trPr>
          <w:trHeight w:val="33"/>
        </w:trPr>
        <w:tc>
          <w:tcPr>
            <w:tcW w:w="418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18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Gross</w:t>
            </w: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Accumulated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5"/>
              </w:rPr>
              <w:t>Net Carrying</w:t>
            </w:r>
          </w:p>
        </w:tc>
      </w:tr>
      <w:tr>
        <w:trPr>
          <w:trHeight w:val="210"/>
        </w:trPr>
        <w:tc>
          <w:tcPr>
            <w:tcW w:w="418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Carrying Amount</w:t>
            </w: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Amortization</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Impairment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r>
      <w:tr>
        <w:trPr>
          <w:trHeight w:val="33"/>
        </w:trPr>
        <w:tc>
          <w:tcPr>
            <w:tcW w:w="41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60"/>
        </w:trPr>
        <w:tc>
          <w:tcPr>
            <w:tcW w:w="4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bl>
    <w:p>
      <w:pPr>
        <w:spacing w:after="0" w:line="1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97,602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(43,330)</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54,272</w:t>
            </w:r>
          </w:p>
        </w:tc>
      </w:tr>
      <w:tr>
        <w:trPr>
          <w:trHeight w:val="27"/>
        </w:trPr>
        <w:tc>
          <w:tcPr>
            <w:tcW w:w="4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16,289</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2,521</w:t>
            </w:r>
          </w:p>
        </w:tc>
      </w:tr>
      <w:tr>
        <w:trPr>
          <w:trHeight w:val="27"/>
        </w:trPr>
        <w:tc>
          <w:tcPr>
            <w:tcW w:w="4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73,082</w:t>
            </w:r>
          </w:p>
        </w:tc>
      </w:tr>
      <w:tr>
        <w:trPr>
          <w:trHeight w:val="224"/>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4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130,578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(56,596)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73,982</w:t>
            </w:r>
          </w:p>
        </w:tc>
      </w:tr>
      <w:tr>
        <w:trPr>
          <w:trHeight w:val="27"/>
        </w:trPr>
        <w:tc>
          <w:tcPr>
            <w:tcW w:w="4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7"/>
          </w:tcPr>
          <w:p>
            <w:pPr>
              <w:jc w:val="right"/>
              <w:ind w:right="153"/>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Net Carrying</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6"/>
              </w:rPr>
              <w:t>Carrying Amount</w:t>
            </w:r>
          </w:p>
        </w:tc>
        <w:tc>
          <w:tcPr>
            <w:tcW w:w="12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0" w:type="dxa"/>
            <w:vAlign w:val="bottom"/>
            <w:tcBorders>
              <w:right w:val="single" w:sz="8" w:color="CCEEFF"/>
            </w:tcBorders>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Finite-lived intangible assets:</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0" w:type="dxa"/>
            <w:vAlign w:val="bottom"/>
            <w:tcBorders>
              <w:right w:val="single" w:sz="8" w:color="CCEEFF"/>
            </w:tcBorders>
          </w:tcPr>
          <w:p>
            <w:pPr>
              <w:spacing w:after="0"/>
              <w:rPr>
                <w:sz w:val="5"/>
                <w:szCs w:val="5"/>
                <w:color w:val="auto"/>
              </w:rPr>
            </w:pPr>
          </w:p>
        </w:tc>
        <w:tc>
          <w:tcPr>
            <w:tcW w:w="4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129,790</w:t>
            </w:r>
          </w:p>
        </w:tc>
        <w:tc>
          <w:tcPr>
            <w:tcW w:w="620" w:type="dxa"/>
            <w:vAlign w:val="bottom"/>
            <w:gridSpan w:val="2"/>
          </w:tcPr>
          <w:p>
            <w:pPr>
              <w:jc w:val="right"/>
              <w:ind w:right="31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(56,367)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67,874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37,154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(14,653)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160" w:type="dxa"/>
            <w:vAlign w:val="bottom"/>
          </w:tcPr>
          <w:p>
            <w:pPr>
              <w:spacing w:after="0"/>
              <w:rPr>
                <w:sz w:val="21"/>
                <w:szCs w:val="21"/>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181,272</w:t>
            </w:r>
          </w:p>
        </w:tc>
        <w:tc>
          <w:tcPr>
            <w:tcW w:w="620" w:type="dxa"/>
            <w:vAlign w:val="bottom"/>
            <w:tcBorders>
              <w:bottom w:val="single" w:sz="8" w:color="CCEEFF"/>
            </w:tcBorders>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(80,850)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94,595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Indefinite-lived intangible assets:</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40" w:type="dxa"/>
            <w:vAlign w:val="bottom"/>
            <w:tcBorders>
              <w:right w:val="single" w:sz="8" w:color="CCEEFF"/>
            </w:tcBorders>
          </w:tcPr>
          <w:p>
            <w:pPr>
              <w:spacing w:after="0"/>
              <w:rPr>
                <w:sz w:val="23"/>
                <w:szCs w:val="23"/>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900</w:t>
            </w:r>
          </w:p>
        </w:tc>
        <w:tc>
          <w:tcPr>
            <w:tcW w:w="620" w:type="dxa"/>
            <w:vAlign w:val="bottom"/>
            <w:tcBorders>
              <w:bottom w:val="single" w:sz="8" w:color="CCEEFF"/>
            </w:tcBorders>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6"/>
                <w:szCs w:val="16"/>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182,172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(80,850)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95,495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The amortization expense for the year is as follows:</w:t>
            </w: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gridSpan w:val="9"/>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0"/>
              </w:rPr>
              <w:t>21,558</w:t>
            </w:r>
          </w:p>
        </w:tc>
        <w:tc>
          <w:tcPr>
            <w:tcW w:w="800" w:type="dxa"/>
            <w:vAlign w:val="bottom"/>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20,377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13,975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fourth quarter of 2018, the Company recognized impairment charges of $5,549 and $278 related to its customer relationships and trademarks intangible assets, respectively, in the Health Integrated reporting unit, within the Healthcare operating segment. The Company tested these intangible assets for recoverability due to indicators warranting the impairment test such as: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Based on the results of its testing, the Company determined that the carrying value of the intangible assets was not recoverable, and 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charge was recorded to the extent that carrying value exceeded estimated fair value. This impairment charge was recorded in the consolidated statements of income under "Impairment and restructuring charges". Subsequent to the impairment test, Health Integrated reporting unit’s customer relationships and trademarks intangibles assets were reduced to $nil as of December 31,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293"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6"/>
                <w:szCs w:val="16"/>
                <w:b w:val="1"/>
                <w:bCs w:val="1"/>
                <w:color w:val="auto"/>
              </w:rPr>
              <w:t>(in years)</w:t>
            </w:r>
          </w:p>
        </w:tc>
      </w:tr>
      <w:tr>
        <w:trPr>
          <w:trHeight w:val="33"/>
        </w:trPr>
        <w:tc>
          <w:tcPr>
            <w:tcW w:w="60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6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0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0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Estimated future amortization expense related to intangible assets as of December 31, 2019 is as follows:</w:t>
      </w:r>
    </w:p>
    <w:p>
      <w:pPr>
        <w:spacing w:after="0" w:line="50"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12,753</w:t>
            </w:r>
          </w:p>
        </w:tc>
      </w:tr>
      <w:tr>
        <w:trPr>
          <w:trHeight w:val="27"/>
        </w:trPr>
        <w:tc>
          <w:tcPr>
            <w:tcW w:w="8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9,046</w:t>
            </w:r>
          </w:p>
        </w:tc>
      </w:tr>
      <w:tr>
        <w:trPr>
          <w:trHeight w:val="27"/>
        </w:trPr>
        <w:tc>
          <w:tcPr>
            <w:tcW w:w="8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18,786</w:t>
            </w:r>
          </w:p>
        </w:tc>
      </w:tr>
      <w:tr>
        <w:trPr>
          <w:trHeight w:val="27"/>
        </w:trPr>
        <w:tc>
          <w:tcPr>
            <w:tcW w:w="8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73,082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rPr>
              <w:t>As of</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1"/>
              </w:rPr>
              <w:t>December 31, 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jc w:val="right"/>
              <w:ind w:right="371"/>
              <w:spacing w:after="0"/>
              <w:rPr>
                <w:sz w:val="20"/>
                <w:szCs w:val="20"/>
                <w:color w:val="auto"/>
              </w:rPr>
            </w:pPr>
            <w:r>
              <w:rPr>
                <w:rFonts w:ascii="Arial" w:cs="Arial" w:eastAsia="Arial" w:hAnsi="Arial"/>
                <w:sz w:val="16"/>
                <w:szCs w:val="16"/>
                <w:b w:val="1"/>
                <w:bCs w:val="1"/>
                <w:color w:val="auto"/>
                <w:w w:val="94"/>
              </w:rPr>
              <w:t>December 31,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Advances to suppliers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fulfillment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Others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3,242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24,594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Other Assets</w:t>
            </w: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6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6120" w:type="dxa"/>
            <w:vAlign w:val="bottom"/>
          </w:tcPr>
          <w:p>
            <w:pPr>
              <w:ind w:left="40"/>
              <w:spacing w:after="0"/>
              <w:rPr>
                <w:sz w:val="20"/>
                <w:szCs w:val="20"/>
                <w:color w:val="auto"/>
              </w:rPr>
            </w:pPr>
            <w:r>
              <w:rPr>
                <w:rFonts w:ascii="Arial" w:cs="Arial" w:eastAsia="Arial" w:hAnsi="Arial"/>
                <w:sz w:val="18"/>
                <w:szCs w:val="18"/>
                <w:color w:val="auto"/>
              </w:rPr>
              <w:t>Other assets consist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 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jc w:val="right"/>
              <w:ind w:right="311"/>
              <w:spacing w:after="0"/>
              <w:rPr>
                <w:sz w:val="20"/>
                <w:szCs w:val="20"/>
                <w:color w:val="auto"/>
              </w:rPr>
            </w:pPr>
            <w:r>
              <w:rPr>
                <w:rFonts w:ascii="Arial" w:cs="Arial" w:eastAsia="Arial" w:hAnsi="Arial"/>
                <w:sz w:val="16"/>
                <w:szCs w:val="16"/>
                <w:b w:val="1"/>
                <w:bCs w:val="1"/>
                <w:color w:val="auto"/>
                <w:w w:val="98"/>
              </w:rPr>
              <w:t>December 31,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 w:type="dxa"/>
            <w:vAlign w:val="bottom"/>
            <w:tcBorders>
              <w:right w:val="single" w:sz="8" w:color="CCEEFF"/>
            </w:tcBorders>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Lease deposits</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9,983</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3,433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Deposits with statutory authorities</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Term deposits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assets</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Deferred contract fulfillment costs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5,582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Others</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36,016</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63"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121" w:right="239" w:bottom="1163"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Accrued Expenses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89"/>
              </w:rPr>
              <w:t>As of</w:t>
            </w: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5"/>
              </w:rPr>
              <w:t>December 31,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151"/>
              <w:spacing w:after="0"/>
              <w:rPr>
                <w:sz w:val="20"/>
                <w:szCs w:val="20"/>
                <w:color w:val="auto"/>
              </w:rPr>
            </w:pPr>
            <w:r>
              <w:rPr>
                <w:rFonts w:ascii="Arial" w:cs="Arial" w:eastAsia="Arial" w:hAnsi="Arial"/>
                <w:sz w:val="16"/>
                <w:szCs w:val="16"/>
                <w:b w:val="1"/>
                <w:bCs w:val="1"/>
                <w:color w:val="auto"/>
                <w:w w:val="97"/>
              </w:rPr>
              <w:t>December 31, 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53,139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3,204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9,723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9,321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71,023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14. Other Non-Current Liabilities</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70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 consist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As of</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w w:val="95"/>
              </w:rPr>
              <w:t>December 31,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231"/>
              <w:spacing w:after="0"/>
              <w:rPr>
                <w:sz w:val="20"/>
                <w:szCs w:val="20"/>
                <w:color w:val="auto"/>
              </w:rPr>
            </w:pPr>
            <w:r>
              <w:rPr>
                <w:rFonts w:ascii="Arial" w:cs="Arial" w:eastAsia="Arial" w:hAnsi="Arial"/>
                <w:sz w:val="16"/>
                <w:szCs w:val="16"/>
                <w:b w:val="1"/>
                <w:bCs w:val="1"/>
                <w:color w:val="auto"/>
                <w:w w:val="91"/>
              </w:rPr>
              <w:t>December 31, 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6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Retirement benefits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6,517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transition revenue</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 w:type="dxa"/>
            <w:vAlign w:val="bottom"/>
          </w:tcPr>
          <w:p>
            <w:pPr>
              <w:spacing w:after="0"/>
              <w:rPr>
                <w:sz w:val="22"/>
                <w:szCs w:val="22"/>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Accumulated other comprehensive loss (“AOCI”) consists of actuarial gain/(loss) on retirement benefits and changes in the cumulative foreign currency translation adjustments. In addition, the Company enters into foreign currency exchange contracts, which are designated as cash flow hedges in accordance with ASC 815. Changes in the fair values of these foreign currency exchange contracts are recognized in AOCI on the Company's consolidated balance sheets until the settlement of those contracts. The balances as of December 31, 2019 and 2018 are as follows:</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As of</w:t>
            </w:r>
          </w:p>
        </w:tc>
        <w:tc>
          <w:tcPr>
            <w:tcW w:w="1600" w:type="dxa"/>
            <w:vAlign w:val="bottom"/>
          </w:tcPr>
          <w:p>
            <w:pPr>
              <w:spacing w:after="0"/>
              <w:rPr>
                <w:sz w:val="18"/>
                <w:szCs w:val="18"/>
                <w:color w:val="auto"/>
              </w:rPr>
            </w:pPr>
          </w:p>
        </w:tc>
      </w:tr>
      <w:tr>
        <w:trPr>
          <w:trHeight w:val="33"/>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20"/>
                <w:szCs w:val="20"/>
                <w:color w:val="auto"/>
              </w:rPr>
            </w:pPr>
          </w:p>
        </w:tc>
        <w:tc>
          <w:tcPr>
            <w:tcW w:w="160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Cumulative foreign currency translation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(84,105)</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Unrealized gain/(loss) on cash flow hedges</w:t>
            </w:r>
          </w:p>
        </w:tc>
        <w:tc>
          <w:tcPr>
            <w:tcW w:w="22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r>
      <w:tr>
        <w:trPr>
          <w:trHeight w:val="270"/>
        </w:trPr>
        <w:tc>
          <w:tcPr>
            <w:tcW w:w="6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Income tax expense relating to above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Accumulated other comprehensive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(83,467)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560" w:hanging="147"/>
        <w:spacing w:after="0"/>
        <w:tabs>
          <w:tab w:leader="none" w:pos="560" w:val="left"/>
        </w:tabs>
        <w:numPr>
          <w:ilvl w:val="1"/>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These are income tax expense recognized on cash flow hedges and retirement benefits. Refer to Note 22 to the consolidated financial statements.</w:t>
      </w:r>
    </w:p>
    <w:p>
      <w:pPr>
        <w:spacing w:after="0" w:line="352" w:lineRule="exact"/>
        <w:rPr>
          <w:rFonts w:ascii="Arial" w:cs="Arial" w:eastAsia="Arial" w:hAnsi="Arial"/>
          <w:sz w:val="18"/>
          <w:szCs w:val="18"/>
          <w:i w:val="1"/>
          <w:iCs w:val="1"/>
          <w:color w:val="auto"/>
          <w:vertAlign w:val="superscript"/>
        </w:rPr>
      </w:pPr>
    </w:p>
    <w:p>
      <w:pPr>
        <w:ind w:left="280" w:hanging="272"/>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as against assumptions specific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entity. In addition, the fair value of liabilities should include consideration of non-performance risk, including the Company’s own credit risk.</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ASC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57"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63"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are unobservable.</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assets and liabilities that were accounted for at fair value as of December 31, 2019 and 2018.</w:t>
      </w:r>
    </w:p>
    <w:p>
      <w:pPr>
        <w:spacing w:after="0" w:line="293"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560" w:type="dxa"/>
            <w:vAlign w:val="bottom"/>
            <w:gridSpan w:val="2"/>
          </w:tcPr>
          <w:p>
            <w:pPr>
              <w:ind w:left="480"/>
              <w:spacing w:after="0"/>
              <w:rPr>
                <w:sz w:val="20"/>
                <w:szCs w:val="20"/>
                <w:color w:val="auto"/>
              </w:rPr>
            </w:pPr>
            <w:r>
              <w:rPr>
                <w:rFonts w:ascii="Arial" w:cs="Arial" w:eastAsia="Arial" w:hAnsi="Arial"/>
                <w:sz w:val="16"/>
                <w:szCs w:val="16"/>
                <w:b w:val="1"/>
                <w:bCs w:val="1"/>
                <w:color w:val="auto"/>
              </w:rPr>
              <w:t>Level 1</w:t>
            </w:r>
          </w:p>
        </w:tc>
        <w:tc>
          <w:tcPr>
            <w:tcW w:w="1560" w:type="dxa"/>
            <w:vAlign w:val="bottom"/>
            <w:gridSpan w:val="2"/>
          </w:tcPr>
          <w:p>
            <w:pPr>
              <w:ind w:left="460"/>
              <w:spacing w:after="0"/>
              <w:rPr>
                <w:sz w:val="20"/>
                <w:szCs w:val="20"/>
                <w:color w:val="auto"/>
              </w:rPr>
            </w:pPr>
            <w:r>
              <w:rPr>
                <w:rFonts w:ascii="Arial" w:cs="Arial" w:eastAsia="Arial" w:hAnsi="Arial"/>
                <w:sz w:val="16"/>
                <w:szCs w:val="16"/>
                <w:b w:val="1"/>
                <w:bCs w:val="1"/>
                <w:color w:val="auto"/>
              </w:rPr>
              <w:t>Level 2</w:t>
            </w:r>
          </w:p>
        </w:tc>
        <w:tc>
          <w:tcPr>
            <w:tcW w:w="1540" w:type="dxa"/>
            <w:vAlign w:val="bottom"/>
            <w:gridSpan w:val="2"/>
          </w:tcPr>
          <w:p>
            <w:pPr>
              <w:ind w:left="460"/>
              <w:spacing w:after="0"/>
              <w:rPr>
                <w:sz w:val="20"/>
                <w:szCs w:val="20"/>
                <w:color w:val="auto"/>
              </w:rPr>
            </w:pPr>
            <w:r>
              <w:rPr>
                <w:rFonts w:ascii="Arial" w:cs="Arial" w:eastAsia="Arial" w:hAnsi="Arial"/>
                <w:sz w:val="16"/>
                <w:szCs w:val="16"/>
                <w:b w:val="1"/>
                <w:bCs w:val="1"/>
                <w:color w:val="auto"/>
              </w:rPr>
              <w:t>Level 3</w:t>
            </w:r>
          </w:p>
        </w:tc>
        <w:tc>
          <w:tcPr>
            <w:tcW w:w="146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r>
      <w:tr>
        <w:trPr>
          <w:trHeight w:val="33"/>
        </w:trPr>
        <w:tc>
          <w:tcPr>
            <w:tcW w:w="35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4"/>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60"/>
        </w:trPr>
        <w:tc>
          <w:tcPr>
            <w:tcW w:w="35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bl>
    <w:p>
      <w:pPr>
        <w:spacing w:after="0" w:line="13"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166,330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166,330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166,330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173,839</w:t>
            </w:r>
          </w:p>
        </w:tc>
        <w:tc>
          <w:tcPr>
            <w:tcW w:w="0" w:type="dxa"/>
            <w:vAlign w:val="bottom"/>
          </w:tcPr>
          <w:p>
            <w:pPr>
              <w:spacing w:after="0"/>
              <w:rPr>
                <w:sz w:val="1"/>
                <w:szCs w:val="1"/>
                <w:color w:val="auto"/>
              </w:rPr>
            </w:pPr>
          </w:p>
        </w:tc>
      </w:tr>
      <w:tr>
        <w:trPr>
          <w:trHeight w:val="67"/>
        </w:trPr>
        <w:tc>
          <w:tcPr>
            <w:tcW w:w="35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5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1"/>
                <w:szCs w:val="21"/>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142,408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440"/>
        <w:spacing w:after="0" w:line="277" w:lineRule="auto"/>
        <w:tabs>
          <w:tab w:leader="none" w:pos="573"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those short-term investments which are carried at the fair value option under ASC 825 "Financial Instruments" as of December 31, 2019 and 2018.</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Refer to Note 17 to the consolidated financial statements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short-term investments (except investment in mutual funds, as disclosed above), restricted cash, accounts receivable, accounts payable, and accrued expenses for which fair values approximate their carrying amounts due to their short-term nature. The carrying value of the Company’s outstanding revolver credit approximates its fair value because the Company’s interest rate yield is near current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rates for comparable debt instruments. Lease obligations are recognized based on the present value of lease payments over the lease term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estimated fair value of the convertible senior notes as of December 31, 2019 and 2018 was $149,934 and $130,510, respectively. The fair value was determined based on the market yields for similar Notes as of December 31, 2019 and 2018, respectively. The Company considers the fair value of the Notes to be a Level 2 measurement due to the limited inputs available for its fair valuation.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 of assets: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Non-recurring fair value measurements include impairment tests conducted by the Company during the year ended December 31, 2019 of its long-lived assets and ROU assets related to its Health Integrated business. The fair value determination for ROU assets was based on third party quotes, which are Level 2 inputs, and for other long-lived assets, it was based on Company’s internal assessment, which are Level 3 inputs. During the year ended December 31, 2019, the Company recognized impairment charges on and long-lived assets and ROU assets to write down the carrying value to their fair values. Refer to Notes 9 and 21 to the consolidated financial statements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and Hedge Accounting</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$410,390 (including $4,300 of range forward contracts) as of December 31, 2019 and $362,435 (including $6,900 of range forward contracts) as of December 31, 2018.</w:t>
      </w:r>
    </w:p>
    <w:p>
      <w:pPr>
        <w:spacing w:after="0" w:line="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Changes in the fair value of these cash flow hedges are recorded as a component of accumulated other comprehensive income/(loss), net of tax, until the hedged transactions occurs. The resultant foreign exchange gain/(loss) upon settlement of derivative financial instruments are recorded along with the underlying hedged item in the same line of consolidated statements of income as either a part of “Cost of revenues”, “General and administrative expenses”, “Selling and marketing expenses”, “Depreciation and amortization expense”, as applicable.</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$2,421 of net derivative gains, excluding tax effects, included in AOCI, representing changes in the value of cash flow hedges, could be reclassified into earnings within the next twelve months based on exchange rates prevailing as of December 31, 2019. At December 31, 2019, the maximum outstanding term of the cash flow hedges was 45 months.</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$124,045, GBP 10,843 and EUR 1,289 as of December 31, 2019 and amounted to $125,503, GBP 15,616 and EUR 512 as of December 31, 2018.</w:t>
      </w:r>
    </w:p>
    <w:p>
      <w:pPr>
        <w:spacing w:after="0" w:line="16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also uses forward contracts designated as net investment hedges to hedge foreign currency risks related to the Company's investment in foreign subsidiaries. Gains and losses on these forward contracts are recognized in AOCI as part of the foreign currency translation adjustment.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consolidated financial statements:</w:t>
      </w:r>
    </w:p>
    <w:p>
      <w:pPr>
        <w:sectPr>
          <w:pgSz w:w="11900" w:h="16838" w:orient="portrait"/>
          <w:cols w:equalWidth="0" w:num="1">
            <w:col w:w="11120"/>
          </w:cols>
          <w:pgMar w:left="240" w:top="121" w:right="5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46355</wp:posOffset>
            </wp:positionV>
            <wp:extent cx="37903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46355</wp:posOffset>
            </wp:positionV>
            <wp:extent cx="656018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b w:val="1"/>
          <w:bCs w:val="1"/>
          <w:color w:val="auto"/>
        </w:rPr>
        <w:t>December 31,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46355</wp:posOffset>
            </wp:positionV>
            <wp:extent cx="2701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6240" w:space="720"/>
            <w:col w:w="4160"/>
          </w:cols>
          <w:pgMar w:left="240" w:top="121" w:right="5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47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3,945</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4,022</w:t>
            </w:r>
          </w:p>
        </w:tc>
      </w:tr>
      <w:tr>
        <w:trPr>
          <w:trHeight w:val="27"/>
        </w:trPr>
        <w:tc>
          <w:tcPr>
            <w:tcW w:w="4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3,433</w:t>
            </w:r>
          </w:p>
        </w:tc>
        <w:tc>
          <w:tcPr>
            <w:tcW w:w="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1,524</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3,137</w:t>
            </w:r>
          </w:p>
        </w:tc>
      </w:tr>
      <w:tr>
        <w:trPr>
          <w:trHeight w:val="27"/>
        </w:trPr>
        <w:tc>
          <w:tcPr>
            <w:tcW w:w="4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r>
      <w:tr>
        <w:trPr>
          <w:trHeight w:val="27"/>
        </w:trPr>
        <w:tc>
          <w:tcPr>
            <w:tcW w:w="47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205740</wp:posOffset>
            </wp:positionV>
            <wp:extent cx="656018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6560185" cy="171450"/>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type w:val="continuous"/>
        </w:sectPr>
      </w:pPr>
    </w:p>
    <w:p>
      <w:pPr>
        <w:spacing w:after="0" w:line="33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Derivatives not designated as hedging instruments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60960</wp:posOffset>
            </wp:positionV>
            <wp:extent cx="37903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46355</wp:posOffset>
            </wp:positionV>
            <wp:extent cx="2701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b w:val="1"/>
          <w:bCs w:val="1"/>
          <w:color w:val="auto"/>
        </w:rPr>
        <w:t>December 31, 2019</w:t>
      </w:r>
      <w:r>
        <w:rPr>
          <w:sz w:val="20"/>
          <w:szCs w:val="20"/>
          <w:color w:val="auto"/>
        </w:rPr>
        <w:tab/>
      </w:r>
      <w:r>
        <w:rPr>
          <w:rFonts w:ascii="Arial" w:cs="Arial" w:eastAsia="Arial" w:hAnsi="Arial"/>
          <w:sz w:val="14"/>
          <w:szCs w:val="14"/>
          <w:b w:val="1"/>
          <w:bCs w:val="1"/>
          <w:color w:val="auto"/>
        </w:rPr>
        <w:t>December 31, 2018</w:t>
      </w:r>
    </w:p>
    <w:p>
      <w:pPr>
        <w:spacing w:after="0" w:line="53" w:lineRule="exact"/>
        <w:rPr>
          <w:sz w:val="20"/>
          <w:szCs w:val="20"/>
          <w:color w:val="auto"/>
        </w:rPr>
      </w:pPr>
    </w:p>
    <w:p>
      <w:pPr>
        <w:sectPr>
          <w:pgSz w:w="11900" w:h="16838" w:orient="portrait"/>
          <w:cols w:equalWidth="0" w:num="2">
            <w:col w:w="6240" w:space="720"/>
            <w:col w:w="4160"/>
          </w:cols>
          <w:pgMar w:left="240" w:top="121" w:right="5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pacing w:after="0" w:line="245" w:lineRule="exact"/>
        <w:rPr>
          <w:sz w:val="20"/>
          <w:szCs w:val="20"/>
          <w:color w:val="auto"/>
        </w:rPr>
      </w:pPr>
    </w:p>
    <w:p>
      <w:pPr>
        <w:ind w:left="2880" w:hanging="2138"/>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consolidated statements of income and accumulated other comprehensive loss for the years ended December 31, 2019, 2018 and 2017:</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w w:val="91"/>
              </w:rPr>
              <w:t>Year ended December 31,</w:t>
            </w:r>
          </w:p>
        </w:tc>
        <w:tc>
          <w:tcPr>
            <w:tcW w:w="1080" w:type="dxa"/>
            <w:vAlign w:val="bottom"/>
          </w:tcPr>
          <w:p>
            <w:pPr>
              <w:spacing w:after="0"/>
              <w:rPr>
                <w:sz w:val="18"/>
                <w:szCs w:val="18"/>
                <w:color w:val="auto"/>
              </w:rPr>
            </w:pPr>
          </w:p>
        </w:tc>
      </w:tr>
      <w:tr>
        <w:trPr>
          <w:trHeight w:val="47"/>
        </w:trPr>
        <w:tc>
          <w:tcPr>
            <w:tcW w:w="45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6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2017</w:t>
            </w:r>
          </w:p>
        </w:tc>
      </w:tr>
      <w:tr>
        <w:trPr>
          <w:trHeight w:val="217"/>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Unrealized gain/(loss) recognized in AOCI</w:t>
            </w: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47"/>
        </w:trPr>
        <w:tc>
          <w:tcPr>
            <w:tcW w:w="4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0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8,773</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19,802</w:t>
            </w:r>
          </w:p>
        </w:tc>
      </w:tr>
      <w:tr>
        <w:trPr>
          <w:trHeight w:val="324"/>
        </w:trPr>
        <w:tc>
          <w:tcPr>
            <w:tcW w:w="4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Gain/(loss) recognized in consolidated statements of income</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3,306</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5,056</w:t>
            </w:r>
          </w:p>
        </w:tc>
      </w:tr>
      <w:tr>
        <w:trPr>
          <w:trHeight w:val="459"/>
        </w:trPr>
        <w:tc>
          <w:tcPr>
            <w:tcW w:w="4500" w:type="dxa"/>
            <w:vAlign w:val="bottom"/>
          </w:tcPr>
          <w:p>
            <w:pPr>
              <w:spacing w:after="0"/>
              <w:rPr>
                <w:sz w:val="24"/>
                <w:szCs w:val="24"/>
                <w:color w:val="auto"/>
              </w:rPr>
            </w:pPr>
          </w:p>
        </w:tc>
        <w:tc>
          <w:tcPr>
            <w:tcW w:w="2060" w:type="dxa"/>
            <w:vAlign w:val="bottom"/>
            <w:gridSpan w:val="3"/>
          </w:tcPr>
          <w:p>
            <w:pPr>
              <w:jc w:val="right"/>
              <w:ind w:right="1340"/>
              <w:spacing w:after="0"/>
              <w:rPr>
                <w:sz w:val="20"/>
                <w:szCs w:val="20"/>
                <w:color w:val="auto"/>
              </w:rPr>
            </w:pPr>
            <w:r>
              <w:rPr>
                <w:rFonts w:ascii="Arial" w:cs="Arial" w:eastAsia="Arial" w:hAnsi="Arial"/>
                <w:sz w:val="18"/>
                <w:szCs w:val="18"/>
                <w:color w:val="auto"/>
              </w:rPr>
              <w:t>F-38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120"/>
          </w:cols>
          <w:pgMar w:left="240" w:top="121" w:right="5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Location and amount of gain/(loss) recognized in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46355</wp:posOffset>
            </wp:positionV>
            <wp:extent cx="48450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2019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2017</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2"/>
              </w:rPr>
              <w:t>As per</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0"/>
              </w:rPr>
              <w:t>Gain on</w:t>
            </w:r>
          </w:p>
        </w:tc>
        <w:tc>
          <w:tcPr>
            <w:tcW w:w="140" w:type="dxa"/>
            <w:vAlign w:val="bottom"/>
            <w:shd w:val="clear" w:color="auto" w:fill="CCEEFF"/>
          </w:tcPr>
          <w:p>
            <w:pPr>
              <w:spacing w:after="0"/>
              <w:rPr>
                <w:sz w:val="18"/>
                <w:szCs w:val="18"/>
                <w:color w:val="auto"/>
              </w:rPr>
            </w:pPr>
          </w:p>
        </w:tc>
        <w:tc>
          <w:tcPr>
            <w:tcW w:w="1240" w:type="dxa"/>
            <w:vAlign w:val="bottom"/>
            <w:gridSpan w:val="3"/>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2"/>
              </w:rPr>
              <w:t>As per</w:t>
            </w:r>
          </w:p>
        </w:tc>
        <w:tc>
          <w:tcPr>
            <w:tcW w:w="11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Gain/(loss) on</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2"/>
              </w:rPr>
              <w:t>As per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94"/>
              <w:spacing w:after="0"/>
              <w:rPr>
                <w:sz w:val="20"/>
                <w:szCs w:val="20"/>
                <w:color w:val="auto"/>
              </w:rPr>
            </w:pPr>
            <w:r>
              <w:rPr>
                <w:rFonts w:ascii="Arial" w:cs="Arial" w:eastAsia="Arial" w:hAnsi="Arial"/>
                <w:sz w:val="16"/>
                <w:szCs w:val="16"/>
                <w:b w:val="1"/>
                <w:bCs w:val="1"/>
                <w:color w:val="auto"/>
                <w:w w:val="90"/>
              </w:rPr>
              <w:t>Gain on</w:t>
            </w:r>
          </w:p>
        </w:tc>
        <w:tc>
          <w:tcPr>
            <w:tcW w:w="0" w:type="dxa"/>
            <w:vAlign w:val="bottom"/>
          </w:tcPr>
          <w:p>
            <w:pPr>
              <w:spacing w:after="0"/>
              <w:rPr>
                <w:sz w:val="1"/>
                <w:szCs w:val="1"/>
                <w:color w:val="auto"/>
              </w:rPr>
            </w:pPr>
          </w:p>
        </w:tc>
      </w:tr>
      <w:tr>
        <w:trPr>
          <w:trHeight w:val="95"/>
        </w:trPr>
        <w:tc>
          <w:tcPr>
            <w:tcW w:w="3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2"/>
              </w:rPr>
              <w:t>foreign</w:t>
            </w:r>
          </w:p>
        </w:tc>
        <w:tc>
          <w:tcPr>
            <w:tcW w:w="140" w:type="dxa"/>
            <w:vAlign w:val="bottom"/>
            <w:shd w:val="clear" w:color="auto" w:fill="CCEEFF"/>
          </w:tcPr>
          <w:p>
            <w:pPr>
              <w:spacing w:after="0"/>
              <w:rPr>
                <w:sz w:val="8"/>
                <w:szCs w:val="8"/>
                <w:color w:val="auto"/>
              </w:rPr>
            </w:pPr>
          </w:p>
        </w:tc>
        <w:tc>
          <w:tcPr>
            <w:tcW w:w="124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foreign</w:t>
            </w: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ind w:right="94"/>
              <w:spacing w:after="0"/>
              <w:rPr>
                <w:sz w:val="20"/>
                <w:szCs w:val="20"/>
                <w:color w:val="auto"/>
              </w:rPr>
            </w:pPr>
            <w:r>
              <w:rPr>
                <w:rFonts w:ascii="Arial" w:cs="Arial" w:eastAsia="Arial" w:hAnsi="Arial"/>
                <w:sz w:val="16"/>
                <w:szCs w:val="16"/>
                <w:b w:val="1"/>
                <w:bCs w:val="1"/>
                <w:color w:val="auto"/>
                <w:w w:val="92"/>
              </w:rPr>
              <w:t>foreign</w:t>
            </w:r>
          </w:p>
        </w:tc>
        <w:tc>
          <w:tcPr>
            <w:tcW w:w="0" w:type="dxa"/>
            <w:vAlign w:val="bottom"/>
          </w:tcPr>
          <w:p>
            <w:pPr>
              <w:spacing w:after="0"/>
              <w:rPr>
                <w:sz w:val="1"/>
                <w:szCs w:val="1"/>
                <w:color w:val="auto"/>
              </w:rPr>
            </w:pPr>
          </w:p>
        </w:tc>
      </w:tr>
      <w:tr>
        <w:trPr>
          <w:trHeight w:val="108"/>
        </w:trPr>
        <w:tc>
          <w:tcPr>
            <w:tcW w:w="3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7"/>
              </w:rPr>
              <w:t>consolidated</w:t>
            </w:r>
          </w:p>
        </w:tc>
        <w:tc>
          <w:tcPr>
            <w:tcW w:w="18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7"/>
              </w:rPr>
              <w:t>consolidated</w:t>
            </w:r>
          </w:p>
        </w:tc>
        <w:tc>
          <w:tcPr>
            <w:tcW w:w="14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7"/>
              </w:rPr>
              <w:t>consolidated</w:t>
            </w:r>
          </w:p>
        </w:tc>
        <w:tc>
          <w:tcPr>
            <w:tcW w:w="18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shd w:val="clear" w:color="auto" w:fill="CCEEFF"/>
          </w:tcPr>
          <w:p>
            <w:pPr>
              <w:spacing w:after="0"/>
              <w:rPr>
                <w:sz w:val="8"/>
                <w:szCs w:val="8"/>
                <w:color w:val="auto"/>
              </w:rPr>
            </w:pPr>
          </w:p>
        </w:tc>
        <w:tc>
          <w:tcPr>
            <w:tcW w:w="124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currency</w:t>
            </w: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ind w:right="94"/>
              <w:spacing w:after="0"/>
              <w:rPr>
                <w:sz w:val="20"/>
                <w:szCs w:val="20"/>
                <w:color w:val="auto"/>
              </w:rPr>
            </w:pPr>
            <w:r>
              <w:rPr>
                <w:rFonts w:ascii="Arial" w:cs="Arial" w:eastAsia="Arial" w:hAnsi="Arial"/>
                <w:sz w:val="16"/>
                <w:szCs w:val="16"/>
                <w:b w:val="1"/>
                <w:bCs w:val="1"/>
                <w:color w:val="auto"/>
                <w:w w:val="91"/>
              </w:rPr>
              <w:t>currency</w:t>
            </w:r>
          </w:p>
        </w:tc>
        <w:tc>
          <w:tcPr>
            <w:tcW w:w="0" w:type="dxa"/>
            <w:vAlign w:val="bottom"/>
          </w:tcPr>
          <w:p>
            <w:pPr>
              <w:spacing w:after="0"/>
              <w:rPr>
                <w:sz w:val="1"/>
                <w:szCs w:val="1"/>
                <w:color w:val="auto"/>
              </w:rPr>
            </w:pPr>
          </w:p>
        </w:tc>
      </w:tr>
      <w:tr>
        <w:trPr>
          <w:trHeight w:val="108"/>
        </w:trPr>
        <w:tc>
          <w:tcPr>
            <w:tcW w:w="3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6"/>
              </w:rPr>
              <w:t>statements of</w:t>
            </w:r>
          </w:p>
        </w:tc>
        <w:tc>
          <w:tcPr>
            <w:tcW w:w="18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6"/>
              </w:rPr>
              <w:t>statements of</w:t>
            </w:r>
          </w:p>
        </w:tc>
        <w:tc>
          <w:tcPr>
            <w:tcW w:w="14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6"/>
              </w:rPr>
              <w:t>statements of</w:t>
            </w:r>
          </w:p>
        </w:tc>
        <w:tc>
          <w:tcPr>
            <w:tcW w:w="18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shd w:val="clear" w:color="auto" w:fill="CCEEFF"/>
          </w:tcPr>
          <w:p>
            <w:pPr>
              <w:spacing w:after="0"/>
              <w:rPr>
                <w:sz w:val="8"/>
                <w:szCs w:val="8"/>
                <w:color w:val="auto"/>
              </w:rPr>
            </w:pPr>
          </w:p>
        </w:tc>
        <w:tc>
          <w:tcPr>
            <w:tcW w:w="124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ind w:right="74"/>
              <w:spacing w:after="0"/>
              <w:rPr>
                <w:sz w:val="20"/>
                <w:szCs w:val="20"/>
                <w:color w:val="auto"/>
              </w:rPr>
            </w:pPr>
            <w:r>
              <w:rPr>
                <w:rFonts w:ascii="Arial" w:cs="Arial" w:eastAsia="Arial" w:hAnsi="Arial"/>
                <w:sz w:val="16"/>
                <w:szCs w:val="16"/>
                <w:b w:val="1"/>
                <w:bCs w:val="1"/>
                <w:color w:val="auto"/>
                <w:w w:val="86"/>
              </w:rPr>
              <w:t>exchange</w:t>
            </w:r>
          </w:p>
        </w:tc>
        <w:tc>
          <w:tcPr>
            <w:tcW w:w="0" w:type="dxa"/>
            <w:vAlign w:val="bottom"/>
          </w:tcPr>
          <w:p>
            <w:pPr>
              <w:spacing w:after="0"/>
              <w:rPr>
                <w:sz w:val="1"/>
                <w:szCs w:val="1"/>
                <w:color w:val="auto"/>
              </w:rPr>
            </w:pPr>
          </w:p>
        </w:tc>
      </w:tr>
      <w:tr>
        <w:trPr>
          <w:trHeight w:val="108"/>
        </w:trPr>
        <w:tc>
          <w:tcPr>
            <w:tcW w:w="3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shd w:val="clear" w:color="auto" w:fill="CCEEFF"/>
          </w:tcPr>
          <w:p>
            <w:pPr>
              <w:spacing w:after="0"/>
              <w:rPr>
                <w:sz w:val="8"/>
                <w:szCs w:val="8"/>
                <w:color w:val="auto"/>
              </w:rPr>
            </w:pPr>
          </w:p>
        </w:tc>
        <w:tc>
          <w:tcPr>
            <w:tcW w:w="124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ind w:right="74"/>
              <w:spacing w:after="0"/>
              <w:rPr>
                <w:sz w:val="20"/>
                <w:szCs w:val="20"/>
                <w:color w:val="auto"/>
              </w:rPr>
            </w:pPr>
            <w:r>
              <w:rPr>
                <w:rFonts w:ascii="Arial" w:cs="Arial" w:eastAsia="Arial" w:hAnsi="Arial"/>
                <w:sz w:val="16"/>
                <w:szCs w:val="16"/>
                <w:b w:val="1"/>
                <w:bCs w:val="1"/>
                <w:color w:val="auto"/>
                <w:w w:val="88"/>
              </w:rPr>
              <w:t>contracts</w:t>
            </w:r>
          </w:p>
        </w:tc>
        <w:tc>
          <w:tcPr>
            <w:tcW w:w="0" w:type="dxa"/>
            <w:vAlign w:val="bottom"/>
          </w:tcPr>
          <w:p>
            <w:pPr>
              <w:spacing w:after="0"/>
              <w:rPr>
                <w:sz w:val="1"/>
                <w:szCs w:val="1"/>
                <w:color w:val="auto"/>
              </w:rPr>
            </w:pPr>
          </w:p>
        </w:tc>
      </w:tr>
      <w:tr>
        <w:trPr>
          <w:trHeight w:val="141"/>
        </w:trPr>
        <w:tc>
          <w:tcPr>
            <w:tcW w:w="3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 hedging relationships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Location in consolidated statements of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where gain was reclassed from AOCI</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584,855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126,909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116,202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102,515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and marketing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51,981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48,566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38,549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Location in consolidated statements of income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where gain/(loss) was recognized</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Foreign exchange gain/(loss),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F-39</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 of net investment hedges on accumulated other comprehensive loss: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40" w:type="dxa"/>
            <w:vAlign w:val="bottom"/>
            <w:gridSpan w:val="7"/>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
        </w:trPr>
        <w:tc>
          <w:tcPr>
            <w:tcW w:w="6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6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gridSpan w:val="10"/>
          </w:tcPr>
          <w:p>
            <w:pPr>
              <w:ind w:left="360"/>
              <w:spacing w:after="0"/>
              <w:rPr>
                <w:sz w:val="20"/>
                <w:szCs w:val="20"/>
                <w:color w:val="auto"/>
              </w:rPr>
            </w:pPr>
            <w:r>
              <w:rPr>
                <w:rFonts w:ascii="Arial" w:cs="Arial" w:eastAsia="Arial" w:hAnsi="Arial"/>
                <w:sz w:val="16"/>
                <w:szCs w:val="16"/>
                <w:b w:val="1"/>
                <w:bCs w:val="1"/>
                <w:color w:val="auto"/>
              </w:rPr>
              <w:t>Amount of (loss) recognized in AOCI</w:t>
            </w:r>
          </w:p>
        </w:tc>
      </w:tr>
      <w:tr>
        <w:trPr>
          <w:trHeight w:val="33"/>
        </w:trPr>
        <w:tc>
          <w:tcPr>
            <w:tcW w:w="6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hedging relationships</w:t>
            </w: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4"/>
                <w:shd w:val="clear" w:color="auto" w:fill="CCEEFF"/>
              </w:rPr>
              <w:t>2019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shd w:val="clear" w:color="auto" w:fill="CCEEFF"/>
              </w:rPr>
              <w:t>2018</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shd w:val="clear" w:color="auto" w:fill="CCEEFF"/>
              </w:rPr>
              <w:t>2017</w:t>
            </w:r>
          </w:p>
        </w:tc>
        <w:tc>
          <w:tcPr>
            <w:tcW w:w="520" w:type="dxa"/>
            <w:vAlign w:val="bottom"/>
            <w:tcBorders>
              <w:bottom w:val="single" w:sz="8" w:color="CCEEFF"/>
            </w:tcBorders>
            <w:shd w:val="clear" w:color="auto" w:fill="CCEEFF"/>
          </w:tcPr>
          <w:p>
            <w:pPr>
              <w:spacing w:after="0"/>
              <w:rPr>
                <w:sz w:val="22"/>
                <w:szCs w:val="2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0"/>
              </w:rPr>
              <w:t>(580)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0"/>
              </w:rPr>
              <w:t>(580)</w:t>
            </w:r>
          </w:p>
        </w:tc>
        <w:tc>
          <w:tcPr>
            <w:tcW w:w="6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Borrowings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 Credit Agreement</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to fund the SCIO acquisition. The incremental commitments were made pursuant to (and constitute part of) the existing commitments and are subject to the terms and conditions applicable to the existing commitments as set forth in the Credit Agreement.</w:t>
      </w:r>
    </w:p>
    <w:p>
      <w:pPr>
        <w:spacing w:after="0" w:line="18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Depending on the type of borrowing, loans under the Credit Agreement bear interest at a rate equal to the specified prime rate (alternate base rate) or adjusted LIBOR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 The Credit Facility carried an effective interest rate of 4.0% per annum and 3.4% per annum, respectively, during the years ended December 31, 2019 and 2018.</w:t>
      </w:r>
    </w:p>
    <w:p>
      <w:pPr>
        <w:spacing w:after="0" w:line="1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Obligations under the Credit Agreement are guaranteed by the Company’s material domestic subsidiaries and are secured by all or substantially all of the assets of the Company and our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December 31, 2019, the Company was in compliance with all financial and non-financial covenants listed under the Credit Agreement.</w:t>
      </w:r>
    </w:p>
    <w:p>
      <w:pPr>
        <w:spacing w:after="0" w:line="1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entered into a second amendment (the “Amendment”)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the Company had outstanding indebtedness under the credit facility of $99,000 of which $40,000 is expected to be repaid within the next twelve months and is included under “current portion of long-term borrowings” and of which $59,000 is included under “long-term borrowings, less current portion” in the consolidated balance sheets. As of December 31, 2018, the Company had an outstanding indebtedness under the credit facility of $150,000, of which $20,000 was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under “current portion of long-term borrowings,” and the balance of $130,000 was included under “long-term borrowings, less current portion” in the consolidated balance sheets.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incurred certain debt issuance costs, which are deferred and amortized as an adjustment to interest expense over the term of the credit facility. The unamortized debt issuance costs as of December 31, 2019 and 2018 was $748 and $1,006, respectively and is included under “other current assets” and “other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per annum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year ended December 31, 2019 and 2018, the Company recognized interest expense of $5,206 and $1,313, respectively, on the Notes. The Notes are convertible at an initial conversion rate of 13.3333 shares of the common stock per one thousand dollar principal amount of the Notes (which represents an initial conversion price of approximately $75 per share). With certain exceptions, upon a fundamental change, as defined in the Indenture, the holders of the Notes may require that the Company to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redemption).The Company may elect to settle conversions of the Notes by paying or delivering, as the case may be, cash, shares of the Company’s common stock or a combination of cash and shares of the Company’s common stock. The Company used the proceeds from the issuance of the Notes to repay $150,000 of its outstanding borrowings under the Credit Facility.</w:t>
      </w:r>
    </w:p>
    <w:p>
      <w:pPr>
        <w:spacing w:after="0" w:line="17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net proceeds from the issuance of the Notes were approximately $149,000, after deducting debt issuance costs of $1,000 and offering expenses of approximately $442 paid by the Company. These transaction and debt issuance costs were allocated between the liability and equity components based on their relative values. The transaction costs and debt issuance costs allocated to the liability and equity components were $1,279 and $163, respectively. The debt issuance costs allocated to the liability component are deferred and amortized as an adjustment to interest expense over the term of the Notes. The unamortized debt issuance costs is presented as a direct reduction from the Notes in the consolidated balance sheets. The unamortized debt issuance costs as of December 31, 2019 and 2018 was $1,018 and $1,127, respectively.</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 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year ended December 31, 2019 and 2018, the Company amortized $2,472 and $600 respectively of the discount to interest expense, on the Notes. The unamortized debt discount on the Notes as of December 31, 2019 and 2018 was $13,851 and $16,323, respectively.</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Borrowings also includes structured payables which are in the nature of debt, amounting to $867 and $2,114 as of December 31, 2019 and 2018, respectively, of which $867 and $1,423 is included under “current portion of long-term borrowings”, $nil and $691, respectively, included under “long-term borrowings, less current portion ” in the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principal payments/maturities for all of the Company's borrowings as of December 31, 2019 were as follows:</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Structured</w:t>
            </w:r>
          </w:p>
        </w:tc>
        <w:tc>
          <w:tcPr>
            <w:tcW w:w="36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4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Notes</w:t>
            </w:r>
          </w:p>
        </w:tc>
        <w:tc>
          <w:tcPr>
            <w:tcW w:w="15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Revolver Credit</w:t>
            </w:r>
          </w:p>
        </w:tc>
        <w:tc>
          <w:tcPr>
            <w:tcW w:w="220" w:type="dxa"/>
            <w:vAlign w:val="bottom"/>
          </w:tcPr>
          <w:p>
            <w:pPr>
              <w:spacing w:after="0"/>
              <w:rPr>
                <w:sz w:val="10"/>
                <w:szCs w:val="10"/>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Payables</w:t>
            </w:r>
          </w:p>
        </w:tc>
        <w:tc>
          <w:tcPr>
            <w:tcW w:w="3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40,867</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249,867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6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December 31, 2019 and 2018, the Company had outstanding letters of credit of $461 and $nil, respectively, that were not recognized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year ended December 31, 2019 and 2018, the Company purchased 23,859 and 51,446 shares of common stock, respectively, from employees in connection with withholding tax payments related to the vesting of restricted stock for a total consideration of $1,490 and $3,122, respectively. The weighted average purchase price per share of $62.47 and $60.68, respectively, was the closing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2017 through 2019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16, 2019, the Company’s Board of Directors authorized a $200,000 common stock repurchase program beginning January 1, 2020 through December 31, 2022. The shares may be purchased by the Company from time to time from the open market and through private transactions, or otherwise, as determined by the Company’s management as market conditions warrant.</w:t>
      </w:r>
    </w:p>
    <w:p>
      <w:pPr>
        <w:spacing w:after="0" w:line="18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year ended December 31, 2019, the Company purchased 643,486 shares of its common stock for an aggregate purchase price of approximately $39,874, including commissions, representing an average purchase price per share of $61.96 under the 2017 Repurchase Program.</w:t>
      </w:r>
    </w:p>
    <w:p>
      <w:pPr>
        <w:spacing w:after="0" w:line="14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year ended December 31, 2018, the Company purchased 674,604 shares of its common stock for an aggregate purchase price of approximately $39,987, including commissions, representing an average purchase price per share of $59.27 under 2017 Repurchase Program.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not paid or declared any cash dividends on its common stock during the years ended December 31, 2019, 2018 and 2017. The Company’s line of credit with a bank could restrict, or its terms of the Notes could impair, the Company’s ability to declare or make any dividends or similar distributions.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8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benefit obligation has been measured as of December 31, 2019. The following table sets forth the activity and the funded status of the Gratuity Plans and the amounts recognized in the Company’s consolidated financial statements at the end of the relevant periods:</w:t>
      </w:r>
    </w:p>
    <w:p>
      <w:pPr>
        <w:spacing w:after="0" w:line="130"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94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as of January 1</w:t>
            </w:r>
          </w:p>
        </w:tc>
        <w:tc>
          <w:tcPr>
            <w:tcW w:w="27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Business acquisition</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Actuarial loss/(gain)</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w:t>
            </w:r>
          </w:p>
        </w:tc>
        <w:tc>
          <w:tcPr>
            <w:tcW w:w="1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Projected benefit obligation as of December 31</w:t>
            </w:r>
          </w:p>
        </w:tc>
        <w:tc>
          <w:tcPr>
            <w:tcW w:w="164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amount-non-current</w:t>
            </w:r>
          </w:p>
        </w:tc>
        <w:tc>
          <w:tcPr>
            <w:tcW w:w="27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Unfunded amount-current</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liability</w:t>
            </w:r>
          </w:p>
        </w:tc>
        <w:tc>
          <w:tcPr>
            <w:tcW w:w="16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6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940" w:type="dxa"/>
            <w:vAlign w:val="bottom"/>
          </w:tcPr>
          <w:p>
            <w:pPr>
              <w:spacing w:after="0"/>
              <w:rPr>
                <w:sz w:val="24"/>
                <w:szCs w:val="24"/>
                <w:color w:val="auto"/>
              </w:rPr>
            </w:pPr>
          </w:p>
        </w:tc>
        <w:tc>
          <w:tcPr>
            <w:tcW w:w="2760" w:type="dxa"/>
            <w:vAlign w:val="bottom"/>
            <w:gridSpan w:val="2"/>
          </w:tcPr>
          <w:p>
            <w:pPr>
              <w:jc w:val="right"/>
              <w:ind w:right="1810"/>
              <w:spacing w:after="0"/>
              <w:rPr>
                <w:sz w:val="20"/>
                <w:szCs w:val="20"/>
                <w:color w:val="auto"/>
              </w:rPr>
            </w:pPr>
            <w:r>
              <w:rPr>
                <w:rFonts w:ascii="Arial" w:cs="Arial" w:eastAsia="Arial" w:hAnsi="Arial"/>
                <w:sz w:val="18"/>
                <w:szCs w:val="18"/>
                <w:color w:val="auto"/>
              </w:rPr>
              <w:t>F-43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r>
      <w:tr>
        <w:trPr>
          <w:trHeight w:val="33"/>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645</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actuarial (gain)/loss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2,101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accumulated other comprehensive (loss)/gain, excluding tax effects, as of December 31, 2019, 2018 and 2017 are as follows:</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r>
      <w:tr>
        <w:trPr>
          <w:trHeight w:val="33"/>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(loss)/gain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Net prior service cost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(loss)/gain, excluding tax effects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$558.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actuarial assumptions used to determine benefit obligations and net gratuity cost are:</w:t>
      </w:r>
    </w:p>
    <w:p>
      <w:pPr>
        <w:spacing w:after="0" w:line="172"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37465</wp:posOffset>
            </wp:positionV>
            <wp:extent cx="2864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80"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6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33"/>
        </w:trPr>
        <w:tc>
          <w:tcPr>
            <w:tcW w:w="5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 on plan assets per annum</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16"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benefit payments during the year ending December 31,</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2021</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2,234</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2023</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2025 to 2029</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5,712</w:t>
            </w:r>
          </w:p>
        </w:tc>
      </w:tr>
    </w:tbl>
    <w:p>
      <w:pPr>
        <w:spacing w:after="0" w:line="200" w:lineRule="exact"/>
        <w:rPr>
          <w:sz w:val="20"/>
          <w:szCs w:val="20"/>
          <w:color w:val="auto"/>
        </w:rPr>
      </w:pPr>
    </w:p>
    <w:p>
      <w:pPr>
        <w:spacing w:after="0" w:line="24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7.5% per annum on these Gratuity Plans for the year ended December 31,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2018</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Business acquisition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return</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Employer contribution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7"/>
        </w:trPr>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7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December 31, 2018</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Actual return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7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Plan assets at December 31, 2019</w:t>
            </w: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8,784</w:t>
            </w:r>
          </w:p>
        </w:tc>
      </w:tr>
      <w:tr>
        <w:trPr>
          <w:trHeight w:val="27"/>
        </w:trPr>
        <w:tc>
          <w:tcPr>
            <w:tcW w:w="7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Benefits payments were substantially made through the plan assets during the year ended December 31, 2019 and 2018.</w:t>
      </w:r>
    </w:p>
    <w:p>
      <w:pPr>
        <w:spacing w:after="0" w:line="2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 of employee compensation within certain limits. The Company accrued for contributions to the 401(k) Plans of $3,617, $3,423 and $2,709 during the years ended December 31, 2019, 2018 and 2017, respectively.</w:t>
      </w:r>
    </w:p>
    <w:p>
      <w:pPr>
        <w:spacing w:after="0" w:line="18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years ended December 31, 2019, 2018 and 2017, the Company contributed $10,395, $7,614 and $7,116 respectively, for various defined contribution plans on behalf of its employees in India, the Philippines, Romania, the Czech Republic, South Africa, Colombia, and Singapore.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Leases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performed an evaluation of its contracts with suppliers in accordance with Topic 842 and has determined that, except for leases for office facilities, motor vehicles and other equipment as described above, none of the Company’s contracts contain a lease.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assessment of the lease term, the Company considers the extension option as part of its lease term for those lease arrangements where the Company is reasonably certain of availing the extension option.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lease agreements do not contain any covenant to impose any restrictions except for market-standard practice for similar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right"/>
              <w:ind w:right="911"/>
              <w:spacing w:after="0"/>
              <w:rPr>
                <w:sz w:val="20"/>
                <w:szCs w:val="20"/>
                <w:color w:val="auto"/>
              </w:rPr>
            </w:pPr>
            <w:r>
              <w:rPr>
                <w:rFonts w:ascii="Arial" w:cs="Arial" w:eastAsia="Arial" w:hAnsi="Arial"/>
                <w:sz w:val="16"/>
                <w:szCs w:val="16"/>
                <w:b w:val="1"/>
                <w:bCs w:val="1"/>
                <w:color w:val="auto"/>
              </w:rPr>
              <w:t>As of</w:t>
            </w:r>
          </w:p>
        </w:tc>
      </w:tr>
      <w:tr>
        <w:trPr>
          <w:trHeight w:val="276"/>
        </w:trPr>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jc w:val="right"/>
              <w:ind w:right="371"/>
              <w:spacing w:after="0"/>
              <w:rPr>
                <w:sz w:val="20"/>
                <w:szCs w:val="20"/>
                <w:color w:val="auto"/>
              </w:rPr>
            </w:pPr>
            <w:r>
              <w:rPr>
                <w:rFonts w:ascii="Arial" w:cs="Arial" w:eastAsia="Arial" w:hAnsi="Arial"/>
                <w:sz w:val="18"/>
                <w:szCs w:val="18"/>
                <w:b w:val="1"/>
                <w:bCs w:val="1"/>
                <w:color w:val="auto"/>
                <w:w w:val="98"/>
              </w:rPr>
              <w:t>December 31, 2019</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w:t>
            </w: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86,396</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318"/>
        </w:trPr>
        <w:tc>
          <w:tcPr>
            <w:tcW w:w="8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24,148</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74,709</w:t>
            </w:r>
          </w:p>
        </w:tc>
      </w:tr>
      <w:tr>
        <w:trPr>
          <w:trHeight w:val="237"/>
        </w:trPr>
        <w:tc>
          <w:tcPr>
            <w:tcW w:w="8400" w:type="dxa"/>
            <w:vAlign w:val="bottom"/>
          </w:tcPr>
          <w:p>
            <w:pPr>
              <w:ind w:left="18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98,857</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318"/>
        </w:trPr>
        <w:tc>
          <w:tcPr>
            <w:tcW w:w="8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Finance Lease</w:t>
            </w: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318"/>
        </w:trPr>
        <w:tc>
          <w:tcPr>
            <w:tcW w:w="8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 -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Finance lease liabilities - Non-current</w:t>
            </w:r>
          </w:p>
        </w:tc>
        <w:tc>
          <w:tcPr>
            <w:tcW w:w="28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year ended December 31, 2019, the Company performed an impairment test of its long-lived assets related to its Health Integrated business. Based on the results, the operating lease right-of-use assets carrying value exceeded its fair value. The primary factor contributing to a reduction in the fair value is the wind down of the Health Integrated business, due to an anticipated reduction to the Company's estimated future cash flows. As a result of this analysis, the Company recognized an impairment charge of $1,449 during year ended December 31, 2019, to write down the carrying value of operating lease right-of-use assets to its fair value. This impairment charge was recorded in the consolidated statements of income under "Impairment and restructuring charges". Refer to Note 24 to the consolidated financial statements for further details.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cost, which are included in the Company's consolidated statements of income, are as follows:</w:t>
      </w:r>
    </w:p>
    <w:p>
      <w:pPr>
        <w:spacing w:after="0" w:line="38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Lease cost</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4"/>
        </w:trPr>
        <w:tc>
          <w:tcPr>
            <w:tcW w:w="7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7"/>
        </w:trPr>
        <w:tc>
          <w:tcPr>
            <w:tcW w:w="74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40"/>
              <w:spacing w:after="0"/>
              <w:rPr>
                <w:sz w:val="20"/>
                <w:szCs w:val="20"/>
                <w:color w:val="auto"/>
              </w:rPr>
            </w:pPr>
            <w:r>
              <w:rPr>
                <w:rFonts w:ascii="Arial" w:cs="Arial" w:eastAsia="Arial" w:hAnsi="Arial"/>
                <w:sz w:val="18"/>
                <w:szCs w:val="18"/>
                <w:color w:val="auto"/>
              </w:rPr>
              <w:t>Amortization of right-of-use assets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7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70"/>
        </w:trPr>
        <w:tc>
          <w:tcPr>
            <w:tcW w:w="7460" w:type="dxa"/>
            <w:vAlign w:val="bottom"/>
          </w:tcPr>
          <w:p>
            <w:pPr>
              <w:ind w:left="20"/>
              <w:spacing w:after="0" w:line="270" w:lineRule="exact"/>
              <w:rPr>
                <w:sz w:val="20"/>
                <w:szCs w:val="20"/>
                <w:color w:val="auto"/>
              </w:rPr>
            </w:pPr>
            <w:r>
              <w:rPr>
                <w:rFonts w:ascii="Arial" w:cs="Arial" w:eastAsia="Arial" w:hAnsi="Arial"/>
                <w:sz w:val="18"/>
                <w:szCs w:val="18"/>
                <w:b w:val="1"/>
                <w:bCs w:val="1"/>
                <w:color w:val="auto"/>
              </w:rPr>
              <w:t>Operating lease</w:t>
            </w:r>
            <w:r>
              <w:rPr>
                <w:rFonts w:ascii="Arial" w:cs="Arial" w:eastAsia="Arial" w:hAnsi="Arial"/>
                <w:sz w:val="25"/>
                <w:szCs w:val="25"/>
                <w:b w:val="1"/>
                <w:bCs w:val="1"/>
                <w:color w:val="auto"/>
                <w:vertAlign w:val="superscript"/>
              </w:rPr>
              <w:t>(a)</w:t>
            </w:r>
          </w:p>
        </w:tc>
        <w:tc>
          <w:tcPr>
            <w:tcW w:w="5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27,335</w:t>
            </w: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Sublease income</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Total lease cost</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27,537</w:t>
            </w:r>
          </w:p>
        </w:tc>
      </w:tr>
      <w:tr>
        <w:trPr>
          <w:trHeight w:val="20"/>
        </w:trPr>
        <w:tc>
          <w:tcPr>
            <w:tcW w:w="7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Operating lease cost for leases classified as such under Topic 840 for the years ended December 31, 2018, and 2017 was $25,573 and $24,015,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Includes short-term leases, which are immaterial.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Supplemental cash flow and other information related to leases are as follows:</w:t>
      </w:r>
    </w:p>
    <w:p>
      <w:pPr>
        <w:spacing w:after="0" w:line="200" w:lineRule="exact"/>
        <w:rPr>
          <w:sz w:val="20"/>
          <w:szCs w:val="20"/>
          <w:color w:val="auto"/>
        </w:rPr>
      </w:pPr>
    </w:p>
    <w:p>
      <w:pPr>
        <w:spacing w:after="0" w:line="242"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ind w:right="692"/>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payments for amounts included in the measurement of lease liabilities :</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cash outflows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24,813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cash outflows for finance leases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cash outflows for 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336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Right-of-use assets obtained in exchange for new operating lease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36,473</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506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Weighted-average remaining lease term</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Finance lease</w:t>
            </w:r>
          </w:p>
        </w:tc>
        <w:tc>
          <w:tcPr>
            <w:tcW w:w="30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2.3 years</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lease</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 years</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Finance lease</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lease</w:t>
            </w:r>
          </w:p>
        </w:tc>
        <w:tc>
          <w:tcPr>
            <w:tcW w:w="3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pacing w:after="0" w:line="33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December 31, 2019, the Company has entered into an operating lease for a facility that has not yet commenced with lease liability of approximately $11,900. This operating lease will commence in January 2020 and has a lease term of 15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Maturities of lease liabilities as of December 31, 2019 are as follows:</w:t>
      </w:r>
    </w:p>
    <w:p>
      <w:pPr>
        <w:spacing w:after="0" w:line="18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Operating Leases</w:t>
            </w:r>
          </w:p>
        </w:tc>
        <w:tc>
          <w:tcPr>
            <w:tcW w:w="300" w:type="dxa"/>
            <w:vAlign w:val="bottom"/>
          </w:tcPr>
          <w:p>
            <w:pPr>
              <w:spacing w:after="0"/>
              <w:rPr>
                <w:sz w:val="18"/>
                <w:szCs w:val="18"/>
                <w:color w:val="auto"/>
              </w:rPr>
            </w:pPr>
          </w:p>
        </w:tc>
        <w:tc>
          <w:tcPr>
            <w:tcW w:w="1700" w:type="dxa"/>
            <w:vAlign w:val="bottom"/>
          </w:tcPr>
          <w:p>
            <w:pPr>
              <w:jc w:val="right"/>
              <w:ind w:right="391"/>
              <w:spacing w:after="0"/>
              <w:rPr>
                <w:sz w:val="20"/>
                <w:szCs w:val="20"/>
                <w:color w:val="auto"/>
              </w:rPr>
            </w:pPr>
            <w:r>
              <w:rPr>
                <w:rFonts w:ascii="Arial" w:cs="Arial" w:eastAsia="Arial" w:hAnsi="Arial"/>
                <w:sz w:val="16"/>
                <w:szCs w:val="16"/>
                <w:b w:val="1"/>
                <w:bCs w:val="1"/>
                <w:color w:val="auto"/>
              </w:rPr>
              <w:t>Finance Leases</w:t>
            </w:r>
          </w:p>
        </w:tc>
      </w:tr>
      <w:tr>
        <w:trPr>
          <w:trHeight w:val="33"/>
        </w:trPr>
        <w:tc>
          <w:tcPr>
            <w:tcW w:w="3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2021</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23,783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3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2023</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3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23,983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37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3720" w:type="dxa"/>
            <w:vAlign w:val="bottom"/>
          </w:tcPr>
          <w:p>
            <w:pPr>
              <w:spacing w:after="0"/>
              <w:rPr>
                <w:sz w:val="24"/>
                <w:szCs w:val="24"/>
                <w:color w:val="auto"/>
              </w:rPr>
            </w:pPr>
          </w:p>
        </w:tc>
        <w:tc>
          <w:tcPr>
            <w:tcW w:w="3040" w:type="dxa"/>
            <w:vAlign w:val="bottom"/>
            <w:gridSpan w:val="2"/>
          </w:tcPr>
          <w:p>
            <w:pPr>
              <w:jc w:val="right"/>
              <w:ind w:right="1280"/>
              <w:spacing w:after="0"/>
              <w:rPr>
                <w:sz w:val="20"/>
                <w:szCs w:val="20"/>
                <w:color w:val="auto"/>
              </w:rPr>
            </w:pPr>
            <w:r>
              <w:rPr>
                <w:rFonts w:ascii="Arial" w:cs="Arial" w:eastAsia="Arial" w:hAnsi="Arial"/>
                <w:sz w:val="18"/>
                <w:szCs w:val="18"/>
                <w:color w:val="auto"/>
              </w:rPr>
              <w:t>F-47</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w w:val="88"/>
              </w:rPr>
              <w:t>Maturities of minimum lease payments as of December 31, 2018 are as follows: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During the next twelve months ending December 31,</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3"/>
              </w:rPr>
              <w:t>Operating Leases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auto"/>
                <w:w w:val="98"/>
              </w:rPr>
              <w:t>Capital Leases</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2019</w:t>
            </w: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820" w:type="dxa"/>
            <w:vAlign w:val="bottom"/>
            <w:gridSpan w:val="2"/>
          </w:tcPr>
          <w:p>
            <w:pPr>
              <w:ind w:left="400"/>
              <w:spacing w:after="0"/>
              <w:rPr>
                <w:sz w:val="20"/>
                <w:szCs w:val="20"/>
                <w:color w:val="auto"/>
              </w:rPr>
            </w:pPr>
            <w:r>
              <w:rPr>
                <w:rFonts w:ascii="Arial" w:cs="Arial" w:eastAsia="Arial" w:hAnsi="Arial"/>
                <w:sz w:val="18"/>
                <w:szCs w:val="18"/>
                <w:color w:val="auto"/>
                <w:w w:val="99"/>
              </w:rPr>
              <w:t>2020</w:t>
            </w:r>
          </w:p>
        </w:tc>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2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2021</w:t>
            </w: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20" w:type="dxa"/>
            <w:vAlign w:val="bottom"/>
            <w:gridSpan w:val="2"/>
          </w:tcPr>
          <w:p>
            <w:pPr>
              <w:ind w:left="400"/>
              <w:spacing w:after="0"/>
              <w:rPr>
                <w:sz w:val="20"/>
                <w:szCs w:val="20"/>
                <w:color w:val="auto"/>
              </w:rPr>
            </w:pPr>
            <w:r>
              <w:rPr>
                <w:rFonts w:ascii="Arial" w:cs="Arial" w:eastAsia="Arial" w:hAnsi="Arial"/>
                <w:sz w:val="18"/>
                <w:szCs w:val="18"/>
                <w:color w:val="auto"/>
                <w:w w:val="99"/>
              </w:rPr>
              <w:t>2022</w:t>
            </w:r>
          </w:p>
        </w:tc>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20" w:type="dxa"/>
            <w:vAlign w:val="bottom"/>
            <w:gridSpan w:val="2"/>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2023</w:t>
            </w: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20" w:type="dxa"/>
            <w:vAlign w:val="bottom"/>
            <w:gridSpan w:val="2"/>
          </w:tcPr>
          <w:p>
            <w:pPr>
              <w:ind w:left="400"/>
              <w:spacing w:after="0"/>
              <w:rPr>
                <w:sz w:val="20"/>
                <w:szCs w:val="20"/>
                <w:color w:val="auto"/>
              </w:rPr>
            </w:pPr>
            <w:r>
              <w:rPr>
                <w:rFonts w:ascii="Arial" w:cs="Arial" w:eastAsia="Arial" w:hAnsi="Arial"/>
                <w:sz w:val="18"/>
                <w:szCs w:val="18"/>
                <w:color w:val="auto"/>
                <w:w w:val="99"/>
              </w:rPr>
              <w:t>2024</w:t>
            </w:r>
          </w:p>
        </w:tc>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Total minimum lease payment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Long term capital lease obligation</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NA</w:t>
            </w:r>
          </w:p>
        </w:tc>
        <w:tc>
          <w:tcPr>
            <w:tcW w:w="3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22. Income Taxes</w:t>
            </w: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2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5860" w:type="dxa"/>
            <w:vAlign w:val="bottom"/>
            <w:gridSpan w:val="2"/>
          </w:tcPr>
          <w:p>
            <w:pPr>
              <w:ind w:left="60"/>
              <w:spacing w:after="0"/>
              <w:rPr>
                <w:sz w:val="20"/>
                <w:szCs w:val="20"/>
                <w:color w:val="auto"/>
              </w:rPr>
            </w:pPr>
            <w:r>
              <w:rPr>
                <w:rFonts w:ascii="Arial" w:cs="Arial" w:eastAsia="Arial" w:hAnsi="Arial"/>
                <w:sz w:val="18"/>
                <w:szCs w:val="18"/>
                <w:color w:val="auto"/>
              </w:rPr>
              <w:t>The components of income before income taxes consist of the following:</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51"/>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60" w:type="dxa"/>
            <w:vAlign w:val="bottom"/>
            <w:gridSpan w:val="2"/>
          </w:tcPr>
          <w:p>
            <w:pPr>
              <w:jc w:val="right"/>
              <w:ind w:right="16"/>
              <w:spacing w:after="0"/>
              <w:rPr>
                <w:sz w:val="20"/>
                <w:szCs w:val="20"/>
                <w:color w:val="auto"/>
              </w:rPr>
            </w:pPr>
            <w:r>
              <w:rPr>
                <w:rFonts w:ascii="Arial" w:cs="Arial" w:eastAsia="Arial" w:hAnsi="Arial"/>
                <w:sz w:val="18"/>
                <w:szCs w:val="18"/>
                <w:color w:val="auto"/>
              </w:rPr>
              <w:t>99,785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84,812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80,408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83,100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60,370</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85,034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0" w:type="dxa"/>
            <w:vAlign w:val="bottom"/>
          </w:tcPr>
          <w:p>
            <w:pPr>
              <w:spacing w:after="0" w:line="20" w:lineRule="exact"/>
              <w:rPr>
                <w:sz w:val="1"/>
                <w:szCs w:val="1"/>
                <w:color w:val="auto"/>
              </w:rPr>
            </w:pPr>
          </w:p>
        </w:tc>
        <w:tc>
          <w:tcPr>
            <w:tcW w:w="5860" w:type="dxa"/>
            <w:vAlign w:val="bottom"/>
            <w:gridSpan w:val="2"/>
            <w:vMerge w:val="restart"/>
          </w:tcPr>
          <w:p>
            <w:pPr>
              <w:ind w:left="60"/>
              <w:spacing w:after="0"/>
              <w:rPr>
                <w:sz w:val="20"/>
                <w:szCs w:val="20"/>
                <w:color w:val="auto"/>
              </w:rPr>
            </w:pPr>
            <w:r>
              <w:rPr>
                <w:rFonts w:ascii="Arial" w:cs="Arial" w:eastAsia="Arial" w:hAnsi="Arial"/>
                <w:sz w:val="18"/>
                <w:szCs w:val="18"/>
                <w:color w:val="auto"/>
              </w:rPr>
              <w:t>The income tax expense consists of the following:</w:t>
            </w: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 w:type="dxa"/>
            <w:vAlign w:val="bottom"/>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51"/>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
              <w:spacing w:after="0"/>
              <w:rPr>
                <w:sz w:val="20"/>
                <w:szCs w:val="20"/>
                <w:color w:val="auto"/>
              </w:rPr>
            </w:pPr>
            <w:r>
              <w:rPr>
                <w:rFonts w:ascii="Arial" w:cs="Arial" w:eastAsia="Arial" w:hAnsi="Arial"/>
                <w:sz w:val="18"/>
                <w:szCs w:val="18"/>
                <w:color w:val="auto"/>
              </w:rPr>
              <w:t>10,823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(13,249)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17,407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16,694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17,271</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27,517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4,022</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35,415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(13,912)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2,618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(12,345)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15,172</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36,146</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4720"/>
              <w:spacing w:after="0"/>
              <w:rPr>
                <w:sz w:val="20"/>
                <w:szCs w:val="20"/>
                <w:color w:val="auto"/>
              </w:rPr>
            </w:pPr>
            <w:r>
              <w:rPr>
                <w:rFonts w:ascii="Arial" w:cs="Arial" w:eastAsia="Arial" w:hAnsi="Arial"/>
                <w:sz w:val="18"/>
                <w:szCs w:val="18"/>
                <w:color w:val="auto"/>
              </w:rPr>
              <w:t>F-48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121" w:right="5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taxes recognized in other comprehensive income are as follows: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gridSpan w:val="6"/>
          </w:tcPr>
          <w:p>
            <w:pPr>
              <w:jc w:val="right"/>
              <w:ind w:right="230"/>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taxes (expense)/benefit :</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Unrealized gain/(loss) on cash flow hedges</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(391)</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Total Income tax (expense)/benefit recognized in other</w:t>
            </w:r>
          </w:p>
        </w:tc>
        <w:tc>
          <w:tcPr>
            <w:tcW w:w="980" w:type="dxa"/>
            <w:vAlign w:val="bottom"/>
            <w:tcBorders>
              <w:top w:val="single" w:sz="8" w:color="auto"/>
            </w:tcBorders>
            <w:vMerge w:val="restart"/>
          </w:tcPr>
          <w:p>
            <w:pPr>
              <w:jc w:val="right"/>
              <w:ind w:right="7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46"/>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17"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tax holiday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Unrecognized tax benefits and interest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Tax Reform Act impact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29,185</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Excess tax benefit on stock-based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(9,797)</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&amp; Development credit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Prior period items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Tax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36,146</w:t>
            </w:r>
          </w:p>
        </w:tc>
      </w:tr>
      <w:tr>
        <w:trPr>
          <w:trHeight w:val="27"/>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The Company recorded income tax expense of $15,172 and $3,397 for the year ended December 31, 2019 and 2018, respectively. The effective tax rate increased from 5.6% during the year ended December 31, 2018 to 18.3% during the year ended December 31, 2019 primarily as a result of: (i) recording of a one-time tax benefit of $6,274 with respect to unused 2018 foreign branch income tax credits under the Internal Revenue Code of 1986, as amended, during the year ended December 31, 2018, (ii) recording of higher excess tax benefits related to stock awards of $7,227 pursuant to ASU No. 2016-09 during the year ended December 31, 2018 compared to $2,306 during the year ended December 31, 2019, (iii) lower tax expense of $3,072 on account of impairment and restructuring charges recorded during the year ended December 31, 2018 compared to $888 during the year ended December 31, 2019, partially offset by</w:t>
      </w:r>
    </w:p>
    <w:p>
      <w:pPr>
        <w:spacing w:after="0" w:line="5" w:lineRule="exact"/>
        <w:rPr>
          <w:sz w:val="20"/>
          <w:szCs w:val="20"/>
          <w:color w:val="auto"/>
        </w:rPr>
      </w:pPr>
    </w:p>
    <w:p>
      <w:pPr>
        <w:ind w:right="20" w:firstLine="8"/>
        <w:spacing w:after="0" w:line="261" w:lineRule="auto"/>
        <w:tabs>
          <w:tab w:leader="none" w:pos="3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tax exemptions/incentives and a lower tax rate for qualifying Indian subsidiaries due to a change in legislation during the year ended December 31, 2019.</w:t>
      </w:r>
    </w:p>
    <w:p>
      <w:pPr>
        <w:spacing w:after="0" w:line="18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year 2018, the Company made an election to change the tax status of most of its controlled foreign corporations (“CFC”) to disregarded entities for U.S. income tax purposes. As a result, the Company no longer has undistributed earnings in connection with these CFCs. The Transition Tax resulted in previously taxed income (“PTI”) which may be subject to withholding taxes and currency gains or losses upon repatriation. The Company presently does not intend to distribute its PTI and has not recorded any deferred taxes related to its investment in foreign subsidiaries. If, in the future, the Company changes its present intention regarding the distribution of PTI, additional taxes may be required and would be recorded in the period the intention changes. The Company has adopted an accounting policy to treat Global Intangible Low-Taxed Income (“GILTI”) as a period cost.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Certain operations centers in India, which were established in Special Economic Zones (“SEZs”), are eligible for tax incentives until 2025. These operations centers are eligible for a 100% income tax exemption for first 5 years of operations and 50% exemption for a period of 5 years thereafter.</w:t>
      </w:r>
    </w:p>
    <w:p>
      <w:pPr>
        <w:spacing w:after="0" w:line="14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2019, the Government of India introduced a new tax regime for certain Indian companies by enacting the Taxation Laws (Amendment) Act, 2019. The new tax regime is optional and provides for a lower tax rate for Indian companies, subject to certain conditions which among other things includes not availing of specified exemptions or incentives. Some of the Indian subsidiaries have opted for the new tax regime to obtain the benefit of a lower tax rate.</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also benefitted from a corporate tax holiday in the Philippines for our operations centers established there over the last several years. The tax holiday expired for few of our centers in 2014, 2016, 2018 and in 2019 and will expire for other centers by year 2022, which may lead to an increase in our overall tax rate. Following the expiry of the tax exemption, income generated from centers in the Philippines will be taxed at the prevailing annual tax rate, which is currently 5.0% on gross income.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diluted earnings per share effect of the tax holiday is $0.17, $0.16 and $0.13 for the years ended December 31, 2019, 2018 and 2017, respectively.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deferred tax balances as of December 31, 2019 and 2018 are as follows: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64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20"/>
                <w:szCs w:val="20"/>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12,319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3,731</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8,614</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Accrued employee costs and other expenses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3,596</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 forward</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Unrealized exchange loss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6,671</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1,380</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27,360</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27,261</w:t>
            </w:r>
          </w:p>
        </w:tc>
      </w:tr>
      <w:tr>
        <w:trPr>
          <w:trHeight w:val="291"/>
        </w:trPr>
        <w:tc>
          <w:tcPr>
            <w:tcW w:w="6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Unrealized exchange gain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19,289</w:t>
            </w: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Unamortized discount on convertible senior notes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4,105</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5,595</w:t>
            </w:r>
          </w:p>
        </w:tc>
      </w:tr>
      <w:tr>
        <w:trPr>
          <w:trHeight w:val="237"/>
        </w:trPr>
        <w:tc>
          <w:tcPr>
            <w:tcW w:w="6240" w:type="dxa"/>
            <w:vAlign w:val="bottom"/>
          </w:tcPr>
          <w:p>
            <w:pPr>
              <w:ind w:left="30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29,104</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2019 and 2018, the Company performed an analysis of the deferred tax asset valuation allowance for net operating loss carry forward for its domestic and foreign entities. Based on this analysis, the Company continues to carry a valuation allowance on the deferred tax assets on certain net operating loss carry forwards. Accordingly, the Company had recorded a valuation allowance of $202 and $20 as of December 31, 2019 and 2018, respectively. The Company also recorded a valuation allowance of $nil and $79 related to the tax credit carry forward as of December 31, 2019 and 2018, respectively.</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in connection with its recent acquisitions has acquired federal and state net operating losses in the United States. As of December 31, 2019 and 2018, the Company has federal net operating loss carry forward of $nil and $444, respectively, which expire through various years until 2032. The Company’s federal net operating losses carry forward are subject to certain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 utilization limitations under Section 382 of the Code. The Company also has state and local net operating losses carry forwards of varying amounts, which are subject to limitations under the applicable rules and regulations of those taxing jurisdictions. The Company estimates that it will be able to utilize substantially all of the losses before their expiration.</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income tax expense also includes the impact of provisions established for uncertain income tax positions determined in accordance with ASC 740.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the unrecognized tax benefits for the years ended December 31, 2019, 2018 and 2017.</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w:t>
            </w: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tax benefits as of December 31, 2019 of $1,047, if recognized, would impact the effective tax rate.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not recognized any interest in each of the years ended December 31, 2019, 2018 and 2017. As of December 31, 2019 and 2018, the Company has not accrued interest and penalties relating to unrecognized tax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Stock Based Compensation</w:t>
      </w:r>
    </w:p>
    <w:p>
      <w:pPr>
        <w:spacing w:after="0" w:line="3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June 15, 2018, at the Company’s 2018 Annual Meeting of Stockholders, the Company's stockholders approved the 2018 Plan, which replaced and superseded the 2015 Plan, which was an amendment and restatement of the Company’s 2006 Omnibus Award Plan to, among other things, reserves 3,175,000 shares of the Company’s common stock for grants of awards under the 2018 Plan. As of December 31, 2019, the Company had 2,785,763 shares available for grant under the 2018 Plan (includes 99,378 shares against vested performance-based restricted stock units for which the underlying common stock was issued subsequent to December 31, 2019).</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2018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The equity awards of the type restricted stock units generally vest proportionally over a period of four years from the date of grant, unless specified otherwise.</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The Company applies the provisions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account for its stock based compensation, using the modified prospective method of transition. Under the provisions of this guidance, the estimated fair value of stock-based awards granted under stock incentive plans is recognized as compensation expense based on straight-line method over the vesting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statements of income:</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4,600</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10,363</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8,078</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23,901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23,041</w:t>
            </w:r>
          </w:p>
        </w:tc>
      </w:tr>
      <w:tr>
        <w:trPr>
          <w:trHeight w:val="27"/>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All stock-based payment awards are amortized on a straight-line basis over the requisite service period of the awards, which is generally the vesting period. The Company accounts for the forfeitures as and when the actual forfeitures occur.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7"/>
                <w:szCs w:val="17"/>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Average Exercise</w:t>
            </w: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Options</w:t>
            </w:r>
          </w:p>
        </w:tc>
        <w:tc>
          <w:tcPr>
            <w:tcW w:w="14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Intrinsic Value</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Contractual Life</w:t>
            </w:r>
          </w:p>
        </w:tc>
        <w:tc>
          <w:tcPr>
            <w:tcW w:w="0" w:type="dxa"/>
            <w:vAlign w:val="bottom"/>
          </w:tcPr>
          <w:p>
            <w:pPr>
              <w:spacing w:after="0"/>
              <w:rPr>
                <w:sz w:val="1"/>
                <w:szCs w:val="1"/>
                <w:color w:val="auto"/>
              </w:rPr>
            </w:pPr>
          </w:p>
        </w:tc>
      </w:tr>
      <w:tr>
        <w:trPr>
          <w:trHeight w:val="100"/>
        </w:trPr>
        <w:tc>
          <w:tcPr>
            <w:tcW w:w="56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December 31, 2019</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98,161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unrecognized compensation cost for unvested options as of December 31, 2019 is $nil. The Company did not grant any options during the years ended December 31, 2019, 2018 and 2017. The aggregate intrinsic value of options exercised during the years ended December 31, 2019, 2018 and 2017 was $3,187, $4,446 and $23,027,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stock options outstanding, vested and exercisable at December 31, 2019:</w:t>
      </w:r>
    </w:p>
    <w:p>
      <w:pPr>
        <w:spacing w:after="0" w:line="172"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Options Outstanding, Vested and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37465</wp:posOffset>
            </wp:positionV>
            <wp:extent cx="25215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4"/>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7400" w:type="dxa"/>
            <w:vAlign w:val="bottom"/>
          </w:tcPr>
          <w:p>
            <w:pPr>
              <w:spacing w:after="0"/>
              <w:rPr>
                <w:sz w:val="17"/>
                <w:szCs w:val="17"/>
                <w:color w:val="auto"/>
              </w:rPr>
            </w:pPr>
          </w:p>
        </w:tc>
        <w:tc>
          <w:tcPr>
            <w:tcW w:w="1260" w:type="dxa"/>
            <w:vAlign w:val="bottom"/>
          </w:tcPr>
          <w:p>
            <w:pPr>
              <w:ind w:left="720"/>
              <w:spacing w:after="0"/>
              <w:rPr>
                <w:sz w:val="20"/>
                <w:szCs w:val="20"/>
                <w:color w:val="auto"/>
              </w:rPr>
            </w:pPr>
            <w:r>
              <w:rPr>
                <w:rFonts w:ascii="Arial" w:cs="Arial" w:eastAsia="Arial" w:hAnsi="Arial"/>
                <w:sz w:val="16"/>
                <w:szCs w:val="16"/>
                <w:b w:val="1"/>
                <w:bCs w:val="1"/>
                <w:color w:val="auto"/>
                <w:w w:val="97"/>
              </w:rPr>
              <w:t>Shares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866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214"/>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74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$15.00 to $21.00</w:t>
            </w: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18.89</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$21.01 to $28.00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83,268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24.20</w:t>
            </w:r>
          </w:p>
        </w:tc>
      </w:tr>
      <w:tr>
        <w:trPr>
          <w:trHeight w:val="27"/>
        </w:trPr>
        <w:tc>
          <w:tcPr>
            <w:tcW w:w="74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98,161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20"/>
          </w:cols>
          <w:pgMar w:left="240" w:top="121"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stock-based compensation plans is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980" w:type="dxa"/>
            <w:vAlign w:val="bottom"/>
            <w:gridSpan w:val="5"/>
          </w:tcPr>
          <w:p>
            <w:pPr>
              <w:ind w:left="880"/>
              <w:spacing w:after="0"/>
              <w:rPr>
                <w:sz w:val="20"/>
                <w:szCs w:val="20"/>
                <w:color w:val="auto"/>
              </w:rPr>
            </w:pPr>
            <w:r>
              <w:rPr>
                <w:rFonts w:ascii="Arial" w:cs="Arial" w:eastAsia="Arial" w:hAnsi="Arial"/>
                <w:sz w:val="16"/>
                <w:szCs w:val="16"/>
                <w:b w:val="1"/>
                <w:bCs w:val="1"/>
                <w:color w:val="auto"/>
              </w:rPr>
              <w:t>Restricted Stock</w:t>
            </w:r>
          </w:p>
        </w:tc>
        <w:tc>
          <w:tcPr>
            <w:tcW w:w="28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Restricted Stock Units</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5620" w:type="dxa"/>
            <w:vAlign w:val="bottom"/>
          </w:tcPr>
          <w:p>
            <w:pPr>
              <w:spacing w:after="0"/>
              <w:rPr>
                <w:sz w:val="17"/>
                <w:szCs w:val="17"/>
                <w:color w:val="auto"/>
              </w:rPr>
            </w:pPr>
          </w:p>
        </w:tc>
        <w:tc>
          <w:tcPr>
            <w:tcW w:w="150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Outstanding at December 31, 2018</w:t>
            </w:r>
            <w:r>
              <w:rPr>
                <w:rFonts w:ascii="Arial" w:cs="Arial" w:eastAsia="Arial" w:hAnsi="Arial"/>
                <w:sz w:val="25"/>
                <w:szCs w:val="25"/>
                <w:color w:val="auto"/>
                <w:vertAlign w:val="superscript"/>
              </w:rPr>
              <w:t>**</w:t>
            </w: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103,623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42.68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953,578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51.81</w:t>
            </w: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512,598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64.29</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Vested</w:t>
            </w:r>
            <w:r>
              <w:rPr>
                <w:rFonts w:ascii="Arial" w:cs="Arial" w:eastAsia="Arial" w:hAnsi="Arial"/>
                <w:sz w:val="25"/>
                <w:szCs w:val="25"/>
                <w:color w:val="auto"/>
                <w:vertAlign w:val="superscript"/>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47.43</w:t>
            </w: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(151,386)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58.52</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Outstanding at December 31, 2019</w:t>
            </w:r>
            <w:r>
              <w:rPr>
                <w:rFonts w:ascii="Arial" w:cs="Arial" w:eastAsia="Arial" w:hAnsi="Arial"/>
                <w:sz w:val="25"/>
                <w:szCs w:val="25"/>
                <w:color w:val="auto"/>
                <w:vertAlign w:val="superscript"/>
              </w:rPr>
              <w:t>**</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27,384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48.72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914,293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59.62</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left="180" w:right="20" w:hanging="172"/>
        <w:spacing w:after="0" w:line="275" w:lineRule="auto"/>
        <w:tabs>
          <w:tab w:leader="none" w:pos="139"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10,318 and 9,641 restricted stock units vested during the years ended December 31, 2019 and 2018, respectively, for which the underlying common stock is yet to be issued.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As of December 31, 2019 and 2018 restricted stock units vested for which the underlying common stock is yet to be issued are 166,071 and 155,753, respectively.</w:t>
      </w:r>
    </w:p>
    <w:p>
      <w:pPr>
        <w:spacing w:after="0" w:line="2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2019, unrecognized compensation cost of $39,886 is expected to be expensed over a weighted average period of 2.56 years. The weighted-average fair value of restricted stock and restricted stock units granted during the years ended December 31, 2019, 2018 and 2017 was $64.29, $60.64 and $48.02, respectively. The total grant date fair value of restricted stock and restricted stock units vested during the years ended December 31, 2019, 2018 and 2017 was $22,084, $19,865 and $19,430,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2018 Plan, the Company grants performance-based restricted stock units (“PRSUs”) to executive officers and other specified employees. 50% of the PRSUs cliff vest at the end of a three-year period based on an aggregated revenue target for a three year period (“PUs”). The remaining 50% is based on a market condition (“MUs”) that is contingent on the Company's meeting the total shareholder return (“TSR”) relative to a group of peer companies specified under the program measured over a three-year performance period. The award recipient may earn up to two hundred percent (200%) of the PRSUs granted based on the actual achievement of targets.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grant date fair value for the MUs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Monte Carlo simulation model simulates a range of possible future stock prices and estimates the probabilities of the potential payouts. This model also incorporates the following ranges of assumptions:</w:t>
      </w:r>
    </w:p>
    <w:p>
      <w:pPr>
        <w:spacing w:after="0" w:line="62" w:lineRule="exact"/>
        <w:rPr>
          <w:sz w:val="20"/>
          <w:szCs w:val="20"/>
          <w:color w:val="auto"/>
        </w:rPr>
      </w:pPr>
    </w:p>
    <w:p>
      <w:pPr>
        <w:ind w:left="640" w:hanging="321"/>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76" w:lineRule="exact"/>
        <w:rPr>
          <w:rFonts w:ascii="Arial" w:cs="Arial" w:eastAsia="Arial" w:hAnsi="Arial"/>
          <w:sz w:val="18"/>
          <w:szCs w:val="18"/>
          <w:color w:val="auto"/>
        </w:rPr>
      </w:pPr>
    </w:p>
    <w:p>
      <w:pPr>
        <w:ind w:left="640" w:right="560" w:hanging="321"/>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8"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each MU granted to employees is estimated on the date of grant using the following weighted average assumptions: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380" w:type="dxa"/>
            <w:vAlign w:val="bottom"/>
            <w:gridSpan w:val="5"/>
          </w:tcPr>
          <w:p>
            <w:pPr>
              <w:ind w:left="138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300" w:type="dxa"/>
            <w:vAlign w:val="bottom"/>
          </w:tcPr>
          <w:p>
            <w:pPr>
              <w:spacing w:after="0"/>
              <w:rPr>
                <w:sz w:val="20"/>
                <w:szCs w:val="20"/>
                <w:color w:val="auto"/>
              </w:rPr>
            </w:pPr>
          </w:p>
        </w:tc>
        <w:tc>
          <w:tcPr>
            <w:tcW w:w="14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33"/>
        </w:trPr>
        <w:tc>
          <w:tcPr>
            <w:tcW w:w="5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2.86</w:t>
            </w:r>
          </w:p>
        </w:tc>
      </w:tr>
      <w:tr>
        <w:trPr>
          <w:trHeight w:val="27"/>
        </w:trPr>
        <w:tc>
          <w:tcPr>
            <w:tcW w:w="5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4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23.78%</w:t>
            </w:r>
          </w:p>
        </w:tc>
      </w:tr>
    </w:tbl>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820" w:type="dxa"/>
            <w:vAlign w:val="bottom"/>
            <w:gridSpan w:val="5"/>
          </w:tcPr>
          <w:p>
            <w:pPr>
              <w:ind w:left="580"/>
              <w:spacing w:after="0"/>
              <w:rPr>
                <w:sz w:val="20"/>
                <w:szCs w:val="20"/>
                <w:color w:val="auto"/>
              </w:rPr>
            </w:pPr>
            <w:r>
              <w:rPr>
                <w:rFonts w:ascii="Arial" w:cs="Arial" w:eastAsia="Arial" w:hAnsi="Arial"/>
                <w:sz w:val="16"/>
                <w:szCs w:val="16"/>
                <w:b w:val="1"/>
                <w:bCs w:val="1"/>
                <w:color w:val="auto"/>
              </w:rPr>
              <w:t>Revenue Based PRSUs</w:t>
            </w:r>
          </w:p>
        </w:tc>
        <w:tc>
          <w:tcPr>
            <w:tcW w:w="288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rPr>
              <w:t>Market Condition Based PRSUs</w:t>
            </w:r>
          </w:p>
        </w:tc>
      </w:tr>
      <w:tr>
        <w:trPr>
          <w:trHeight w:val="33"/>
        </w:trPr>
        <w:tc>
          <w:tcPr>
            <w:tcW w:w="5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Weighted Avg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Weighted Avg</w:t>
            </w:r>
          </w:p>
        </w:tc>
      </w:tr>
      <w:tr>
        <w:trPr>
          <w:trHeight w:val="210"/>
        </w:trPr>
        <w:tc>
          <w:tcPr>
            <w:tcW w:w="506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48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62.43</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54,062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54,053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92.13</w:t>
            </w:r>
          </w:p>
        </w:tc>
      </w:tr>
      <w:tr>
        <w:trPr>
          <w:trHeight w:val="27"/>
        </w:trPr>
        <w:tc>
          <w:tcPr>
            <w:tcW w:w="5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Adjustment upon final determination of level of performance goal</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achievement*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54.10</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(54,456)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54.10</w:t>
            </w:r>
          </w:p>
        </w:tc>
      </w:tr>
      <w:tr>
        <w:trPr>
          <w:trHeight w:val="27"/>
        </w:trPr>
        <w:tc>
          <w:tcPr>
            <w:tcW w:w="5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72.65</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87,670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82.10</w:t>
            </w:r>
          </w:p>
        </w:tc>
      </w:tr>
      <w:tr>
        <w:trPr>
          <w:trHeight w:val="27"/>
        </w:trPr>
        <w:tc>
          <w:tcPr>
            <w:tcW w:w="5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13"/>
        <w:spacing w:after="0" w:line="277" w:lineRule="auto"/>
        <w:tabs>
          <w:tab w:leader="none" w:pos="527" w:val="left"/>
        </w:tabs>
        <w:numPr>
          <w:ilvl w:val="0"/>
          <w:numId w:val="39"/>
        </w:numPr>
        <w:rPr>
          <w:rFonts w:ascii="Arial" w:cs="Arial" w:eastAsia="Arial" w:hAnsi="Arial"/>
          <w:sz w:val="16"/>
          <w:szCs w:val="16"/>
          <w:i w:val="1"/>
          <w:iCs w:val="1"/>
          <w:color w:val="auto"/>
        </w:rPr>
      </w:pPr>
      <w:r>
        <w:rPr>
          <w:rFonts w:ascii="Arial" w:cs="Arial" w:eastAsia="Arial" w:hAnsi="Arial"/>
          <w:sz w:val="18"/>
          <w:szCs w:val="18"/>
          <w:color w:val="auto"/>
        </w:rPr>
        <w:t>Represents adjustment of shares vested in respect of PUs and MUs granted in February 2017 upon achievement of the performance targets for such awards for which the underlying common stock was issued subsequent to December 31,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2019, unrecognized compensation cost of $7,751 is expected to be expensed over a weighted average period of 1.71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Impairment and Restructuring Charges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31, 2019, the Company completed substantially the previously announced wind down of the operations of the Health Integrated business, which is reported within the Healthcare reportable segment. The operating results of this business were significantly below the Company's estimates and actual cash flows were impacted due to loss of customer contracts and cost pressures, and the Company incurred losses from this business. The commencement of the process of winding down the Health Integrated business was previously disclosed by the Company in the Current Report on Form 8-K filed with the Securities and Exchange Commission (“SEC”) on April 4, 2019 as amended by a Current Report on Form 8-K/A filed with the SEC on July 16, 2019. In connection with the wind down process, the Company recorded pre-tax costs in the consolidated statements of income under “Impairment and restructuring charges”.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the restructuring costs incurred and paid for the wind down during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203200</wp:posOffset>
            </wp:positionV>
            <wp:extent cx="37388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322"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Contract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Termination</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Employee-</w:t>
            </w: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Other Associated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Related Costs</w:t>
            </w:r>
          </w:p>
        </w:tc>
        <w:tc>
          <w:tcPr>
            <w:tcW w:w="34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Costs</w:t>
            </w: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Costs incurred during the year</w:t>
            </w: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5,044</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during the year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3,074</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Additionally, the Company recognized impairment of ROU assets and long-lived assets of $3,627 during the year ended December 31, 2019 in the consolidated statements of income under "Impairment and restructuring charges".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Disclosures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73"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Company had outstanding Notes with a principal amount of $150,000 as of December 31, 2019 and 2018, and interest accrued of $1,313 each as of December 31, 2019 and 2018, related to the Investment Agreement. Refer to Note 18 to the consolidated financial statements for details.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provides consulting services to PharmaCord, LLC. One of the Company’s directors, Nitin Sahney, is the member-manager and chief executive officer of PharmaCord, LLC. The Company recognized revenue of $nil, $225 and $1,748 for the years ended December 31, 2019, 2018 and 2017, respectively, for services provided.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and 2018, the Company had accounts receivable of $nil and $5, respectively, related to these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At December 31, 2019 and 2018, the Company has committed to spend approximately $6,500 and $6,300, respectively under agreements to purchase property and equipment. This amount is net of capital advances paid which are recognized in consolidated balance sheets as property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units of the Company’s Indian subsidiaries were established as 100% Export-Oriented units or under the Software Technology Parks of India (“STPI”) or Special Economic Zone (“SEZ”) scheme promulgated by the Government of India. These units are exempt from customs, central excise duties, and levies on imported and indigenous capital goods, stores, and spares.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operations centers in the Philippines are registered with the Philippine Economic Zone Authority (“PEZA”). The registration provides the Company with certain fiscal incentives on the import of capital goods and local purchase of services and materials and requires ExlService Philippines, Inc. to meet certain performance and investment criteria. The Company’s management believes that these centers have in the past satisfied and will continue to satisfy the required criteria.</w:t>
      </w:r>
    </w:p>
    <w:p>
      <w:pPr>
        <w:spacing w:after="0" w:line="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March 2017, the Company was named as a defendant in a putative class action lawsuit filed in California, which challenged the classification of independent contractors. The parties participated in a mediation in early 2018. As the result of the mediation, a settlement was reached pursuant to which the Company agreed, without admission of wrongdoing, to pay a total of $2,400, of which $1,200 was paid in 2018 and the remainder was paid in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the Philippines and India, tax year 2016 and subsequent tax years remain open for examination by the tax authorities as of December 31, 2019.</w:t>
      </w:r>
    </w:p>
    <w:p>
      <w:pPr>
        <w:spacing w:after="0" w:line="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aggregate amount demanded by Income tax authorities (net of advance payments, if any) from the Company related to its transfer pricing issues for tax years 2003 to 2015 and its permanent establishment issues for tax years 2003 to 2007 as of December 31, 2019 and 2018 is $16,220 and $18,177, respectively, of which the Company has made payments and/or provided bank guarantees to the extent $8,108 and $8,171, respectively. Amounts paid as deposits in respect of such assessments aggregating to $6,252 and $6,273 as of December 31, 2019 and 2018, respectively, are included in “Other assets” and amounts deposited for bank guarantees aggregating to $1,856 and $1,899 as of December 31, 2019 and 2018, respectively, are included in “Restricted cash” in the non-current assets section of the Company’s consolidated balance sheets.</w:t>
      </w:r>
    </w:p>
    <w:p>
      <w:pPr>
        <w:spacing w:after="0" w:line="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6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the quarter ended March 31, 2019, there was a judicial pronouncement in India with respect to defined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Accordingly, the Company will re-evaluate the amount of a potential provision, if any, upon further developments.</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potential liabilities of the Company, that these matters are without merit, and that the Company intends to vigorously defend each of them.</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Impact of adoption of accounting guidance on prior year’s presentation and disclosures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Effective January 1, 2018, the Company adopted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Periodic Pension Cost and Net Periodic Post Retirement Benefit Cost</w:t>
      </w:r>
      <w:r>
        <w:rPr>
          <w:rFonts w:ascii="Arial" w:cs="Arial" w:eastAsia="Arial" w:hAnsi="Arial"/>
          <w:sz w:val="18"/>
          <w:szCs w:val="18"/>
          <w:color w:val="auto"/>
        </w:rPr>
        <w:t>. Accordingly, the Company retrospectively included only the service cost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periodic benefit cost in the same line item or items on the consolidated statements of income as other compensation costs arising from services rendered by the respective employees during the period. The other components of net periodic benefit cost, which included interest cost, expected return on plan assets and amortization of actuarial gains/loss, were reclassified from “Cost of revenues”, “General and administrative expenses” and “Selling and marketing expenses” to “Other income, net”.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the adoption of ASU No. 2017-07 (Topic 715) on 2017 financial information is summarized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7"/>
          </w:tcPr>
          <w:p>
            <w:pPr>
              <w:ind w:left="40"/>
              <w:spacing w:after="0"/>
              <w:rPr>
                <w:sz w:val="20"/>
                <w:szCs w:val="20"/>
                <w:color w:val="auto"/>
              </w:rPr>
            </w:pPr>
            <w:r>
              <w:rPr>
                <w:rFonts w:ascii="Arial" w:cs="Arial" w:eastAsia="Arial" w:hAnsi="Arial"/>
                <w:sz w:val="18"/>
                <w:szCs w:val="18"/>
                <w:b w:val="1"/>
                <w:bCs w:val="1"/>
                <w:color w:val="auto"/>
                <w:w w:val="88"/>
              </w:rPr>
              <w:t>Year ended December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Effect of change</w:t>
            </w:r>
          </w:p>
        </w:tc>
      </w:tr>
      <w:tr>
        <w:trPr>
          <w:trHeight w:val="234"/>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4"/>
              </w:rPr>
              <w:t>Previously reported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ind w:left="240"/>
              <w:spacing w:after="0"/>
              <w:rPr>
                <w:sz w:val="20"/>
                <w:szCs w:val="20"/>
                <w:color w:val="auto"/>
              </w:rPr>
            </w:pPr>
            <w:r>
              <w:rPr>
                <w:rFonts w:ascii="Arial" w:cs="Arial" w:eastAsia="Arial" w:hAnsi="Arial"/>
                <w:sz w:val="18"/>
                <w:szCs w:val="18"/>
                <w:b w:val="1"/>
                <w:bCs w:val="1"/>
                <w:color w:val="auto"/>
              </w:rPr>
              <w:t>As revised</w:t>
            </w:r>
          </w:p>
        </w:tc>
        <w:tc>
          <w:tcPr>
            <w:tcW w:w="100" w:type="dxa"/>
            <w:vAlign w:val="bottom"/>
          </w:tcPr>
          <w:p>
            <w:pPr>
              <w:spacing w:after="0"/>
              <w:rPr>
                <w:sz w:val="20"/>
                <w:szCs w:val="20"/>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Location in consolidated statements of income</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0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495,586</w:t>
            </w:r>
          </w:p>
        </w:tc>
        <w:tc>
          <w:tcPr>
            <w:tcW w:w="6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495,142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102,567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10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53,383</w:t>
            </w:r>
          </w:p>
        </w:tc>
        <w:tc>
          <w:tcPr>
            <w:tcW w:w="6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53,379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11,859</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594"/>
        </w:trPr>
        <w:tc>
          <w:tcPr>
            <w:tcW w:w="5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Cost of revenues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Cost of revenues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Effect of change</w:t>
            </w:r>
          </w:p>
        </w:tc>
      </w:tr>
      <w:tr>
        <w:trPr>
          <w:trHeight w:val="234"/>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previously reported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revised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increase/(decrease)</w:t>
            </w:r>
          </w:p>
        </w:tc>
      </w:tr>
      <w:tr>
        <w:trPr>
          <w:trHeight w:val="27"/>
        </w:trPr>
        <w:tc>
          <w:tcPr>
            <w:tcW w:w="5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information (refer Note 3)</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159,529</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159,433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50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49,483</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TT&amp;L</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41,409</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41,337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0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F&amp;A</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51,445</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56,697</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56,638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0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Analytics</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137,023</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194,499</w:t>
            </w: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194,443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0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Foreign exchange gain, interest expense and other income, net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12,809</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648"/>
        </w:trPr>
        <w:tc>
          <w:tcPr>
            <w:tcW w:w="5040" w:type="dxa"/>
            <w:vAlign w:val="bottom"/>
          </w:tcPr>
          <w:p>
            <w:pPr>
              <w:spacing w:after="0"/>
              <w:rPr>
                <w:sz w:val="24"/>
                <w:szCs w:val="24"/>
                <w:color w:val="auto"/>
              </w:rPr>
            </w:pPr>
          </w:p>
        </w:tc>
        <w:tc>
          <w:tcPr>
            <w:tcW w:w="1080" w:type="dxa"/>
            <w:vAlign w:val="bottom"/>
            <w:gridSpan w:val="3"/>
          </w:tcPr>
          <w:p>
            <w:pPr>
              <w:jc w:val="right"/>
              <w:ind w:right="150"/>
              <w:spacing w:after="0"/>
              <w:rPr>
                <w:sz w:val="20"/>
                <w:szCs w:val="20"/>
                <w:color w:val="auto"/>
              </w:rPr>
            </w:pPr>
            <w:r>
              <w:rPr>
                <w:rFonts w:ascii="Arial" w:cs="Arial" w:eastAsia="Arial" w:hAnsi="Arial"/>
                <w:sz w:val="18"/>
                <w:szCs w:val="18"/>
                <w:color w:val="auto"/>
              </w:rPr>
              <w:t>F-57</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 2018, the Company adopted ASU 2016-18, Statements of Cash Flows (Topic 230), Restricted Cash. Accordingly, for 2017, restricted cash and restricted cash equivalents is included with cash and cash equivalents when reconciling the beginning-of-period and end-of-period total amounts shown in the consolidated statements of cash flows.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the adoption of ASU No. 2016-18 (Topic 230) on 2017 financial information is summarized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6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Effect of change</w:t>
            </w:r>
          </w:p>
        </w:tc>
      </w:tr>
      <w:tr>
        <w:trPr>
          <w:trHeight w:val="234"/>
        </w:trPr>
        <w:tc>
          <w:tcPr>
            <w:tcW w:w="63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Previously reported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5"/>
              </w:rPr>
              <w:t>As revised</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increase/(decrease)</w:t>
            </w:r>
          </w:p>
        </w:tc>
      </w:tr>
      <w:tr>
        <w:trPr>
          <w:trHeight w:val="27"/>
        </w:trPr>
        <w:tc>
          <w:tcPr>
            <w:tcW w:w="6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113,140</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113,159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Effect of exchange rate changes on cash, cash equivalents and restricted cash</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Net increase/(decrease) in cash, cash equivalents and restricted cash</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(126,360)</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(126,117)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6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 beginning of year</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213,155</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 end of year</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86,795</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94,277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date of this Annual Report on Form 10-K, ExlService Holdings, Inc., has one class of securities registered under Section 12 of the Securities Exchange Act of 1934, as amended: common stock, par value $0.001 per share (“</w:t>
      </w:r>
      <w:r>
        <w:rPr>
          <w:rFonts w:ascii="Arial" w:cs="Arial" w:eastAsia="Arial" w:hAnsi="Arial"/>
          <w:sz w:val="17"/>
          <w:szCs w:val="17"/>
          <w:b w:val="1"/>
          <w:bCs w:val="1"/>
          <w:color w:val="auto"/>
        </w:rPr>
        <w:t>common stock</w:t>
      </w:r>
      <w:r>
        <w:rPr>
          <w:rFonts w:ascii="Arial" w:cs="Arial" w:eastAsia="Arial" w:hAnsi="Arial"/>
          <w:sz w:val="17"/>
          <w:szCs w:val="17"/>
          <w:color w:val="auto"/>
        </w:rPr>
        <w:t>”). The following description of our capital stock and of certain provisions of our amended and restated certificate of incorporation, as amended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and fifth amended and restated by-laws (“</w:t>
      </w:r>
      <w:r>
        <w:rPr>
          <w:rFonts w:ascii="Arial" w:cs="Arial" w:eastAsia="Arial" w:hAnsi="Arial"/>
          <w:sz w:val="17"/>
          <w:szCs w:val="17"/>
          <w:b w:val="1"/>
          <w:bCs w:val="1"/>
          <w:color w:val="auto"/>
        </w:rPr>
        <w:t>by-laws</w:t>
      </w:r>
      <w:r>
        <w:rPr>
          <w:rFonts w:ascii="Arial" w:cs="Arial" w:eastAsia="Arial" w:hAnsi="Arial"/>
          <w:sz w:val="17"/>
          <w:szCs w:val="17"/>
          <w:color w:val="auto"/>
        </w:rPr>
        <w:t>”) and certain provisions of Delaware law do not purport to be complete and are subject to and qualified in their entirety by reference by the full text of our certificate of incorporation and our by-laws, and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References in this section to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and “</w:t>
      </w:r>
      <w:r>
        <w:rPr>
          <w:rFonts w:ascii="Arial" w:cs="Arial" w:eastAsia="Arial" w:hAnsi="Arial"/>
          <w:sz w:val="17"/>
          <w:szCs w:val="17"/>
          <w:b w:val="1"/>
          <w:bCs w:val="1"/>
          <w:color w:val="auto"/>
        </w:rPr>
        <w:t>our</w:t>
      </w:r>
      <w:r>
        <w:rPr>
          <w:rFonts w:ascii="Arial" w:cs="Arial" w:eastAsia="Arial" w:hAnsi="Arial"/>
          <w:sz w:val="17"/>
          <w:szCs w:val="17"/>
          <w:color w:val="auto"/>
        </w:rPr>
        <w:t>” refer to ExlService Holdings, Inc. and not to any of its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100,000,000 shares of common stock and 15,000,000 of preferred stock. No shares of preferred stock are outstanding.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holders of our common stock are entitled to one vote per share on all matters submitted to a vote of stockholders, including the election of directors. Holders of the common stock do not have cumulative voting rights, which means that the holders of a majority of the shares of common stock cast in the election of a director in an uncontested election (as defined in our by-laws) can elect each director then being elected.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common stock do not have any preemptive rights under our certificate of incorporation or by-laws.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Liquidation Rights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conversion, redemption or sinking fund provisions apply to our common stock, and all of the outstanding shares of common stock are fully paid and nonassessable. The rights, preferences and privileges of holders of common stock are subject to the rights of the holders of shares of any series of preferred stock that may be issued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authorized, without shareholder approval,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provisions of our certificate of incorporation and by-laws and of the DGCL summarized below may have an anti-takeover effect and may delay, defer or prevent a tender offer or takeover attempt that a holder of shares of our common stock might consider in its interest, including an attempt that might result in a receipt of a premium over the market price for such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Liability; Indemnification of Directors and Officers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3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ectPr>
          <w:pgSz w:w="11900" w:h="16838" w:orient="portrait"/>
          <w:cols w:equalWidth="0" w:num="1">
            <w:col w:w="11420"/>
          </w:cols>
          <w:pgMar w:left="240" w:top="553" w:right="239" w:bottom="1440" w:gutter="0" w:footer="0" w:header="0"/>
        </w:sectPr>
      </w:pPr>
    </w:p>
    <w:bookmarkStart w:id="131" w:name="page132"/>
    <w:bookmarkEnd w:id="131"/>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liability under Section 174 of the DGCL (relating to unlawful dividends, stock repurchases, or stock redemptions);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 of Stockholders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Advance Notice Requirements for Stockholder Proposals and Director Nominations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4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r>
        <w:rPr>
          <w:rFonts w:ascii="Arial" w:cs="Arial" w:eastAsia="Arial" w:hAnsi="Arial"/>
          <w:sz w:val="17"/>
          <w:szCs w:val="17"/>
          <w:b w:val="1"/>
          <w:bCs w:val="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and Removal of Directors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and by-laws provide for the declassification of our board of directors over a three-year period that began at the 2019 annual meeting of stockholders. Previously, the board of directors was divided into three classes (Class I, Class II and Class III), each elected to hold office for a three-year term, or until their successors were duly elected and qualified. The terms of the classes were staggered, so that only one of the three classes stood for election for a three-year term at each annual meeting of stockholders. At the 2019 annual meeting of stockholders, each of the Class I director nominees elected by our stockholders was elected to hold office for a term of one year, or until their successors are duly elected and qualified in accordance with our by-laws, at the 2020 annual meeting of stockholders, each of the Class I and Class II director nominees elected by our stockholders will be elected to hold office for a term of one year, or until their successors are duly elected and qualified in accordance with our by-laws, and at the 2021 annual meeting of stockholders, each of the Class I, Class II and Class III director nominees elected by our stockholders will be elected to hold office for a term of one year, or until their successors are duly elected and qualified in accordance with our by-laws, and thereafter the classification of the board of directors will terminate in its entirety.</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stockholders may only remove directors for cause and with the vote of at least 66⅔%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ectPr>
          <w:pgSz w:w="11900" w:h="16838" w:orient="portrait"/>
          <w:cols w:equalWidth="0" w:num="1">
            <w:col w:w="11420"/>
          </w:cols>
          <w:pgMar w:left="240" w:top="557"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Amendment of the Certificate of Incorporation and By-Laws</w:t>
      </w:r>
    </w:p>
    <w:p>
      <w:pPr>
        <w:spacing w:after="0" w:line="139" w:lineRule="exact"/>
        <w:rPr>
          <w:sz w:val="20"/>
          <w:szCs w:val="20"/>
          <w:color w:val="auto"/>
        </w:rPr>
      </w:pPr>
    </w:p>
    <w:p>
      <w:pPr>
        <w:spacing w:after="0" w:line="335" w:lineRule="auto"/>
        <w:rPr>
          <w:sz w:val="20"/>
          <w:szCs w:val="20"/>
          <w:color w:val="auto"/>
        </w:rPr>
      </w:pPr>
      <w:r>
        <w:rPr>
          <w:rFonts w:ascii="Arial" w:cs="Arial" w:eastAsia="Arial" w:hAnsi="Arial"/>
          <w:sz w:val="17"/>
          <w:szCs w:val="17"/>
          <w:color w:val="auto"/>
        </w:rPr>
        <w:t>Our certificate of incorporation will provide that the affirmative vote of the holders of at least 66⅔% of the voting power of our issued and outstanding capital stock entitled to vote in the election of directors, is required to amend the following provisions of our certificate of incorporation:</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requiring a 66⅔% stockholder vote for the amendment of certain provisions of our articles of incorporation and for the adoption, amendment or repeal of our by-laws;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board of directors will be permitted to alter our by-laws without obtaining stockholder approval and the affirmative vote of holders of at least 66⅔% of the voting power of our issued and outstanding capital stock entitled to vote in the election of directors will be required for any amendment to our by-laws by the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Provisions of Delaware Law</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provisions of Section 203 of the DGCL. In general, Section 203 prevents an interested stockholder (defined generally as a person owning 15% or more of the corporation’s outstanding capital stock entitled to vote generally in the election of directors) of a Delaware corporation from engaging in a business combination (as defined) for three years following the date that person became an interested stockholder unless various conditions are satisfied.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“EXLS”.</w:t>
      </w:r>
    </w:p>
    <w:p>
      <w:pPr>
        <w:sectPr>
          <w:pgSz w:w="11900" w:h="16838" w:orient="portrait"/>
          <w:cols w:equalWidth="0" w:num="1">
            <w:col w:w="11420"/>
          </w:cols>
          <w:pgMar w:left="240" w:top="63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21.1</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0300"/>
          </w:cols>
          <w:pgMar w:left="1360" w:top="557"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w:t>
      </w:r>
    </w:p>
    <w:p>
      <w:pPr>
        <w:spacing w:after="0" w:line="90" w:lineRule="exact"/>
        <w:rPr>
          <w:sz w:val="20"/>
          <w:szCs w:val="20"/>
          <w:color w:val="auto"/>
        </w:rPr>
      </w:pPr>
    </w:p>
    <w:p>
      <w:pPr>
        <w:sectPr>
          <w:pgSz w:w="11900" w:h="16838" w:orient="portrait"/>
          <w:cols w:equalWidth="0" w:num="2">
            <w:col w:w="5900" w:space="720"/>
            <w:col w:w="3680"/>
          </w:cols>
          <w:pgMar w:left="1360" w:top="557" w:right="239" w:bottom="1440" w:gutter="0" w:footer="0" w:header="0"/>
          <w:type w:val="continuous"/>
        </w:sectPr>
      </w:pPr>
    </w:p>
    <w:p>
      <w:pPr>
        <w:spacing w:after="0"/>
        <w:rPr>
          <w:sz w:val="20"/>
          <w:szCs w:val="20"/>
          <w:color w:val="auto"/>
        </w:rPr>
      </w:pPr>
      <w:r>
        <w:rPr>
          <w:rFonts w:ascii="Arial" w:cs="Arial" w:eastAsia="Arial" w:hAnsi="Arial"/>
          <w:sz w:val="18"/>
          <w:szCs w:val="18"/>
          <w:color w:val="auto"/>
        </w:rPr>
        <w:t>Business Process Solutions (India) Pvt.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Datasource Consulting,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Service.com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Bulgaria EAD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Germany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Mauritius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Romania Private Limited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Service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Switzerland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Technology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ExlService.com,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Inductis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Inductis (Singapore) PTE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Insight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IQR Analytics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IQR Consulting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JCG New Media,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Liss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Outsourcepartners International Pvt.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Overland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Overland Solutions,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 Data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 Direct,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SCIOinspire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SCIO Health Analytics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Data Intelligence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SCIOinspire Consulting Services (India)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SCIOinspire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Canada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Analytics SA (Pty)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ectPr>
          <w:pgSz w:w="11900" w:h="16838" w:orient="portrait"/>
          <w:cols w:equalWidth="0" w:num="2">
            <w:col w:w="5900" w:space="720"/>
            <w:col w:w="3680"/>
          </w:cols>
          <w:pgMar w:left="1360" w:top="557"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333-229967 and 333-179098 on Form S-3 and Nos. 333-139211; 333-157076; 333-206022; and 333-226527 on Form S-8 of our reports dated February 27, 2020, relating to the consolidated financial statements of ExlService Holdings, Inc., and the effectiveness of ExlService Holdings, Inc.’s internal control over financial reporting, appearing in this Annual Report on Form 10-K of ExlService Holdings,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44" w:lineRule="exact"/>
        <w:rPr>
          <w:sz w:val="20"/>
          <w:szCs w:val="20"/>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on Form S-3 (No 333-179098 and 333-229967) of ExlService Holdings, Inc; and</w:t>
      </w:r>
    </w:p>
    <w:p>
      <w:pPr>
        <w:spacing w:after="0" w:line="144"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Statements on Form S-8 (Nos. 333-139211; 333-157076; 333-206022 and 333-226527) of ExlService Holdings, Inc.</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 dated February 27, 2018, except Note 27, as to which the date is February 28, 2019, with respect to the consolidated statements of income, comprehensive income, equity and cash flows of ExlService Holdings, Inc. for the year ended December 31, 2017, included in this Annual Report (Form 10-K) of ExlService Holdings, Inc. for the year ended December 31, 2019.</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2019;</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5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Maurizio Nicolelli, certify that:</w:t>
      </w:r>
    </w:p>
    <w:p>
      <w:pPr>
        <w:spacing w:after="0" w:line="347"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2019;</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Maurizio Nicolelli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2019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2019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Maurizio Nicolelli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
      <w:numFmt w:val="bullet"/>
      <w:start w:val="1"/>
    </w:lvl>
    <w:lvl w:ilvl="1">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lvl w:ilvl="1">
      <w:lvlJc w:val="left"/>
      <w:lvlText w:val="(%2)"/>
      <w:numFmt w:val="lowerLetter"/>
      <w:start w:val="4"/>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
    </w:lvl>
    <w:lvl w:ilvl="1">
      <w:lvlJc w:val="left"/>
      <w:lvlText w:val="%2."/>
      <w:numFmt w:val="decimal"/>
      <w:start w:val="2"/>
    </w:lvl>
  </w:abstractNum>
  <w:abstractNum w:abstractNumId="21">
    <w:nsid w:val="5577F8E1"/>
    <w:multiLevelType w:val="hybridMultilevel"/>
    <w:lvl w:ilvl="0">
      <w:lvlJc w:val="left"/>
      <w:lvlText w:val="(%1)"/>
      <w:numFmt w:val="lowerLetter"/>
      <w:start w:val="2"/>
    </w:lvl>
    <w:lvl w:ilvl="1">
      <w:lvlJc w:val="left"/>
      <w:lvlText w:val="%2"/>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lowerRoman"/>
      <w:start w:val="1"/>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0"/>
    </w:lvl>
  </w:abstractNum>
  <w:abstractNum w:abstractNumId="31">
    <w:nsid w:val="2D517796"/>
    <w:multiLevelType w:val="hybridMultilevel"/>
    <w:lvl w:ilvl="0">
      <w:lvlJc w:val="left"/>
      <w:lvlText w:val="%1"/>
      <w:numFmt w:val="decimal"/>
      <w:start w:val="1"/>
    </w:lvl>
    <w:lvl w:ilvl="1">
      <w:lvlJc w:val="left"/>
      <w:lvlText w:val="(%2)"/>
      <w:numFmt w:val="decimal"/>
      <w:start w:val="1"/>
    </w:lvl>
  </w:abstractNum>
  <w:abstractNum w:abstractNumId="32">
    <w:nsid w:val="580BD78F"/>
    <w:multiLevelType w:val="hybridMultilevel"/>
    <w:lvl w:ilvl="0">
      <w:lvlJc w:val="left"/>
      <w:lvlText w:val="%1."/>
      <w:numFmt w:val="decimal"/>
      <w:start w:val="16"/>
    </w:lvl>
    <w:lvl w:ilvl="1">
      <w:lvlJc w:val="left"/>
      <w:lvlText w:val="%2"/>
      <w:numFmt w:val="decimal"/>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Roman"/>
      <w:start w:val="4"/>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70"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40" Type="http://schemas.openxmlformats.org/officeDocument/2006/relationships/hyperlink" Target="http://www.sec.gov/Archives/edgar/data/1297989/000114420418037006/tv497868_ex2-1.htm" TargetMode="External"/><Relationship Id="rId41" Type="http://schemas.openxmlformats.org/officeDocument/2006/relationships/hyperlink" Target="http://www.sec.gov/Archives/edgar/data/1297989/000119312506214684/dex31.htm" TargetMode="External"/><Relationship Id="rId42" Type="http://schemas.openxmlformats.org/officeDocument/2006/relationships/hyperlink" Target="http://www.sec.gov/Archives/edgar/data/1297989/000104746919002609/a2238453zdef14a.htm#PROP1" TargetMode="External"/><Relationship Id="rId43" Type="http://schemas.openxmlformats.org/officeDocument/2006/relationships/hyperlink" Target="http://www.sec.gov/Archives/edgar/data/1297989/000114420419031504/tv523830_ex3-2.htm" TargetMode="External"/><Relationship Id="rId44" Type="http://schemas.openxmlformats.org/officeDocument/2006/relationships/hyperlink" Target="http://www.sec.gov/Archives/edgar/data/1297989/000119312506214684/dex41.htm" TargetMode="External"/><Relationship Id="rId45" Type="http://schemas.openxmlformats.org/officeDocument/2006/relationships/hyperlink" Target="http://www.sec.gov/Archives/edgar/data/1297989/000114420418052500/tv504132_ex4-1.htm" TargetMode="External"/><Relationship Id="rId46" Type="http://schemas.openxmlformats.org/officeDocument/2006/relationships/hyperlink" Target="http://www.sec.gov/Archives/edgar/data/1297989/000129798917000010/exls-ex101x09x19x2017rohit.htm" TargetMode="External"/><Relationship Id="rId47" Type="http://schemas.openxmlformats.org/officeDocument/2006/relationships/hyperlink" Target="http://www.sec.gov/Archives/edgar/data/1297989/000119312504207482/dex1015.htm" TargetMode="External"/><Relationship Id="rId48" Type="http://schemas.openxmlformats.org/officeDocument/2006/relationships/hyperlink" Target="http://www.sec.gov/Archives/edgar/data/1297989/000129798916000006/exls-ex101x03x31x2016x10xq.htm" TargetMode="External"/><Relationship Id="rId49" Type="http://schemas.openxmlformats.org/officeDocument/2006/relationships/hyperlink" Target="http://www.sec.gov/Archives/edgar/data/1297989/000119312506155175/dex1020.htm" TargetMode="External"/><Relationship Id="rId50" Type="http://schemas.openxmlformats.org/officeDocument/2006/relationships/hyperlink" Target="http://www.sec.gov/Archives/edgar/data/1297989/000119312506202168/dex1032.htm" TargetMode="External"/><Relationship Id="rId51" Type="http://schemas.openxmlformats.org/officeDocument/2006/relationships/hyperlink" Target="http://www.sec.gov/Archives/edgar/data/1297989/000119312506208742/dex1038.htm" TargetMode="External"/><Relationship Id="rId52" Type="http://schemas.openxmlformats.org/officeDocument/2006/relationships/hyperlink" Target="http://www.sec.gov/Archives/edgar/data/1297989/000119312506202168/dex1039.htm" TargetMode="External"/><Relationship Id="rId53" Type="http://schemas.openxmlformats.org/officeDocument/2006/relationships/hyperlink" Target="http://www.sec.gov/Archives/edgar/data/1297989/000119312506202168/dex1043.htm" TargetMode="External"/><Relationship Id="rId54" Type="http://schemas.openxmlformats.org/officeDocument/2006/relationships/hyperlink" Target="http://www.sec.gov/Archives/edgar/data/1297989/000119312506208742/dex1046.htm" TargetMode="External"/><Relationship Id="rId55" Type="http://schemas.openxmlformats.org/officeDocument/2006/relationships/hyperlink" Target="http://www.sec.gov/Archives/edgar/data/1297989/000119312509016370/dex46.htm" TargetMode="External"/><Relationship Id="rId56" Type="http://schemas.openxmlformats.org/officeDocument/2006/relationships/hyperlink" Target="http://www.sec.gov/Archives/edgar/data/1297989/000119312514177305/d701173dex101.htm" TargetMode="External"/><Relationship Id="rId57" Type="http://schemas.openxmlformats.org/officeDocument/2006/relationships/hyperlink" Target="http://www.sec.gov/Archives/edgar/data/1297989/000119312515235176/d948602dex101.htm" TargetMode="External"/><Relationship Id="rId58" Type="http://schemas.openxmlformats.org/officeDocument/2006/relationships/hyperlink" Target="http://www.sec.gov/Archives/edgar/data/1297989/000129798916000015/exls-ex101x09x30x2016x10xq.htm" TargetMode="External"/><Relationship Id="rId59" Type="http://schemas.openxmlformats.org/officeDocument/2006/relationships/hyperlink" Target="http://www.sec.gov/Archives/edgar/data/1297989/000129798917000002/exls-ex1040x213116x10k.htm" TargetMode="External"/><Relationship Id="rId60" Type="http://schemas.openxmlformats.org/officeDocument/2006/relationships/hyperlink" Target="http://www.sec.gov/Archives/edgar/data/1297989/000114420418034885/tv496784_ex10-1.htm" TargetMode="External"/><Relationship Id="rId61" Type="http://schemas.openxmlformats.org/officeDocument/2006/relationships/hyperlink" Target="http://www.sec.gov/Archives/edgar/data/1297989/000114420418034885/tv496784_ex10-2.htm" TargetMode="External"/><Relationship Id="rId62" Type="http://schemas.openxmlformats.org/officeDocument/2006/relationships/hyperlink" Target="http://www.sec.gov/Archives/edgar/data/1297989/000114420418034885/tv496784_ex10-3.htm" TargetMode="External"/><Relationship Id="rId63" Type="http://schemas.openxmlformats.org/officeDocument/2006/relationships/hyperlink" Target="http://www.sec.gov/Archives/edgar/data/1297989/000114420418034885/tv496784_ex10-4.htm" TargetMode="External"/><Relationship Id="rId64" Type="http://schemas.openxmlformats.org/officeDocument/2006/relationships/hyperlink" Target="http://www.sec.gov/Archives/edgar/data/1297989/000119312515069666/d845158dex1039.htm" TargetMode="External"/><Relationship Id="rId65" Type="http://schemas.openxmlformats.org/officeDocument/2006/relationships/hyperlink" Target="http://www.sec.gov/Archives/edgar/data/1297989/000119312515069666/d845158dex1040.htm" TargetMode="External"/><Relationship Id="rId66" Type="http://schemas.openxmlformats.org/officeDocument/2006/relationships/hyperlink" Target="http://www.sec.gov/Archives/edgar/data/1297989/000129798918000002/exls-ex1037x123117x10xk.htm" TargetMode="External"/><Relationship Id="rId67" Type="http://schemas.openxmlformats.org/officeDocument/2006/relationships/hyperlink" Target="http://www.sec.gov/Archives/edgar/data/1297989/000129798919000002/exls-ex1024x12312018x10k.htm" TargetMode="External"/><Relationship Id="rId68" Type="http://schemas.openxmlformats.org/officeDocument/2006/relationships/hyperlink" Target="http://www.sec.gov/Archives/edgar/data/1297989/000114420418052500/tv504132_ex10-2.htm" TargetMode="External"/><Relationship Id="rId69" Type="http://schemas.openxmlformats.org/officeDocument/2006/relationships/hyperlink" Target="http://www.sec.gov/Archives/edgar/data/1297989/000114420418052500/tv50413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2020-02-27T17:42:25Z</dcterms:created>
  <dcterms:modified xsi:type="dcterms:W3CDTF">2020-02-27T17:42:25Z</dcterms:modified>
</cp:coreProperties>
</file>