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63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300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Jetley Vivek</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36"/>
        <w:spacing w:after="0"/>
        <w:rPr>
          <w:sz w:val="20"/>
          <w:szCs w:val="20"/>
          <w:color w:val="auto"/>
        </w:rPr>
      </w:pPr>
      <w:r>
        <w:rPr>
          <w:rFonts w:ascii="Arial" w:cs="Arial" w:eastAsia="Arial" w:hAnsi="Arial"/>
          <w:sz w:val="17"/>
          <w:szCs w:val="17"/>
          <w:color w:val="0000FF"/>
        </w:rPr>
        <w:t>EVP and Head of Analytics</w:t>
      </w:r>
    </w:p>
    <w:p>
      <w:pPr>
        <w:spacing w:after="0" w:line="31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153670</wp:posOffset>
            </wp:positionV>
            <wp:extent cx="6967220" cy="1315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5720"/>
                    </a:xfrm>
                    <a:prstGeom prst="rect">
                      <a:avLst/>
                    </a:prstGeom>
                    <a:noFill/>
                  </pic:spPr>
                </pic:pic>
              </a:graphicData>
            </a:graphic>
          </wp:anchor>
        </w:drawing>
      </w:r>
    </w:p>
    <w:p>
      <w:pPr>
        <w:spacing w:after="0" w:line="303"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0000FF"/>
              </w:rPr>
              <w:t>02/22/2021</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39"/>
              <w:spacing w:after="0"/>
              <w:rPr>
                <w:sz w:val="20"/>
                <w:szCs w:val="20"/>
                <w:color w:val="auto"/>
              </w:rPr>
            </w:pPr>
            <w:r>
              <w:rPr>
                <w:rFonts w:ascii="Arial" w:cs="Arial" w:eastAsia="Arial" w:hAnsi="Arial"/>
                <w:sz w:val="13"/>
                <w:szCs w:val="13"/>
                <w:color w:val="0000FF"/>
                <w:w w:val="91"/>
              </w:rPr>
              <w:t>M</w:t>
            </w:r>
          </w:p>
        </w:tc>
        <w:tc>
          <w:tcPr>
            <w:tcW w:w="660" w:type="dxa"/>
            <w:vAlign w:val="bottom"/>
          </w:tcPr>
          <w:p>
            <w:pPr>
              <w:jc w:val="right"/>
              <w:ind w:right="35"/>
              <w:spacing w:after="0"/>
              <w:rPr>
                <w:sz w:val="20"/>
                <w:szCs w:val="20"/>
                <w:color w:val="auto"/>
              </w:rPr>
            </w:pPr>
            <w:r>
              <w:rPr>
                <w:rFonts w:ascii="Arial" w:cs="Arial" w:eastAsia="Arial" w:hAnsi="Arial"/>
                <w:sz w:val="17"/>
                <w:szCs w:val="17"/>
                <w:color w:val="0000FF"/>
              </w:rPr>
              <w:t>590</w:t>
            </w:r>
          </w:p>
        </w:tc>
        <w:tc>
          <w:tcPr>
            <w:tcW w:w="700" w:type="dxa"/>
            <w:vAlign w:val="bottom"/>
          </w:tcPr>
          <w:p>
            <w:pPr>
              <w:jc w:val="right"/>
              <w:ind w:right="156"/>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56"/>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Arial" w:cs="Arial" w:eastAsia="Arial" w:hAnsi="Arial"/>
                <w:sz w:val="17"/>
                <w:szCs w:val="17"/>
                <w:color w:val="0000FF"/>
              </w:rPr>
              <w:t>41,220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0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02/22/2021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0000FF"/>
              </w:rPr>
              <w:t>226</w:t>
            </w:r>
          </w:p>
        </w:tc>
        <w:tc>
          <w:tcPr>
            <w:tcW w:w="700" w:type="dxa"/>
            <w:vAlign w:val="bottom"/>
            <w:tcBorders>
              <w:bottom w:val="single" w:sz="8" w:color="2C2C2C"/>
            </w:tcBorders>
          </w:tcPr>
          <w:p>
            <w:pPr>
              <w:jc w:val="right"/>
              <w:ind w:right="15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80.55</w:t>
            </w:r>
            <w:r>
              <w:rPr>
                <w:rFonts w:ascii="Arial" w:cs="Arial" w:eastAsia="Arial" w:hAnsi="Arial"/>
                <w:sz w:val="21"/>
                <w:szCs w:val="21"/>
                <w:color w:val="008000"/>
                <w:w w:val="89"/>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40,994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8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0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jc w:val="right"/>
              <w:ind w:right="215"/>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6"/>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590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4" w:lineRule="exact"/>
              <w:rPr>
                <w:sz w:val="20"/>
                <w:szCs w:val="20"/>
                <w:color w:val="auto"/>
              </w:rPr>
            </w:pPr>
            <w:r>
              <w:rPr>
                <w:rFonts w:ascii="Arial" w:cs="Arial" w:eastAsia="Arial" w:hAnsi="Arial"/>
                <w:sz w:val="13"/>
                <w:szCs w:val="13"/>
                <w:color w:val="0000FF"/>
              </w:rPr>
              <w:t>02/22/2021</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760" w:type="dxa"/>
            <w:vAlign w:val="bottom"/>
          </w:tcPr>
          <w:p>
            <w:pPr>
              <w:ind w:left="440"/>
              <w:spacing w:after="0" w:line="144" w:lineRule="exact"/>
              <w:rPr>
                <w:sz w:val="20"/>
                <w:szCs w:val="20"/>
                <w:color w:val="auto"/>
              </w:rPr>
            </w:pPr>
            <w:r>
              <w:rPr>
                <w:rFonts w:ascii="Arial" w:cs="Arial" w:eastAsia="Arial" w:hAnsi="Arial"/>
                <w:sz w:val="13"/>
                <w:szCs w:val="13"/>
                <w:color w:val="0000FF"/>
              </w:rPr>
              <w:t>590</w:t>
            </w:r>
          </w:p>
        </w:tc>
        <w:tc>
          <w:tcPr>
            <w:tcW w:w="8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380"/>
              <w:spacing w:after="0" w:line="144" w:lineRule="exact"/>
              <w:rPr>
                <w:sz w:val="20"/>
                <w:szCs w:val="20"/>
                <w:color w:val="auto"/>
              </w:rPr>
            </w:pPr>
            <w:r>
              <w:rPr>
                <w:rFonts w:ascii="Arial" w:cs="Arial" w:eastAsia="Arial" w:hAnsi="Arial"/>
                <w:sz w:val="13"/>
                <w:szCs w:val="13"/>
                <w:color w:val="0000FF"/>
              </w:rPr>
              <w:t>590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ind w:right="136"/>
              <w:spacing w:after="0" w:line="144"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-2249170</wp:posOffset>
            </wp:positionV>
            <wp:extent cx="7033260" cy="2291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9171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22,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2,360 restricted stock units, vesting in four annual installments beginning on the first anniversary of the grant date. 25 percent of the restricted stock units became vested on February 22, 2019, an additional twenty-five percent of the restricted stock units became vested on February 22, 2020, an additional twenty-five percent of the restricted stock units became vested on February 22, 2021; and the remaining balance of twenty-five percent of the restricted stock units will vest on February 22, 2022</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2021-02-24T16:42:36Z</dcterms:created>
  <dcterms:modified xsi:type="dcterms:W3CDTF">2021-02-24T16:42:36Z</dcterms:modified>
</cp:coreProperties>
</file>