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40351.xml.htm"/>
      <w:bookmarkStart w:id="1" w:name="kswkform4_17715403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Jetley Vivek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of EXL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419,659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30.04</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416,866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421,266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30.04</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418,832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16, 2022, the reporting person was granted 4,040 (pre-split) restricted stock units, vesting in four annual installments beginning on the first anniversary of the grant date. 25 percent of the restricted stock units became vested on February 16, 2023, an additional twenty-five percent of the restricted stock units became vested on February 16, 2024, an additional twenty-five percent of the restricted stock units became vested on February 16, 2025; and the remaining balance of twenty-five percent of the restricted stock units became vested on February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15, 2023, the reporting person was granted 3,520 (pre-split) restricted stock units, vesting in four annual installments beginning on the first anniversary of the grant date. 25 percent of the restricted stock units became vested on February 15, 2024, an additional twenty-five percent of the restricted stock units became vested on February 15, 2025, an additional twenty-five percent of the restricted stock units became vested on February 15, 2026; and the remaining balance of twenty-five percent of the restricted stock units will vest on February 15,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124"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4876</Characters>
  <CharactersWithSpaces>5686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