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132080</wp:posOffset>
            </wp:positionV>
            <wp:extent cx="71361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98425</wp:posOffset>
            </wp:positionV>
            <wp:extent cx="71361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12" w:lineRule="exact"/>
        <w:rPr>
          <w:sz w:val="24"/>
          <w:szCs w:val="24"/>
          <w:color w:val="auto"/>
        </w:rPr>
      </w:pPr>
    </w:p>
    <w:p>
      <w:pPr>
        <w:ind w:left="300" w:hanging="277"/>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2024</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7" w:lineRule="exact"/>
        <w:rPr>
          <w:sz w:val="24"/>
          <w:szCs w:val="24"/>
          <w:color w:val="auto"/>
        </w:rPr>
      </w:pPr>
    </w:p>
    <w:p>
      <w:pPr>
        <w:ind w:left="300" w:hanging="277"/>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7" w:lineRule="exact"/>
        <w:rPr>
          <w:sz w:val="24"/>
          <w:szCs w:val="24"/>
          <w:color w:val="auto"/>
        </w:rPr>
      </w:pPr>
    </w:p>
    <w:p>
      <w:pPr>
        <w:ind w:left="3200"/>
        <w:spacing w:after="0"/>
        <w:tabs>
          <w:tab w:leader="none" w:pos="69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3912870</wp:posOffset>
            </wp:positionH>
            <wp:positionV relativeFrom="paragraph">
              <wp:posOffset>-5715</wp:posOffset>
            </wp:positionV>
            <wp:extent cx="1194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18"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EXLSERVICE HOLDINGS,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1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17" w:lineRule="exact"/>
        <w:rPr>
          <w:sz w:val="24"/>
          <w:szCs w:val="24"/>
          <w:color w:val="auto"/>
        </w:rPr>
      </w:pPr>
    </w:p>
    <w:tbl>
      <w:tblPr>
        <w:tblLayout w:type="fixed"/>
        <w:tblInd w:w="35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40" w:type="dxa"/>
            <w:vAlign w:val="bottom"/>
            <w:gridSpan w:val="2"/>
          </w:tcPr>
          <w:p>
            <w:pPr>
              <w:jc w:val="center"/>
              <w:ind w:right="1040"/>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006"/>
              <w:spacing w:after="0"/>
              <w:rPr>
                <w:sz w:val="20"/>
                <w:szCs w:val="20"/>
                <w:color w:val="auto"/>
              </w:rPr>
            </w:pPr>
            <w:r>
              <w:rPr>
                <w:rFonts w:ascii="Times New Roman" w:cs="Times New Roman" w:eastAsia="Times New Roman" w:hAnsi="Times New Roman"/>
                <w:sz w:val="16"/>
                <w:szCs w:val="16"/>
                <w:b w:val="1"/>
                <w:bCs w:val="1"/>
                <w:color w:val="auto"/>
              </w:rPr>
              <w:t>82-0572194</w:t>
            </w:r>
          </w:p>
        </w:tc>
        <w:tc>
          <w:tcPr>
            <w:tcW w:w="600" w:type="dxa"/>
            <w:vAlign w:val="bottom"/>
          </w:tcPr>
          <w:p>
            <w:pPr>
              <w:spacing w:after="0"/>
              <w:rPr>
                <w:sz w:val="17"/>
                <w:szCs w:val="17"/>
                <w:color w:val="auto"/>
              </w:rPr>
            </w:pPr>
          </w:p>
        </w:tc>
      </w:tr>
      <w:tr>
        <w:trPr>
          <w:trHeight w:val="145"/>
        </w:trPr>
        <w:tc>
          <w:tcPr>
            <w:tcW w:w="1320" w:type="dxa"/>
            <w:vAlign w:val="bottom"/>
          </w:tcPr>
          <w:p>
            <w:pPr>
              <w:spacing w:after="0"/>
              <w:rPr>
                <w:sz w:val="12"/>
                <w:szCs w:val="12"/>
                <w:color w:val="auto"/>
              </w:rPr>
            </w:pPr>
          </w:p>
        </w:tc>
        <w:tc>
          <w:tcPr>
            <w:tcW w:w="3000" w:type="dxa"/>
            <w:vAlign w:val="bottom"/>
            <w:gridSpan w:val="3"/>
          </w:tcPr>
          <w:p>
            <w:pPr>
              <w:jc w:val="center"/>
              <w:ind w:left="66"/>
              <w:spacing w:after="0" w:line="145"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80" w:type="dxa"/>
            <w:vAlign w:val="bottom"/>
            <w:gridSpan w:val="3"/>
          </w:tcPr>
          <w:p>
            <w:pPr>
              <w:jc w:val="center"/>
              <w:ind w:right="2440"/>
              <w:spacing w:after="0" w:line="145"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66"/>
              <w:spacing w:after="0"/>
              <w:rPr>
                <w:sz w:val="20"/>
                <w:szCs w:val="20"/>
                <w:color w:val="auto"/>
              </w:rPr>
            </w:pPr>
            <w:r>
              <w:rPr>
                <w:rFonts w:ascii="Times New Roman" w:cs="Times New Roman" w:eastAsia="Times New Roman" w:hAnsi="Times New Roman"/>
                <w:sz w:val="14"/>
                <w:szCs w:val="14"/>
                <w:b w:val="1"/>
                <w:bCs w:val="1"/>
                <w:color w:val="auto"/>
                <w:w w:val="99"/>
              </w:rPr>
              <w:t>incorporation or organization)</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80" w:type="dxa"/>
            <w:vAlign w:val="bottom"/>
            <w:gridSpan w:val="3"/>
          </w:tcPr>
          <w:p>
            <w:pPr>
              <w:jc w:val="center"/>
              <w:ind w:right="24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69"/>
        </w:trPr>
        <w:tc>
          <w:tcPr>
            <w:tcW w:w="1320" w:type="dxa"/>
            <w:vAlign w:val="bottom"/>
          </w:tcPr>
          <w:p>
            <w:pPr>
              <w:spacing w:after="0"/>
              <w:rPr>
                <w:sz w:val="23"/>
                <w:szCs w:val="23"/>
                <w:color w:val="auto"/>
              </w:rPr>
            </w:pPr>
          </w:p>
        </w:tc>
        <w:tc>
          <w:tcPr>
            <w:tcW w:w="3000" w:type="dxa"/>
            <w:vAlign w:val="bottom"/>
            <w:gridSpan w:val="3"/>
          </w:tcPr>
          <w:p>
            <w:pPr>
              <w:jc w:val="center"/>
              <w:ind w:left="66"/>
              <w:spacing w:after="0"/>
              <w:rPr>
                <w:sz w:val="20"/>
                <w:szCs w:val="20"/>
                <w:color w:val="auto"/>
              </w:rPr>
            </w:pPr>
            <w:r>
              <w:rPr>
                <w:rFonts w:ascii="Times New Roman" w:cs="Times New Roman" w:eastAsia="Times New Roman" w:hAnsi="Times New Roman"/>
                <w:sz w:val="16"/>
                <w:szCs w:val="16"/>
                <w:b w:val="1"/>
                <w:bCs w:val="1"/>
                <w:color w:val="auto"/>
                <w:w w:val="96"/>
              </w:rPr>
              <w:t>320 Park Avenue, 29th Floor,</w:t>
            </w: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03"/>
        </w:trPr>
        <w:tc>
          <w:tcPr>
            <w:tcW w:w="1320" w:type="dxa"/>
            <w:vAlign w:val="bottom"/>
          </w:tcPr>
          <w:p>
            <w:pPr>
              <w:spacing w:after="0"/>
              <w:rPr>
                <w:sz w:val="17"/>
                <w:szCs w:val="17"/>
                <w:color w:val="auto"/>
              </w:rPr>
            </w:pPr>
          </w:p>
        </w:tc>
        <w:tc>
          <w:tcPr>
            <w:tcW w:w="3000" w:type="dxa"/>
            <w:vAlign w:val="bottom"/>
            <w:gridSpan w:val="3"/>
          </w:tcPr>
          <w:p>
            <w:pPr>
              <w:ind w:left="106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80" w:type="dxa"/>
            <w:vAlign w:val="bottom"/>
            <w:gridSpan w:val="2"/>
          </w:tcPr>
          <w:p>
            <w:pPr>
              <w:jc w:val="right"/>
              <w:ind w:right="2186"/>
              <w:spacing w:after="0"/>
              <w:rPr>
                <w:sz w:val="20"/>
                <w:szCs w:val="20"/>
                <w:color w:val="auto"/>
              </w:rPr>
            </w:pPr>
            <w:r>
              <w:rPr>
                <w:rFonts w:ascii="Times New Roman" w:cs="Times New Roman" w:eastAsia="Times New Roman" w:hAnsi="Times New Roman"/>
                <w:sz w:val="16"/>
                <w:szCs w:val="16"/>
                <w:b w:val="1"/>
                <w:bCs w:val="1"/>
                <w:color w:val="auto"/>
              </w:rPr>
              <w:t>10022</w:t>
            </w:r>
          </w:p>
        </w:tc>
        <w:tc>
          <w:tcPr>
            <w:tcW w:w="600" w:type="dxa"/>
            <w:vAlign w:val="bottom"/>
          </w:tcPr>
          <w:p>
            <w:pPr>
              <w:spacing w:after="0"/>
              <w:rPr>
                <w:sz w:val="17"/>
                <w:szCs w:val="17"/>
                <w:color w:val="auto"/>
              </w:rPr>
            </w:pPr>
          </w:p>
        </w:tc>
      </w:tr>
      <w:tr>
        <w:trPr>
          <w:trHeight w:val="185"/>
        </w:trPr>
        <w:tc>
          <w:tcPr>
            <w:tcW w:w="1320" w:type="dxa"/>
            <w:vAlign w:val="bottom"/>
          </w:tcPr>
          <w:p>
            <w:pPr>
              <w:spacing w:after="0"/>
              <w:rPr>
                <w:sz w:val="16"/>
                <w:szCs w:val="16"/>
                <w:color w:val="auto"/>
              </w:rPr>
            </w:pPr>
          </w:p>
        </w:tc>
        <w:tc>
          <w:tcPr>
            <w:tcW w:w="3000" w:type="dxa"/>
            <w:vAlign w:val="bottom"/>
            <w:gridSpan w:val="3"/>
          </w:tcPr>
          <w:p>
            <w:pPr>
              <w:jc w:val="center"/>
              <w:ind w:left="4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0" w:type="dxa"/>
            <w:vAlign w:val="bottom"/>
            <w:gridSpan w:val="2"/>
          </w:tcPr>
          <w:p>
            <w:pPr>
              <w:jc w:val="center"/>
              <w:ind w:right="2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r>
        <w:trPr>
          <w:trHeight w:val="308"/>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00" w:type="dxa"/>
            <w:vAlign w:val="bottom"/>
            <w:gridSpan w:val="2"/>
          </w:tcPr>
          <w:p>
            <w:pPr>
              <w:jc w:val="center"/>
              <w:ind w:left="364"/>
              <w:spacing w:after="0"/>
              <w:rPr>
                <w:sz w:val="20"/>
                <w:szCs w:val="20"/>
                <w:color w:val="auto"/>
              </w:rPr>
            </w:pPr>
            <w:r>
              <w:rPr>
                <w:rFonts w:ascii="Times New Roman" w:cs="Times New Roman" w:eastAsia="Times New Roman" w:hAnsi="Times New Roman"/>
                <w:sz w:val="16"/>
                <w:szCs w:val="16"/>
                <w:b w:val="1"/>
                <w:bCs w:val="1"/>
                <w:color w:val="auto"/>
                <w:w w:val="97"/>
              </w:rPr>
              <w:t>(212) 277-7100</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4"/>
        </w:trPr>
        <w:tc>
          <w:tcPr>
            <w:tcW w:w="1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40" w:type="dxa"/>
            <w:vAlign w:val="bottom"/>
            <w:gridSpan w:val="6"/>
          </w:tcPr>
          <w:p>
            <w:pPr>
              <w:jc w:val="center"/>
              <w:ind w:left="1084"/>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c>
          <w:tcPr>
            <w:tcW w:w="28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89"/>
        </w:trPr>
        <w:tc>
          <w:tcPr>
            <w:tcW w:w="13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120" w:type="dxa"/>
            <w:vAlign w:val="bottom"/>
            <w:tcBorders>
              <w:bottom w:val="single" w:sz="8" w:color="auto"/>
            </w:tcBorders>
            <w:gridSpan w:val="3"/>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80" w:type="dxa"/>
            <w:vAlign w:val="bottom"/>
            <w:tcBorders>
              <w:bottom w:val="single" w:sz="8" w:color="auto"/>
            </w:tcBorders>
            <w:gridSpan w:val="3"/>
          </w:tcPr>
          <w:p>
            <w:pPr>
              <w:spacing w:after="0"/>
              <w:rPr>
                <w:sz w:val="7"/>
                <w:szCs w:val="7"/>
                <w:color w:val="auto"/>
              </w:rPr>
            </w:pPr>
          </w:p>
        </w:tc>
        <w:tc>
          <w:tcPr>
            <w:tcW w:w="28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r>
      <w:tr>
        <w:trPr>
          <w:trHeight w:val="203"/>
        </w:trPr>
        <w:tc>
          <w:tcPr>
            <w:tcW w:w="1320" w:type="dxa"/>
            <w:vAlign w:val="bottom"/>
            <w:tcBorders>
              <w:left w:val="single" w:sz="8" w:color="auto"/>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8120" w:type="dxa"/>
            <w:vAlign w:val="bottom"/>
            <w:tcBorders>
              <w:bottom w:val="single" w:sz="8" w:color="auto"/>
              <w:right w:val="single" w:sz="8" w:color="auto"/>
            </w:tcBorders>
            <w:gridSpan w:val="9"/>
          </w:tcPr>
          <w:p>
            <w:pPr>
              <w:jc w:val="center"/>
              <w:ind w:right="2500"/>
              <w:spacing w:after="0"/>
              <w:rPr>
                <w:sz w:val="20"/>
                <w:szCs w:val="20"/>
                <w:color w:val="auto"/>
              </w:rPr>
            </w:pPr>
            <w:r>
              <w:rPr>
                <w:rFonts w:ascii="Times New Roman" w:cs="Times New Roman" w:eastAsia="Times New Roman" w:hAnsi="Times New Roman"/>
                <w:sz w:val="16"/>
                <w:szCs w:val="16"/>
                <w:b w:val="1"/>
                <w:bCs w:val="1"/>
                <w:color w:val="auto"/>
                <w:w w:val="98"/>
              </w:rPr>
              <w:t>Securities registered pursuant to Section 12(b) of the Act:</w:t>
            </w:r>
          </w:p>
        </w:tc>
      </w:tr>
      <w:tr>
        <w:trPr>
          <w:trHeight w:val="172"/>
        </w:trPr>
        <w:tc>
          <w:tcPr>
            <w:tcW w:w="3820" w:type="dxa"/>
            <w:vAlign w:val="bottom"/>
            <w:tcBorders>
              <w:left w:val="single" w:sz="8" w:color="auto"/>
              <w:right w:val="single" w:sz="8" w:color="auto"/>
            </w:tcBorders>
            <w:gridSpan w:val="3"/>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500" w:type="dxa"/>
            <w:vAlign w:val="bottom"/>
          </w:tcPr>
          <w:p>
            <w:pPr>
              <w:spacing w:after="0"/>
              <w:rPr>
                <w:sz w:val="14"/>
                <w:szCs w:val="14"/>
                <w:color w:val="auto"/>
              </w:rPr>
            </w:pPr>
          </w:p>
        </w:tc>
        <w:tc>
          <w:tcPr>
            <w:tcW w:w="2320" w:type="dxa"/>
            <w:vAlign w:val="bottom"/>
            <w:tcBorders>
              <w:right w:val="single" w:sz="8" w:color="auto"/>
            </w:tcBorders>
            <w:gridSpan w:val="3"/>
          </w:tcPr>
          <w:p>
            <w:pPr>
              <w:jc w:val="center"/>
              <w:ind w:right="540"/>
              <w:spacing w:after="0" w:line="138" w:lineRule="exact"/>
              <w:rPr>
                <w:sz w:val="20"/>
                <w:szCs w:val="20"/>
                <w:color w:val="auto"/>
              </w:rPr>
            </w:pPr>
            <w:r>
              <w:rPr>
                <w:rFonts w:ascii="Times New Roman" w:cs="Times New Roman" w:eastAsia="Times New Roman" w:hAnsi="Times New Roman"/>
                <w:sz w:val="15"/>
                <w:szCs w:val="15"/>
                <w:b w:val="1"/>
                <w:bCs w:val="1"/>
                <w:color w:val="auto"/>
              </w:rPr>
              <w:t>Trading symbol(s)</w:t>
            </w:r>
          </w:p>
        </w:tc>
        <w:tc>
          <w:tcPr>
            <w:tcW w:w="280" w:type="dxa"/>
            <w:vAlign w:val="bottom"/>
          </w:tcPr>
          <w:p>
            <w:pPr>
              <w:spacing w:after="0"/>
              <w:rPr>
                <w:sz w:val="14"/>
                <w:szCs w:val="14"/>
                <w:color w:val="auto"/>
              </w:rPr>
            </w:pPr>
          </w:p>
        </w:tc>
        <w:tc>
          <w:tcPr>
            <w:tcW w:w="3680" w:type="dxa"/>
            <w:vAlign w:val="bottom"/>
            <w:tcBorders>
              <w:right w:val="single" w:sz="8" w:color="auto"/>
            </w:tcBorders>
            <w:gridSpan w:val="3"/>
          </w:tcPr>
          <w:p>
            <w:pPr>
              <w:jc w:val="center"/>
              <w:ind w:right="320"/>
              <w:spacing w:after="0" w:line="138" w:lineRule="exact"/>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bottom w:val="single" w:sz="8" w:color="auto"/>
              <w:right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bottom w:val="single" w:sz="8" w:color="auto"/>
              <w:right w:val="single" w:sz="8" w:color="auto"/>
            </w:tcBorders>
          </w:tcPr>
          <w:p>
            <w:pPr>
              <w:spacing w:after="0" w:line="20" w:lineRule="exact"/>
              <w:rPr>
                <w:sz w:val="1"/>
                <w:szCs w:val="1"/>
                <w:color w:val="auto"/>
              </w:rPr>
            </w:pPr>
          </w:p>
        </w:tc>
      </w:tr>
      <w:tr>
        <w:trPr>
          <w:trHeight w:val="194"/>
        </w:trPr>
        <w:tc>
          <w:tcPr>
            <w:tcW w:w="38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4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color w:val="auto"/>
                <w:w w:val="97"/>
              </w:rPr>
              <w:t>EXLS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0" w:type="dxa"/>
            <w:vAlign w:val="bottom"/>
            <w:tcBorders>
              <w:bottom w:val="single" w:sz="8" w:color="auto"/>
              <w:right w:val="single" w:sz="8" w:color="auto"/>
            </w:tcBorders>
            <w:gridSpan w:val="2"/>
          </w:tcPr>
          <w:p>
            <w:pPr>
              <w:jc w:val="center"/>
              <w:ind w:right="580"/>
              <w:spacing w:after="0"/>
              <w:rPr>
                <w:sz w:val="20"/>
                <w:szCs w:val="20"/>
                <w:color w:val="auto"/>
              </w:rPr>
            </w:pPr>
            <w:r>
              <w:rPr>
                <w:rFonts w:ascii="Times New Roman" w:cs="Times New Roman" w:eastAsia="Times New Roman" w:hAnsi="Times New Roman"/>
                <w:sz w:val="16"/>
                <w:szCs w:val="16"/>
                <w:color w:val="auto"/>
                <w:w w:val="98"/>
              </w:rPr>
              <w:t>NASDAQ</w:t>
            </w:r>
          </w:p>
        </w:tc>
      </w:tr>
    </w:tbl>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211" w:lineRule="exact"/>
        <w:rPr>
          <w:sz w:val="24"/>
          <w:szCs w:val="24"/>
          <w:color w:val="auto"/>
        </w:rPr>
      </w:pPr>
    </w:p>
    <w:p>
      <w:pPr>
        <w:ind w:firstLine="315"/>
        <w:spacing w:after="0" w:line="24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19" w:lineRule="exact"/>
        <w:tabs>
          <w:tab w:leader="none" w:pos="5040" w:val="left"/>
        </w:tabs>
        <w:rPr>
          <w:sz w:val="20"/>
          <w:szCs w:val="20"/>
          <w:color w:val="auto"/>
        </w:rPr>
      </w:pPr>
      <w:r>
        <w:rPr>
          <w:rFonts w:ascii="Times New Roman" w:cs="Times New Roman" w:eastAsia="Times New Roman" w:hAnsi="Times New Roman"/>
          <w:sz w:val="16"/>
          <w:szCs w:val="16"/>
          <w:color w:val="auto"/>
        </w:rPr>
        <w:t xml:space="preserve">(2)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49" w:lineRule="exact"/>
        <w:rPr>
          <w:sz w:val="24"/>
          <w:szCs w:val="24"/>
          <w:color w:val="auto"/>
        </w:rPr>
      </w:pPr>
    </w:p>
    <w:p>
      <w:pPr>
        <w:ind w:firstLine="315"/>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201" w:lineRule="exact"/>
        <w:rPr>
          <w:sz w:val="24"/>
          <w:szCs w:val="24"/>
          <w:color w:val="auto"/>
        </w:rPr>
      </w:pPr>
    </w:p>
    <w:p>
      <w:pPr>
        <w:ind w:firstLine="315"/>
        <w:spacing w:after="0" w:line="27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340" w:type="dxa"/>
        <w:tblCellMar>
          <w:top w:w="0" w:type="dxa"/>
          <w:left w:w="0" w:type="dxa"/>
          <w:bottom w:w="0" w:type="dxa"/>
          <w:right w:w="0" w:type="dxa"/>
        </w:tblCellMar>
      </w:tblPr>
      <w:tr>
        <w:trPr>
          <w:trHeight w:val="25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ind w:left="25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4"/>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140" w:type="dxa"/>
            <w:vAlign w:val="bottom"/>
          </w:tcPr>
          <w:p>
            <w:pPr>
              <w:ind w:left="460"/>
              <w:spacing w:after="0" w:line="161" w:lineRule="exact"/>
              <w:rPr>
                <w:sz w:val="20"/>
                <w:szCs w:val="20"/>
                <w:color w:val="auto"/>
              </w:rPr>
            </w:pPr>
            <w:r>
              <w:rPr>
                <w:rFonts w:ascii="MS PGothic" w:cs="MS PGothic" w:eastAsia="MS PGothic" w:hAnsi="MS PGothic"/>
                <w:sz w:val="16"/>
                <w:szCs w:val="16"/>
                <w:color w:val="auto"/>
              </w:rPr>
              <w:t>☐</w:t>
            </w:r>
          </w:p>
        </w:tc>
        <w:tc>
          <w:tcPr>
            <w:tcW w:w="4740" w:type="dxa"/>
            <w:vAlign w:val="bottom"/>
          </w:tcPr>
          <w:p>
            <w:pPr>
              <w:spacing w:after="0"/>
              <w:rPr>
                <w:sz w:val="22"/>
                <w:szCs w:val="22"/>
                <w:color w:val="auto"/>
              </w:rPr>
            </w:pPr>
          </w:p>
        </w:tc>
        <w:tc>
          <w:tcPr>
            <w:tcW w:w="620" w:type="dxa"/>
            <w:vAlign w:val="bottom"/>
          </w:tcPr>
          <w:p>
            <w:pPr>
              <w:spacing w:after="0"/>
              <w:rPr>
                <w:sz w:val="22"/>
                <w:szCs w:val="22"/>
                <w:color w:val="auto"/>
              </w:rPr>
            </w:pPr>
          </w:p>
        </w:tc>
      </w:tr>
    </w:tbl>
    <w:p>
      <w:pPr>
        <w:spacing w:after="0" w:line="45" w:lineRule="exact"/>
        <w:rPr>
          <w:sz w:val="24"/>
          <w:szCs w:val="24"/>
          <w:color w:val="auto"/>
        </w:rPr>
      </w:pPr>
    </w:p>
    <w:p>
      <w:pPr>
        <w:ind w:firstLine="315"/>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184" w:lineRule="exact"/>
        <w:tabs>
          <w:tab w:leader="none" w:pos="780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33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April 30, 2024, there were 162,438,150 shares of the registrant’s common stock outstanding, par value $0.001 per share.</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-43815</wp:posOffset>
            </wp:positionV>
            <wp:extent cx="7136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1361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ectPr>
          <w:pgSz w:w="11900" w:h="16838" w:orient="portrait"/>
          <w:cols w:equalWidth="0" w:num="1">
            <w:col w:w="11240"/>
          </w:cols>
          <w:pgMar w:left="320" w:top="46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1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ITEM</w:t>
            </w: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560" w:type="dxa"/>
            <w:vAlign w:val="bottom"/>
            <w:gridSpan w:val="2"/>
            <w:vMerge w:val="continue"/>
          </w:tcPr>
          <w:p>
            <w:pPr>
              <w:spacing w:after="0"/>
              <w:rPr>
                <w:sz w:val="17"/>
                <w:szCs w:val="17"/>
                <w:color w:val="auto"/>
              </w:rPr>
            </w:pPr>
          </w:p>
        </w:tc>
        <w:tc>
          <w:tcPr>
            <w:tcW w:w="20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6"/>
              </w:rPr>
              <w:t>Part I. Financial Information</w:t>
            </w:r>
          </w:p>
        </w:tc>
        <w:tc>
          <w:tcPr>
            <w:tcW w:w="7020" w:type="dxa"/>
            <w:vAlign w:val="bottom"/>
            <w:gridSpan w:val="12"/>
            <w:vMerge w:val="restart"/>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90"/>
        </w:trPr>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0" w:type="dxa"/>
            <w:vAlign w:val="bottom"/>
            <w:tcBorders>
              <w:bottom w:val="single" w:sz="8" w:color="0000FF"/>
            </w:tcBorders>
            <w:gridSpan w:val="9"/>
            <w:vMerge w:val="continue"/>
          </w:tcPr>
          <w:p>
            <w:pPr>
              <w:spacing w:after="0"/>
              <w:rPr>
                <w:sz w:val="16"/>
                <w:szCs w:val="16"/>
                <w:color w:val="auto"/>
              </w:rPr>
            </w:pPr>
          </w:p>
        </w:tc>
        <w:tc>
          <w:tcPr>
            <w:tcW w:w="7020" w:type="dxa"/>
            <w:vAlign w:val="bottom"/>
            <w:gridSpan w:val="1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22"/>
                <w:szCs w:val="22"/>
                <w:color w:val="auto"/>
              </w:rPr>
            </w:pPr>
          </w:p>
        </w:tc>
        <w:tc>
          <w:tcPr>
            <w:tcW w:w="32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5"/>
              </w:rPr>
              <w:t>FINANCIAL STATEMENTS (UNAUDITED)</w:t>
            </w:r>
          </w:p>
        </w:tc>
        <w:tc>
          <w:tcPr>
            <w:tcW w:w="5740" w:type="dxa"/>
            <w:vAlign w:val="bottom"/>
            <w:gridSpan w:val="9"/>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tcBorders>
              <w:bottom w:val="single" w:sz="8" w:color="0000FF"/>
            </w:tcBorders>
            <w:gridSpan w:val="14"/>
          </w:tcPr>
          <w:p>
            <w:pPr>
              <w:spacing w:after="0" w:line="203" w:lineRule="exact"/>
              <w:rPr>
                <w:sz w:val="20"/>
                <w:szCs w:val="20"/>
                <w:color w:val="auto"/>
              </w:rPr>
            </w:pPr>
            <w:r>
              <w:rPr>
                <w:rFonts w:ascii="Times New Roman" w:cs="Times New Roman" w:eastAsia="Times New Roman" w:hAnsi="Times New Roman"/>
                <w:sz w:val="18"/>
                <w:szCs w:val="18"/>
                <w:color w:val="0000FF"/>
                <w:w w:val="96"/>
              </w:rPr>
              <w:t>Consolidated Balance Sheets as of March 31, 2024 and December 31, 2023</w:t>
            </w:r>
          </w:p>
        </w:tc>
        <w:tc>
          <w:tcPr>
            <w:tcW w:w="3540" w:type="dxa"/>
            <w:vAlign w:val="bottom"/>
            <w:gridSpan w:val="6"/>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gridSpan w:val="20"/>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Income for the Three Months Ended March 31, 2024 and 2023</w:t>
            </w: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gridSpan w:val="20"/>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Comprehensive Income for the Three Months Ended March 31, 2024 and 2023</w:t>
            </w: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300" w:type="dxa"/>
            <w:vAlign w:val="bottom"/>
            <w:tcBorders>
              <w:top w:val="single" w:sz="8" w:color="0000FF"/>
              <w:bottom w:val="single" w:sz="8" w:color="0000FF"/>
            </w:tcBorders>
            <w:gridSpan w:val="18"/>
          </w:tcPr>
          <w:p>
            <w:pPr>
              <w:spacing w:after="0" w:line="203" w:lineRule="exact"/>
              <w:rPr>
                <w:sz w:val="20"/>
                <w:szCs w:val="20"/>
                <w:color w:val="auto"/>
              </w:rPr>
            </w:pPr>
            <w:r>
              <w:rPr>
                <w:rFonts w:ascii="Times New Roman" w:cs="Times New Roman" w:eastAsia="Times New Roman" w:hAnsi="Times New Roman"/>
                <w:sz w:val="18"/>
                <w:szCs w:val="18"/>
                <w:color w:val="0000FF"/>
                <w:w w:val="96"/>
              </w:rPr>
              <w:t>Consolidated Statements of Stockholders' Equity for the Three Months Ended March 31, 2024 and 2023</w:t>
            </w:r>
          </w:p>
        </w:tc>
        <w:tc>
          <w:tcPr>
            <w:tcW w:w="200" w:type="dxa"/>
            <w:vAlign w:val="bottom"/>
            <w:tcBorders>
              <w:top w:val="single" w:sz="8" w:color="0000FF"/>
            </w:tcBorders>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20" w:type="dxa"/>
            <w:vAlign w:val="bottom"/>
            <w:gridSpan w:val="20"/>
          </w:tcPr>
          <w:p>
            <w:pPr>
              <w:spacing w:after="0" w:line="203" w:lineRule="exact"/>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2024 and 2023</w:t>
            </w: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Borders>
              <w:top w:val="single" w:sz="8" w:color="0000FF"/>
              <w:bottom w:val="single" w:sz="8" w:color="0000FF"/>
            </w:tcBorders>
            <w:gridSpan w:val="10"/>
          </w:tcPr>
          <w:p>
            <w:pPr>
              <w:spacing w:after="0" w:line="203" w:lineRule="exact"/>
              <w:rPr>
                <w:sz w:val="20"/>
                <w:szCs w:val="20"/>
                <w:color w:val="auto"/>
              </w:rPr>
            </w:pPr>
            <w:r>
              <w:rPr>
                <w:rFonts w:ascii="Times New Roman" w:cs="Times New Roman" w:eastAsia="Times New Roman" w:hAnsi="Times New Roman"/>
                <w:sz w:val="18"/>
                <w:szCs w:val="18"/>
                <w:color w:val="0000FF"/>
                <w:w w:val="96"/>
              </w:rPr>
              <w:t>Notes to Consolidated Financial Statements</w:t>
            </w:r>
          </w:p>
        </w:tc>
        <w:tc>
          <w:tcPr>
            <w:tcW w:w="3600" w:type="dxa"/>
            <w:vAlign w:val="bottom"/>
            <w:tcBorders>
              <w:top w:val="single" w:sz="8" w:color="0000FF"/>
            </w:tcBorders>
            <w:gridSpan w:val="7"/>
          </w:tcPr>
          <w:p>
            <w:pPr>
              <w:spacing w:after="0"/>
              <w:rPr>
                <w:sz w:val="17"/>
                <w:szCs w:val="17"/>
                <w:color w:val="auto"/>
              </w:rPr>
            </w:pPr>
          </w:p>
        </w:tc>
        <w:tc>
          <w:tcPr>
            <w:tcW w:w="2160" w:type="dxa"/>
            <w:vAlign w:val="bottom"/>
            <w:gridSpan w:val="3"/>
          </w:tcPr>
          <w:p>
            <w:pPr>
              <w:spacing w:after="0"/>
              <w:rPr>
                <w:sz w:val="17"/>
                <w:szCs w:val="17"/>
                <w:color w:val="auto"/>
              </w:rPr>
            </w:pPr>
          </w:p>
        </w:tc>
        <w:tc>
          <w:tcPr>
            <w:tcW w:w="6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22"/>
                <w:szCs w:val="22"/>
                <w:color w:val="auto"/>
              </w:rPr>
            </w:pPr>
          </w:p>
        </w:tc>
        <w:tc>
          <w:tcPr>
            <w:tcW w:w="6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6"/>
              </w:rPr>
              <w:t>Management’s Discussion and Analysis of Financial Condition and Results of Operations</w:t>
            </w:r>
          </w:p>
        </w:tc>
        <w:tc>
          <w:tcPr>
            <w:tcW w:w="2740" w:type="dxa"/>
            <w:vAlign w:val="bottom"/>
            <w:gridSpan w:val="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spacing w:after="0"/>
              <w:rPr>
                <w:sz w:val="22"/>
                <w:szCs w:val="22"/>
                <w:color w:val="auto"/>
              </w:rPr>
            </w:pPr>
          </w:p>
        </w:tc>
        <w:tc>
          <w:tcPr>
            <w:tcW w:w="4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6"/>
              </w:rPr>
              <w:t>Quantitative and Qualitative Disclosures About Market Risk</w:t>
            </w:r>
          </w:p>
        </w:tc>
        <w:tc>
          <w:tcPr>
            <w:tcW w:w="4780" w:type="dxa"/>
            <w:vAlign w:val="bottom"/>
            <w:gridSpan w:val="7"/>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spacing w:after="0"/>
              <w:rPr>
                <w:sz w:val="22"/>
                <w:szCs w:val="22"/>
                <w:color w:val="auto"/>
              </w:rPr>
            </w:pPr>
          </w:p>
        </w:tc>
        <w:tc>
          <w:tcPr>
            <w:tcW w:w="17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Controls and Procedures</w:t>
            </w:r>
          </w:p>
        </w:tc>
        <w:tc>
          <w:tcPr>
            <w:tcW w:w="7280" w:type="dxa"/>
            <w:vAlign w:val="bottom"/>
            <w:gridSpan w:val="14"/>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spacing w:after="0"/>
              <w:rPr>
                <w:sz w:val="22"/>
                <w:szCs w:val="22"/>
                <w:color w:val="auto"/>
              </w:rPr>
            </w:pP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500" w:type="dxa"/>
            <w:vAlign w:val="bottom"/>
            <w:tcBorders>
              <w:top w:val="single" w:sz="8" w:color="0000FF"/>
            </w:tcBorders>
            <w:gridSpan w:val="3"/>
          </w:tcPr>
          <w:p>
            <w:pPr>
              <w:spacing w:after="0"/>
              <w:rPr>
                <w:sz w:val="22"/>
                <w:szCs w:val="22"/>
                <w:color w:val="auto"/>
              </w:rPr>
            </w:pPr>
          </w:p>
        </w:tc>
        <w:tc>
          <w:tcPr>
            <w:tcW w:w="7220" w:type="dxa"/>
            <w:vAlign w:val="bottom"/>
            <w:gridSpan w:val="13"/>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5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4"/>
              </w:rPr>
              <w:t>Risk Factors</w:t>
            </w:r>
          </w:p>
        </w:tc>
        <w:tc>
          <w:tcPr>
            <w:tcW w:w="8140" w:type="dxa"/>
            <w:vAlign w:val="bottom"/>
            <w:gridSpan w:val="18"/>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22"/>
                <w:szCs w:val="22"/>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spacing w:after="0"/>
              <w:rPr>
                <w:sz w:val="22"/>
                <w:szCs w:val="22"/>
                <w:color w:val="auto"/>
              </w:rPr>
            </w:pPr>
          </w:p>
        </w:tc>
        <w:tc>
          <w:tcPr>
            <w:tcW w:w="22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6"/>
              </w:rPr>
              <w:t>Defaults Upon Senior Securities</w:t>
            </w:r>
          </w:p>
        </w:tc>
        <w:tc>
          <w:tcPr>
            <w:tcW w:w="1960" w:type="dxa"/>
            <w:vAlign w:val="bottom"/>
            <w:tcBorders>
              <w:top w:val="single" w:sz="8" w:color="0000FF"/>
            </w:tcBorders>
            <w:gridSpan w:val="3"/>
          </w:tcPr>
          <w:p>
            <w:pPr>
              <w:spacing w:after="0"/>
              <w:rPr>
                <w:sz w:val="22"/>
                <w:szCs w:val="22"/>
                <w:color w:val="auto"/>
              </w:rPr>
            </w:pPr>
          </w:p>
        </w:tc>
        <w:tc>
          <w:tcPr>
            <w:tcW w:w="4800" w:type="dxa"/>
            <w:vAlign w:val="bottom"/>
            <w:gridSpan w:val="8"/>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Pr>
          <w:p>
            <w:pPr>
              <w:spacing w:after="0"/>
              <w:rPr>
                <w:sz w:val="22"/>
                <w:szCs w:val="22"/>
                <w:color w:val="auto"/>
              </w:rPr>
            </w:pPr>
          </w:p>
        </w:tc>
        <w:tc>
          <w:tcPr>
            <w:tcW w:w="17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6"/>
              </w:rPr>
              <w:t>Mine Safety Disclosures</w:t>
            </w:r>
          </w:p>
        </w:tc>
        <w:tc>
          <w:tcPr>
            <w:tcW w:w="7300" w:type="dxa"/>
            <w:vAlign w:val="bottom"/>
            <w:gridSpan w:val="15"/>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0" w:type="dxa"/>
            <w:vAlign w:val="bottom"/>
          </w:tcPr>
          <w:p>
            <w:pPr>
              <w:spacing w:after="0"/>
              <w:rPr>
                <w:sz w:val="22"/>
                <w:szCs w:val="22"/>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7740" w:type="dxa"/>
            <w:vAlign w:val="bottom"/>
            <w:gridSpan w:val="17"/>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0" w:type="dxa"/>
            <w:vAlign w:val="bottom"/>
          </w:tcPr>
          <w:p>
            <w:pPr>
              <w:spacing w:after="0"/>
              <w:rPr>
                <w:sz w:val="1"/>
                <w:szCs w:val="1"/>
                <w:color w:val="auto"/>
              </w:rPr>
            </w:pPr>
          </w:p>
        </w:tc>
      </w:tr>
      <w:tr>
        <w:trPr>
          <w:trHeight w:val="25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spacing w:after="0"/>
              <w:rPr>
                <w:sz w:val="22"/>
                <w:szCs w:val="22"/>
                <w:color w:val="auto"/>
              </w:rPr>
            </w:pPr>
          </w:p>
        </w:tc>
        <w:tc>
          <w:tcPr>
            <w:tcW w:w="90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Exhibits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0" w:type="dxa"/>
            <w:vAlign w:val="bottom"/>
          </w:tcPr>
          <w:p>
            <w:pPr>
              <w:spacing w:after="0"/>
              <w:rPr>
                <w:sz w:val="1"/>
                <w:szCs w:val="1"/>
                <w:color w:val="auto"/>
              </w:rPr>
            </w:pPr>
          </w:p>
        </w:tc>
      </w:tr>
      <w:tr>
        <w:trPr>
          <w:trHeight w:val="256"/>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0" w:type="dxa"/>
            <w:vAlign w:val="bottom"/>
            <w:tcBorders>
              <w:top w:val="single" w:sz="8" w:color="0000FF"/>
            </w:tcBorders>
          </w:tcPr>
          <w:p>
            <w:pPr>
              <w:spacing w:after="0"/>
              <w:rPr>
                <w:sz w:val="22"/>
                <w:szCs w:val="22"/>
                <w:color w:val="auto"/>
              </w:rPr>
            </w:pPr>
          </w:p>
        </w:tc>
        <w:tc>
          <w:tcPr>
            <w:tcW w:w="380" w:type="dxa"/>
            <w:vAlign w:val="bottom"/>
            <w:tcBorders>
              <w:top w:val="single" w:sz="8" w:color="0000FF"/>
            </w:tcBorders>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167" w:lineRule="exact"/>
        <w:rPr>
          <w:sz w:val="20"/>
          <w:szCs w:val="20"/>
          <w:color w:val="auto"/>
        </w:rPr>
      </w:pPr>
    </w:p>
    <w:tbl>
      <w:tblPr>
        <w:tblLayout w:type="fixed"/>
        <w:tblInd w:w="160" w:type="dxa"/>
        <w:tblCellMar>
          <w:top w:w="0" w:type="dxa"/>
          <w:left w:w="0" w:type="dxa"/>
          <w:bottom w:w="0" w:type="dxa"/>
          <w:right w:w="0" w:type="dxa"/>
        </w:tblCellMar>
      </w:tblPr>
      <w:tr>
        <w:trPr>
          <w:trHeight w:val="201"/>
        </w:trPr>
        <w:tc>
          <w:tcPr>
            <w:tcW w:w="63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5"/>
                <w:szCs w:val="15"/>
                <w:b w:val="1"/>
                <w:bCs w:val="1"/>
                <w:color w:val="auto"/>
              </w:rPr>
              <w:t>As of</w:t>
            </w:r>
          </w:p>
        </w:tc>
        <w:tc>
          <w:tcPr>
            <w:tcW w:w="1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300" w:type="dxa"/>
            <w:vAlign w:val="bottom"/>
          </w:tcPr>
          <w:p>
            <w:pPr>
              <w:spacing w:after="0"/>
              <w:rPr>
                <w:sz w:val="17"/>
                <w:szCs w:val="17"/>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7"/>
                <w:szCs w:val="17"/>
                <w:color w:val="auto"/>
              </w:rPr>
            </w:pPr>
          </w:p>
        </w:tc>
        <w:tc>
          <w:tcPr>
            <w:tcW w:w="1660" w:type="dxa"/>
            <w:vAlign w:val="bottom"/>
          </w:tcPr>
          <w:p>
            <w:pPr>
              <w:jc w:val="right"/>
              <w:ind w:right="225"/>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78"/>
        </w:trPr>
        <w:tc>
          <w:tcPr>
            <w:tcW w:w="6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108,565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136,953</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Short-term investments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137,585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153,881</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Restricted cash</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4,062</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receivable,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335,523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308,108</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current assets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11</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78,753</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76,669</w:t>
            </w:r>
          </w:p>
        </w:tc>
        <w:tc>
          <w:tcPr>
            <w:tcW w:w="0" w:type="dxa"/>
            <w:vAlign w:val="bottom"/>
          </w:tcPr>
          <w:p>
            <w:pPr>
              <w:spacing w:after="0"/>
              <w:rPr>
                <w:sz w:val="1"/>
                <w:szCs w:val="1"/>
                <w:color w:val="auto"/>
              </w:rPr>
            </w:pP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assets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664,717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679,673</w:t>
            </w: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101,622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100,373</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64,856</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Restricted cash</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4,386</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assets,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91,840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82,927</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Goodwill</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405,574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405,639</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Other intangible assets,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47,080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50,164</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Long-term investments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4,430</w:t>
            </w:r>
          </w:p>
        </w:tc>
        <w:tc>
          <w:tcPr>
            <w:tcW w:w="0" w:type="dxa"/>
            <w:vAlign w:val="bottom"/>
          </w:tcPr>
          <w:p>
            <w:pPr>
              <w:spacing w:after="0"/>
              <w:rPr>
                <w:sz w:val="1"/>
                <w:szCs w:val="1"/>
                <w:color w:val="auto"/>
              </w:rPr>
            </w:pPr>
          </w:p>
        </w:tc>
      </w:tr>
      <w:tr>
        <w:trPr>
          <w:trHeight w:val="195"/>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Other assets</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52,979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49,524</w:t>
            </w:r>
          </w:p>
        </w:tc>
        <w:tc>
          <w:tcPr>
            <w:tcW w:w="0" w:type="dxa"/>
            <w:vAlign w:val="bottom"/>
          </w:tcPr>
          <w:p>
            <w:pPr>
              <w:spacing w:after="0"/>
              <w:rPr>
                <w:sz w:val="1"/>
                <w:szCs w:val="1"/>
                <w:color w:val="auto"/>
              </w:rPr>
            </w:pPr>
          </w:p>
        </w:tc>
      </w:tr>
      <w:tr>
        <w:trPr>
          <w:trHeight w:val="217"/>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1,439,391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1,441,972</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w w:val="7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3,093</w:t>
            </w:r>
          </w:p>
        </w:tc>
        <w:tc>
          <w:tcPr>
            <w:tcW w:w="120" w:type="dxa"/>
            <w:vAlign w:val="bottom"/>
          </w:tcPr>
          <w:p>
            <w:pPr>
              <w:spacing w:after="0"/>
              <w:rPr>
                <w:sz w:val="16"/>
                <w:szCs w:val="16"/>
                <w:color w:val="auto"/>
              </w:rPr>
            </w:pPr>
          </w:p>
        </w:tc>
        <w:tc>
          <w:tcPr>
            <w:tcW w:w="20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5,055</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long-term borrowings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65,000</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Deferred revenue</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16,939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12,318</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employee costs</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50,970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117,137</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107,059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112,900</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13,486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12,780</w:t>
            </w:r>
          </w:p>
        </w:tc>
        <w:tc>
          <w:tcPr>
            <w:tcW w:w="0" w:type="dxa"/>
            <w:vAlign w:val="bottom"/>
          </w:tcPr>
          <w:p>
            <w:pPr>
              <w:spacing w:after="0"/>
              <w:rPr>
                <w:sz w:val="1"/>
                <w:szCs w:val="1"/>
                <w:color w:val="auto"/>
              </w:rPr>
            </w:pPr>
          </w:p>
        </w:tc>
      </w:tr>
      <w:tr>
        <w:trPr>
          <w:trHeight w:val="195"/>
        </w:trPr>
        <w:tc>
          <w:tcPr>
            <w:tcW w:w="63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5"/>
                <w:szCs w:val="15"/>
                <w:color w:val="auto"/>
              </w:rPr>
              <w:t>Income taxes payable, net</w:t>
            </w:r>
          </w:p>
        </w:tc>
        <w:tc>
          <w:tcPr>
            <w:tcW w:w="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4,894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color w:val="auto"/>
              </w:rPr>
              <w:t>1,213</w:t>
            </w:r>
          </w:p>
        </w:tc>
        <w:tc>
          <w:tcPr>
            <w:tcW w:w="0" w:type="dxa"/>
            <w:vAlign w:val="bottom"/>
          </w:tcPr>
          <w:p>
            <w:pPr>
              <w:spacing w:after="0"/>
              <w:rPr>
                <w:sz w:val="1"/>
                <w:szCs w:val="1"/>
                <w:color w:val="auto"/>
              </w:rPr>
            </w:pPr>
          </w:p>
        </w:tc>
      </w:tr>
      <w:tr>
        <w:trPr>
          <w:trHeight w:val="19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261,441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326,403</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Long-term borrowings, less current portion</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135,000</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59,876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58,175</w:t>
            </w: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Deferred tax liabilities, net</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1,495</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Other non-current liabilities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33,384</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31,462</w:t>
            </w:r>
          </w:p>
        </w:tc>
        <w:tc>
          <w:tcPr>
            <w:tcW w:w="0" w:type="dxa"/>
            <w:vAlign w:val="bottom"/>
          </w:tcPr>
          <w:p>
            <w:pPr>
              <w:spacing w:after="0"/>
              <w:rPr>
                <w:sz w:val="1"/>
                <w:szCs w:val="1"/>
                <w:color w:val="auto"/>
              </w:rPr>
            </w:pPr>
          </w:p>
        </w:tc>
      </w:tr>
      <w:tr>
        <w:trPr>
          <w:trHeight w:val="19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w:t>
            </w: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636,136</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552,535</w:t>
            </w:r>
          </w:p>
        </w:tc>
        <w:tc>
          <w:tcPr>
            <w:tcW w:w="0" w:type="dxa"/>
            <w:vAlign w:val="bottom"/>
          </w:tcPr>
          <w:p>
            <w:pPr>
              <w:spacing w:after="0"/>
              <w:rPr>
                <w:sz w:val="1"/>
                <w:szCs w:val="1"/>
                <w:color w:val="auto"/>
              </w:rPr>
            </w:pPr>
          </w:p>
        </w:tc>
      </w:tr>
      <w:tr>
        <w:trPr>
          <w:trHeight w:val="17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Commitments and contingencies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ExlService Holdings, Inc. Stockholders’ equity:</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Preferred stock, $0.001 par value; 15,000,000 shares authorized, none issued</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5"/>
        </w:trPr>
        <w:tc>
          <w:tcPr>
            <w:tcW w:w="6300" w:type="dxa"/>
            <w:vAlign w:val="bottom"/>
          </w:tcPr>
          <w:p>
            <w:pPr>
              <w:ind w:left="320"/>
              <w:spacing w:after="0" w:line="145" w:lineRule="exact"/>
              <w:rPr>
                <w:sz w:val="20"/>
                <w:szCs w:val="20"/>
                <w:color w:val="auto"/>
              </w:rPr>
            </w:pPr>
            <w:r>
              <w:rPr>
                <w:rFonts w:ascii="Times New Roman" w:cs="Times New Roman" w:eastAsia="Times New Roman" w:hAnsi="Times New Roman"/>
                <w:sz w:val="15"/>
                <w:szCs w:val="15"/>
                <w:color w:val="auto"/>
              </w:rPr>
              <w:t>Common stock, $0.001 par value; 400,000,000 shares authorized, 204,734,988 shares issued and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300" w:type="dxa"/>
            <w:vAlign w:val="bottom"/>
          </w:tcPr>
          <w:p>
            <w:pPr>
              <w:ind w:left="320"/>
              <w:spacing w:after="0" w:line="145" w:lineRule="exact"/>
              <w:rPr>
                <w:sz w:val="20"/>
                <w:szCs w:val="20"/>
                <w:color w:val="auto"/>
              </w:rPr>
            </w:pPr>
            <w:r>
              <w:rPr>
                <w:rFonts w:ascii="Times New Roman" w:cs="Times New Roman" w:eastAsia="Times New Roman" w:hAnsi="Times New Roman"/>
                <w:sz w:val="15"/>
                <w:szCs w:val="15"/>
                <w:color w:val="auto"/>
              </w:rPr>
              <w:t>162,425,610 shares outstanding as of March 31, 2024 and 203,410,038 shares issued and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165,277,880 shares outstanding as of December 31, 2023</w:t>
            </w:r>
          </w:p>
        </w:tc>
        <w:tc>
          <w:tcPr>
            <w:tcW w:w="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203</w:t>
            </w:r>
          </w:p>
        </w:tc>
        <w:tc>
          <w:tcPr>
            <w:tcW w:w="0" w:type="dxa"/>
            <w:vAlign w:val="bottom"/>
          </w:tcPr>
          <w:p>
            <w:pPr>
              <w:spacing w:after="0"/>
              <w:rPr>
                <w:sz w:val="1"/>
                <w:szCs w:val="1"/>
                <w:color w:val="auto"/>
              </w:rPr>
            </w:pPr>
          </w:p>
        </w:tc>
      </w:tr>
      <w:tr>
        <w:trPr>
          <w:trHeight w:val="201"/>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502,827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508,028</w:t>
            </w:r>
          </w:p>
        </w:tc>
        <w:tc>
          <w:tcPr>
            <w:tcW w:w="0" w:type="dxa"/>
            <w:vAlign w:val="bottom"/>
          </w:tcPr>
          <w:p>
            <w:pPr>
              <w:spacing w:after="0"/>
              <w:rPr>
                <w:sz w:val="1"/>
                <w:szCs w:val="1"/>
                <w:color w:val="auto"/>
              </w:rPr>
            </w:pPr>
          </w:p>
        </w:tc>
      </w:tr>
      <w:tr>
        <w:trPr>
          <w:trHeight w:val="195"/>
        </w:trPr>
        <w:tc>
          <w:tcPr>
            <w:tcW w:w="63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Retained earnings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1,132,426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1,083,663</w:t>
            </w:r>
          </w:p>
        </w:tc>
        <w:tc>
          <w:tcPr>
            <w:tcW w:w="0" w:type="dxa"/>
            <w:vAlign w:val="bottom"/>
          </w:tcPr>
          <w:p>
            <w:pPr>
              <w:spacing w:after="0"/>
              <w:rPr>
                <w:sz w:val="1"/>
                <w:szCs w:val="1"/>
                <w:color w:val="auto"/>
              </w:rPr>
            </w:pPr>
          </w:p>
        </w:tc>
      </w:tr>
      <w:tr>
        <w:trPr>
          <w:trHeight w:val="199"/>
        </w:trPr>
        <w:tc>
          <w:tcPr>
            <w:tcW w:w="6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(130,436)</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(127,040)</w:t>
            </w:r>
          </w:p>
        </w:tc>
        <w:tc>
          <w:tcPr>
            <w:tcW w:w="0" w:type="dxa"/>
            <w:vAlign w:val="bottom"/>
          </w:tcPr>
          <w:p>
            <w:pPr>
              <w:spacing w:after="0"/>
              <w:rPr>
                <w:sz w:val="1"/>
                <w:szCs w:val="1"/>
                <w:color w:val="auto"/>
              </w:rPr>
            </w:pPr>
          </w:p>
        </w:tc>
      </w:tr>
      <w:tr>
        <w:trPr>
          <w:trHeight w:val="190"/>
        </w:trPr>
        <w:tc>
          <w:tcPr>
            <w:tcW w:w="63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including shares held in treasury</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1,505,021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1,464,854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35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tbl>
      <w:tblPr>
        <w:tblLayout w:type="fixed"/>
        <w:tblInd w:w="160" w:type="dxa"/>
        <w:tblCellMar>
          <w:top w:w="0" w:type="dxa"/>
          <w:left w:w="0" w:type="dxa"/>
          <w:bottom w:w="0" w:type="dxa"/>
          <w:right w:w="0" w:type="dxa"/>
        </w:tblCellMar>
      </w:tblPr>
      <w:tr>
        <w:trPr>
          <w:trHeight w:val="145"/>
        </w:trPr>
        <w:tc>
          <w:tcPr>
            <w:tcW w:w="634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5"/>
                <w:szCs w:val="15"/>
                <w:color w:val="auto"/>
              </w:rPr>
              <w:t>Less: 42,309,378 shares as of March 31, 2024 and 38,132,158 shares as of December 31, 2023, held in</w:t>
            </w:r>
          </w:p>
        </w:tc>
        <w:tc>
          <w:tcPr>
            <w:tcW w:w="7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r>
      <w:tr>
        <w:trPr>
          <w:trHeight w:val="21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treasury, at cost</w:t>
            </w:r>
          </w:p>
        </w:tc>
        <w:tc>
          <w:tcPr>
            <w:tcW w:w="76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5"/>
                <w:szCs w:val="15"/>
                <w:color w:val="auto"/>
              </w:rPr>
              <w:t>19</w:t>
            </w:r>
          </w:p>
        </w:tc>
        <w:tc>
          <w:tcPr>
            <w:tcW w:w="6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(701,766)</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(575,417)</w:t>
            </w:r>
          </w:p>
        </w:tc>
      </w:tr>
      <w:tr>
        <w:trPr>
          <w:trHeight w:val="190"/>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b w:val="1"/>
                <w:bCs w:val="1"/>
                <w:color w:val="auto"/>
              </w:rPr>
              <w:t>Total stockholders’ equity</w:t>
            </w:r>
          </w:p>
        </w:tc>
        <w:tc>
          <w:tcPr>
            <w:tcW w:w="7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803,255</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889,437</w:t>
            </w:r>
          </w:p>
        </w:tc>
      </w:tr>
      <w:tr>
        <w:trPr>
          <w:trHeight w:val="216"/>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Total liabilities and stockholders’ equity</w:t>
            </w:r>
          </w:p>
        </w:tc>
        <w:tc>
          <w:tcPr>
            <w:tcW w:w="7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1,439,391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6"/>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2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5"/>
                <w:szCs w:val="15"/>
                <w:b w:val="1"/>
                <w:bCs w:val="1"/>
                <w:color w:val="auto"/>
              </w:rPr>
              <w:t>1,441,972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00"/>
          </w:cols>
          <w:pgMar w:left="320" w:top="356"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64" w:lineRule="exact"/>
        <w:rPr>
          <w:sz w:val="20"/>
          <w:szCs w:val="20"/>
          <w:color w:val="auto"/>
        </w:rPr>
      </w:pPr>
    </w:p>
    <w:tbl>
      <w:tblPr>
        <w:tblLayout w:type="fixed"/>
        <w:tblInd w:w="260" w:type="dxa"/>
        <w:tblCellMar>
          <w:top w:w="0" w:type="dxa"/>
          <w:left w:w="0" w:type="dxa"/>
          <w:bottom w:w="0" w:type="dxa"/>
          <w:right w:w="0" w:type="dxa"/>
        </w:tblCellMar>
      </w:tblPr>
      <w:tr>
        <w:trPr>
          <w:trHeight w:val="211"/>
        </w:trPr>
        <w:tc>
          <w:tcPr>
            <w:tcW w:w="63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638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3, 4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400,643</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Cost of revenues </w:t>
            </w:r>
            <w:r>
              <w:rPr>
                <w:rFonts w:ascii="Times New Roman" w:cs="Times New Roman" w:eastAsia="Times New Roman" w:hAnsi="Times New Roman"/>
                <w:sz w:val="22"/>
                <w:szCs w:val="22"/>
                <w:color w:val="auto"/>
                <w:vertAlign w:val="superscript"/>
              </w:rPr>
              <w:t>(1)</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251,469</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22"/>
                <w:szCs w:val="22"/>
                <w:b w:val="1"/>
                <w:bCs w:val="1"/>
                <w:color w:val="auto"/>
                <w:vertAlign w:val="superscript"/>
              </w:rPr>
              <w:t>(1)</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163,083</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149,174</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53,243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46,746</w:t>
            </w:r>
          </w:p>
        </w:tc>
        <w:tc>
          <w:tcPr>
            <w:tcW w:w="0" w:type="dxa"/>
            <w:vAlign w:val="bottom"/>
          </w:tcPr>
          <w:p>
            <w:pPr>
              <w:spacing w:after="0"/>
              <w:rPr>
                <w:sz w:val="1"/>
                <w:szCs w:val="1"/>
                <w:color w:val="auto"/>
              </w:rPr>
            </w:pPr>
          </w:p>
        </w:tc>
      </w:tr>
      <w:tr>
        <w:trPr>
          <w:trHeight w:val="223"/>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9, 10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0" w:type="dxa"/>
            <w:vAlign w:val="bottom"/>
          </w:tcPr>
          <w:p>
            <w:pPr>
              <w:spacing w:after="0"/>
              <w:rPr>
                <w:sz w:val="1"/>
                <w:szCs w:val="1"/>
                <w:color w:val="auto"/>
              </w:rPr>
            </w:pPr>
          </w:p>
        </w:tc>
      </w:tr>
      <w:tr>
        <w:trPr>
          <w:trHeight w:val="217"/>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101,559</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89,726</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61,524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59,448</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 affiliates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62,544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59,323</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8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48,791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51,265</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Gain/(loss) from equity-method investment</w:t>
            </w: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2"/>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48,763</w:t>
            </w: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51,331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line="209" w:lineRule="exact"/>
              <w:rPr>
                <w:sz w:val="20"/>
                <w:szCs w:val="20"/>
                <w:color w:val="auto"/>
              </w:rPr>
            </w:pPr>
            <w:r>
              <w:rPr>
                <w:rFonts w:ascii="Times New Roman" w:cs="Times New Roman" w:eastAsia="Times New Roman" w:hAnsi="Times New Roman"/>
                <w:sz w:val="18"/>
                <w:szCs w:val="18"/>
                <w:color w:val="auto"/>
              </w:rPr>
              <w:t xml:space="preserve">Earnings per share attributable to ExlService Holdings, Inc. stockholders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8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38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23"/>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80" w:type="dxa"/>
            <w:vAlign w:val="bottom"/>
          </w:tcPr>
          <w:p>
            <w:pPr>
              <w:spacing w:after="0"/>
              <w:rPr>
                <w:sz w:val="19"/>
                <w:szCs w:val="19"/>
                <w:color w:val="auto"/>
              </w:rPr>
            </w:pPr>
          </w:p>
        </w:tc>
        <w:tc>
          <w:tcPr>
            <w:tcW w:w="360" w:type="dxa"/>
            <w:vAlign w:val="bottom"/>
          </w:tcPr>
          <w:p>
            <w:pPr>
              <w:jc w:val="right"/>
              <w:ind w:right="198"/>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171"/>
        </w:trPr>
        <w:tc>
          <w:tcPr>
            <w:tcW w:w="638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w w:val="99"/>
              </w:rPr>
              <w:t>Weighted average number of shares used in computing earnings per share attributable to</w:t>
            </w:r>
          </w:p>
        </w:tc>
        <w:tc>
          <w:tcPr>
            <w:tcW w:w="8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380" w:type="dxa"/>
            <w:vAlign w:val="bottom"/>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ExlService Holdings, Inc. stockholders </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165,082,387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167,197,820</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166,726,853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169,657,400</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260" w:hanging="255"/>
        <w:spacing w:after="0"/>
        <w:tabs>
          <w:tab w:leader="none" w:pos="2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Exclusive of depreciation and amortization expense.</w:t>
      </w:r>
    </w:p>
    <w:p>
      <w:pPr>
        <w:spacing w:after="0" w:line="23" w:lineRule="exact"/>
        <w:rPr>
          <w:rFonts w:ascii="Times New Roman" w:cs="Times New Roman" w:eastAsia="Times New Roman" w:hAnsi="Times New Roman"/>
          <w:sz w:val="18"/>
          <w:szCs w:val="18"/>
          <w:i w:val="1"/>
          <w:iCs w:val="1"/>
          <w:color w:val="auto"/>
        </w:rPr>
      </w:pPr>
    </w:p>
    <w:p>
      <w:pPr>
        <w:ind w:left="260" w:hanging="255"/>
        <w:spacing w:after="0"/>
        <w:tabs>
          <w:tab w:leader="none" w:pos="26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Prior period information has been adjusted to reflect the 5-for-1 forward stock split of the Company’s common stock effected in August 2023. Refer to Note</w:t>
      </w:r>
    </w:p>
    <w:p>
      <w:pPr>
        <w:spacing w:after="0" w:line="26" w:lineRule="exact"/>
        <w:rPr>
          <w:rFonts w:ascii="Times New Roman" w:cs="Times New Roman" w:eastAsia="Times New Roman" w:hAnsi="Times New Roman"/>
          <w:sz w:val="16"/>
          <w:szCs w:val="16"/>
          <w:i w:val="1"/>
          <w:iCs w:val="1"/>
          <w:color w:val="auto"/>
        </w:rPr>
      </w:pPr>
    </w:p>
    <w:p>
      <w:pPr>
        <w:spacing w:after="0"/>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8"/>
          <w:szCs w:val="18"/>
          <w:i w:val="1"/>
          <w:iCs w:val="1"/>
          <w:color w:val="auto"/>
        </w:rPr>
        <w:t>19 – Capital Structure to the unaudited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9" w:lineRule="exact"/>
        <w:rPr>
          <w:sz w:val="20"/>
          <w:szCs w:val="20"/>
          <w:color w:val="auto"/>
        </w:rPr>
      </w:pPr>
    </w:p>
    <w:tbl>
      <w:tblPr>
        <w:tblLayout w:type="fixed"/>
        <w:tblInd w:w="460" w:type="dxa"/>
        <w:tblCellMar>
          <w:top w:w="0" w:type="dxa"/>
          <w:left w:w="0" w:type="dxa"/>
          <w:bottom w:w="0" w:type="dxa"/>
          <w:right w:w="0" w:type="dxa"/>
        </w:tblCellMar>
      </w:tblPr>
      <w:tr>
        <w:trPr>
          <w:trHeight w:val="211"/>
        </w:trPr>
        <w:tc>
          <w:tcPr>
            <w:tcW w:w="59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596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51,331</w:t>
            </w:r>
          </w:p>
        </w:tc>
      </w:tr>
      <w:tr>
        <w:trPr>
          <w:trHeight w:val="223"/>
        </w:trPr>
        <w:tc>
          <w:tcPr>
            <w:tcW w:w="5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3"/>
        </w:trPr>
        <w:tc>
          <w:tcPr>
            <w:tcW w:w="59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w:t>
            </w:r>
          </w:p>
        </w:tc>
      </w:tr>
      <w:tr>
        <w:trPr>
          <w:trHeight w:val="223"/>
        </w:trPr>
        <w:tc>
          <w:tcPr>
            <w:tcW w:w="59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r>
      <w:tr>
        <w:trPr>
          <w:trHeight w:val="223"/>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Reclassification adjustments:</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5960" w:type="dxa"/>
            <w:vAlign w:val="bottom"/>
          </w:tcPr>
          <w:p>
            <w:pPr>
              <w:ind w:left="440"/>
              <w:spacing w:after="0" w:line="223" w:lineRule="exact"/>
              <w:rPr>
                <w:sz w:val="20"/>
                <w:szCs w:val="20"/>
                <w:color w:val="auto"/>
              </w:rPr>
            </w:pPr>
            <w:r>
              <w:rPr>
                <w:rFonts w:ascii="Times New Roman" w:cs="Times New Roman" w:eastAsia="Times New Roman" w:hAnsi="Times New Roman"/>
                <w:sz w:val="18"/>
                <w:szCs w:val="18"/>
                <w:color w:val="auto"/>
              </w:rPr>
              <w:t>(Gain)/loss on cash flow hedges</w:t>
            </w:r>
            <w:r>
              <w:rPr>
                <w:rFonts w:ascii="Times New Roman" w:cs="Times New Roman" w:eastAsia="Times New Roman" w:hAnsi="Times New Roman"/>
                <w:sz w:val="22"/>
                <w:szCs w:val="22"/>
                <w:color w:val="auto"/>
                <w:vertAlign w:val="superscript"/>
              </w:rPr>
              <w:t>(1)</w:t>
            </w:r>
          </w:p>
        </w:tc>
        <w:tc>
          <w:tcPr>
            <w:tcW w:w="8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r>
      <w:tr>
        <w:trPr>
          <w:trHeight w:val="223"/>
        </w:trPr>
        <w:tc>
          <w:tcPr>
            <w:tcW w:w="5960" w:type="dxa"/>
            <w:vAlign w:val="bottom"/>
            <w:shd w:val="clear" w:color="auto" w:fill="CCEEFF"/>
          </w:tcPr>
          <w:p>
            <w:pPr>
              <w:ind w:left="440"/>
              <w:spacing w:after="0" w:line="223" w:lineRule="exact"/>
              <w:rPr>
                <w:sz w:val="20"/>
                <w:szCs w:val="20"/>
                <w:color w:val="auto"/>
              </w:rPr>
            </w:pPr>
            <w:r>
              <w:rPr>
                <w:rFonts w:ascii="Times New Roman" w:cs="Times New Roman" w:eastAsia="Times New Roman" w:hAnsi="Times New Roman"/>
                <w:sz w:val="18"/>
                <w:szCs w:val="18"/>
                <w:color w:val="auto"/>
              </w:rPr>
              <w:t>Retirement benefits</w:t>
            </w:r>
            <w:r>
              <w:rPr>
                <w:rFonts w:ascii="Times New Roman" w:cs="Times New Roman" w:eastAsia="Times New Roman" w:hAnsi="Times New Roman"/>
                <w:sz w:val="22"/>
                <w:szCs w:val="22"/>
                <w:color w:val="auto"/>
                <w:vertAlign w:val="superscript"/>
              </w:rPr>
              <w:t>(2)</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20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960" w:type="dxa"/>
            <w:vAlign w:val="bottom"/>
            <w:tcBorders>
              <w:bottom w:val="single" w:sz="8" w:color="CCEEFF"/>
            </w:tcBorders>
          </w:tcPr>
          <w:p>
            <w:pPr>
              <w:ind w:left="100"/>
              <w:spacing w:after="0" w:line="223" w:lineRule="exact"/>
              <w:rPr>
                <w:sz w:val="20"/>
                <w:szCs w:val="20"/>
                <w:color w:val="auto"/>
              </w:rPr>
            </w:pPr>
            <w:r>
              <w:rPr>
                <w:rFonts w:ascii="Times New Roman" w:cs="Times New Roman" w:eastAsia="Times New Roman" w:hAnsi="Times New Roman"/>
                <w:sz w:val="18"/>
                <w:szCs w:val="18"/>
                <w:b w:val="1"/>
                <w:bCs w:val="1"/>
                <w:color w:val="auto"/>
              </w:rPr>
              <w:t>Income tax effects relating to above</w:t>
            </w:r>
            <w:r>
              <w:rPr>
                <w:rFonts w:ascii="Times New Roman" w:cs="Times New Roman" w:eastAsia="Times New Roman" w:hAnsi="Times New Roman"/>
                <w:sz w:val="22"/>
                <w:szCs w:val="22"/>
                <w:b w:val="1"/>
                <w:bCs w:val="1"/>
                <w:color w:val="auto"/>
                <w:vertAlign w:val="superscript"/>
              </w:rPr>
              <w:t>(3)</w:t>
            </w:r>
          </w:p>
        </w:tc>
        <w:tc>
          <w:tcPr>
            <w:tcW w:w="8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5"/>
                <w:szCs w:val="15"/>
                <w:color w:val="auto"/>
                <w:w w:val="93"/>
              </w:rPr>
              <w:t>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r>
      <w:tr>
        <w:trPr>
          <w:trHeight w:val="217"/>
        </w:trPr>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Total other comprehensive income/(loss)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12,656</w:t>
            </w:r>
          </w:p>
        </w:tc>
      </w:tr>
      <w:tr>
        <w:trPr>
          <w:trHeight w:val="217"/>
        </w:trPr>
        <w:tc>
          <w:tcPr>
            <w:tcW w:w="5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45,367</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63,987</w:t>
            </w:r>
          </w:p>
        </w:tc>
      </w:tr>
      <w:tr>
        <w:trPr>
          <w:trHeight w:val="20"/>
        </w:trPr>
        <w:tc>
          <w:tcPr>
            <w:tcW w:w="5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320" w:hanging="315"/>
        <w:spacing w:after="0" w:line="270" w:lineRule="auto"/>
        <w:tabs>
          <w:tab w:leader="none" w:pos="314"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cost of revenues, operating expenses and interest expense, as applicable in the unaudited consolidated statements of income.</w:t>
      </w:r>
    </w:p>
    <w:p>
      <w:pPr>
        <w:spacing w:after="0" w:line="60" w:lineRule="exact"/>
        <w:rPr>
          <w:rFonts w:ascii="Times New Roman" w:cs="Times New Roman" w:eastAsia="Times New Roman" w:hAnsi="Times New Roman"/>
          <w:sz w:val="18"/>
          <w:szCs w:val="18"/>
          <w:i w:val="1"/>
          <w:iCs w:val="1"/>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reclassified to net income and are included in other income, net in the unaudited consolidated statements of income.</w:t>
      </w:r>
    </w:p>
    <w:p>
      <w:pPr>
        <w:spacing w:after="0" w:line="108" w:lineRule="exact"/>
        <w:rPr>
          <w:rFonts w:ascii="Times New Roman" w:cs="Times New Roman" w:eastAsia="Times New Roman" w:hAnsi="Times New Roman"/>
          <w:sz w:val="18"/>
          <w:szCs w:val="18"/>
          <w:i w:val="1"/>
          <w:iCs w:val="1"/>
          <w:color w:val="auto"/>
        </w:rPr>
      </w:pPr>
    </w:p>
    <w:p>
      <w:pPr>
        <w:ind w:left="320" w:hanging="315"/>
        <w:spacing w:after="0"/>
        <w:tabs>
          <w:tab w:leader="none" w:pos="3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These are income tax effects recognized on cash flow hedges, retirement benefits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count)</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40" w:type="dxa"/>
            <w:vAlign w:val="bottom"/>
            <w:gridSpan w:val="2"/>
            <w:vMerge w:val="restart"/>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40"/>
              <w:spacing w:after="0" w:line="125"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2100" w:type="dxa"/>
            <w:vAlign w:val="bottom"/>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90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8"/>
                <w:szCs w:val="18"/>
                <w:b w:val="1"/>
                <w:bCs w:val="1"/>
                <w:color w:val="auto"/>
                <w:vertAlign w:val="superscript"/>
              </w:rPr>
              <w:t>(2)</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2024</w:t>
            </w: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203,410,038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508,028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1,083,663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(127,040)</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(38,132,158)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(575,417)</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889,437</w:t>
            </w:r>
          </w:p>
        </w:tc>
        <w:tc>
          <w:tcPr>
            <w:tcW w:w="0" w:type="dxa"/>
            <w:vAlign w:val="bottom"/>
          </w:tcPr>
          <w:p>
            <w:pPr>
              <w:spacing w:after="0"/>
              <w:rPr>
                <w:sz w:val="1"/>
                <w:szCs w:val="1"/>
                <w:color w:val="auto"/>
              </w:rPr>
            </w:pPr>
          </w:p>
        </w:tc>
      </w:tr>
      <w:tr>
        <w:trPr>
          <w:trHeight w:val="131"/>
        </w:trPr>
        <w:tc>
          <w:tcPr>
            <w:tcW w:w="23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1,324,950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1,948</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17,852</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(4,177,220)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(126,349)</w:t>
            </w: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Accelerated share repurchase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5, 19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120" w:type="dxa"/>
            <w:vAlign w:val="bottom"/>
          </w:tcPr>
          <w:p>
            <w:pPr>
              <w:spacing w:after="0"/>
              <w:rPr>
                <w:sz w:val="16"/>
                <w:szCs w:val="16"/>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(3,396)</w:t>
            </w:r>
          </w:p>
        </w:tc>
        <w:tc>
          <w:tcPr>
            <w:tcW w:w="0" w:type="dxa"/>
            <w:vAlign w:val="bottom"/>
          </w:tcPr>
          <w:p>
            <w:pPr>
              <w:spacing w:after="0"/>
              <w:rPr>
                <w:sz w:val="1"/>
                <w:szCs w:val="1"/>
                <w:color w:val="auto"/>
              </w:rPr>
            </w:pPr>
          </w:p>
        </w:tc>
      </w:tr>
      <w:tr>
        <w:trPr>
          <w:trHeight w:val="197"/>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48,763</w:t>
            </w:r>
          </w:p>
        </w:tc>
        <w:tc>
          <w:tcPr>
            <w:tcW w:w="0" w:type="dxa"/>
            <w:vAlign w:val="bottom"/>
          </w:tcPr>
          <w:p>
            <w:pPr>
              <w:spacing w:after="0"/>
              <w:rPr>
                <w:sz w:val="1"/>
                <w:szCs w:val="1"/>
                <w:color w:val="auto"/>
              </w:rPr>
            </w:pPr>
          </w:p>
        </w:tc>
      </w:tr>
      <w:tr>
        <w:trPr>
          <w:trHeight w:val="197"/>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204,734,988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502,827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1,132,426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(130,436)</w:t>
            </w:r>
          </w:p>
        </w:tc>
        <w:tc>
          <w:tcPr>
            <w:tcW w:w="12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(42,309,378)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(701,766)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803,255</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2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 xml:space="preserve">Common Stock </w:t>
            </w:r>
            <w:r>
              <w:rPr>
                <w:rFonts w:ascii="Times New Roman" w:cs="Times New Roman" w:eastAsia="Times New Roman" w:hAnsi="Times New Roman"/>
                <w:sz w:val="18"/>
                <w:szCs w:val="18"/>
                <w:b w:val="1"/>
                <w:bCs w:val="1"/>
                <w:color w:val="auto"/>
                <w:w w:val="96"/>
                <w:vertAlign w:val="superscript"/>
              </w:rPr>
              <w:t>(1)</w:t>
            </w:r>
          </w:p>
        </w:tc>
        <w:tc>
          <w:tcPr>
            <w:tcW w:w="120" w:type="dxa"/>
            <w:vAlign w:val="bottom"/>
          </w:tcPr>
          <w:p>
            <w:pPr>
              <w:spacing w:after="0"/>
              <w:rPr>
                <w:sz w:val="24"/>
                <w:szCs w:val="2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21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340" w:type="dxa"/>
            <w:vAlign w:val="bottom"/>
          </w:tcPr>
          <w:p>
            <w:pPr>
              <w:spacing w:after="0"/>
              <w:rPr>
                <w:sz w:val="5"/>
                <w:szCs w:val="5"/>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gridSpan w:val="2"/>
          </w:tcPr>
          <w:p>
            <w:pPr>
              <w:jc w:val="center"/>
              <w:ind w:right="240"/>
              <w:spacing w:after="0" w:line="59" w:lineRule="exact"/>
              <w:rPr>
                <w:sz w:val="20"/>
                <w:szCs w:val="20"/>
                <w:color w:val="auto"/>
              </w:rPr>
            </w:pPr>
            <w:r>
              <w:rPr>
                <w:rFonts w:ascii="Times New Roman" w:cs="Times New Roman" w:eastAsia="Times New Roman" w:hAnsi="Times New Roman"/>
                <w:sz w:val="6"/>
                <w:szCs w:val="6"/>
                <w:b w:val="1"/>
                <w:bCs w:val="1"/>
                <w:color w:val="auto"/>
              </w:rPr>
              <w:t>Paid-in</w:t>
            </w:r>
          </w:p>
        </w:tc>
        <w:tc>
          <w:tcPr>
            <w:tcW w:w="120" w:type="dxa"/>
            <w:vAlign w:val="bottom"/>
          </w:tcPr>
          <w:p>
            <w:pPr>
              <w:spacing w:after="0"/>
              <w:rPr>
                <w:sz w:val="5"/>
                <w:szCs w:val="5"/>
                <w:color w:val="auto"/>
              </w:rPr>
            </w:pPr>
          </w:p>
        </w:tc>
        <w:tc>
          <w:tcPr>
            <w:tcW w:w="840" w:type="dxa"/>
            <w:vAlign w:val="bottom"/>
            <w:gridSpan w:val="2"/>
          </w:tcPr>
          <w:p>
            <w:pPr>
              <w:ind w:left="40"/>
              <w:spacing w:after="0" w:line="59" w:lineRule="exact"/>
              <w:rPr>
                <w:sz w:val="20"/>
                <w:szCs w:val="20"/>
                <w:color w:val="auto"/>
              </w:rPr>
            </w:pPr>
            <w:r>
              <w:rPr>
                <w:rFonts w:ascii="Times New Roman" w:cs="Times New Roman" w:eastAsia="Times New Roman" w:hAnsi="Times New Roman"/>
                <w:sz w:val="6"/>
                <w:szCs w:val="6"/>
                <w:b w:val="1"/>
                <w:bCs w:val="1"/>
                <w:color w:val="auto"/>
              </w:rPr>
              <w:t>Retained</w:t>
            </w:r>
          </w:p>
        </w:tc>
        <w:tc>
          <w:tcPr>
            <w:tcW w:w="140" w:type="dxa"/>
            <w:vAlign w:val="bottom"/>
          </w:tcPr>
          <w:p>
            <w:pPr>
              <w:spacing w:after="0"/>
              <w:rPr>
                <w:sz w:val="5"/>
                <w:szCs w:val="5"/>
                <w:color w:val="auto"/>
              </w:rPr>
            </w:pPr>
          </w:p>
        </w:tc>
        <w:tc>
          <w:tcPr>
            <w:tcW w:w="1280" w:type="dxa"/>
            <w:vAlign w:val="bottom"/>
            <w:gridSpan w:val="2"/>
          </w:tcPr>
          <w:p>
            <w:pPr>
              <w:jc w:val="center"/>
              <w:ind w:right="24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line="190" w:lineRule="exact"/>
              <w:rPr>
                <w:sz w:val="20"/>
                <w:szCs w:val="20"/>
                <w:color w:val="auto"/>
              </w:rPr>
            </w:pPr>
            <w:r>
              <w:rPr>
                <w:rFonts w:ascii="Times New Roman" w:cs="Times New Roman" w:eastAsia="Times New Roman" w:hAnsi="Times New Roman"/>
                <w:sz w:val="14"/>
                <w:szCs w:val="14"/>
                <w:b w:val="1"/>
                <w:bCs w:val="1"/>
                <w:color w:val="auto"/>
                <w:w w:val="93"/>
              </w:rPr>
              <w:t xml:space="preserve">Capital </w:t>
            </w:r>
            <w:r>
              <w:rPr>
                <w:rFonts w:ascii="Times New Roman" w:cs="Times New Roman" w:eastAsia="Times New Roman" w:hAnsi="Times New Roman"/>
                <w:sz w:val="18"/>
                <w:szCs w:val="18"/>
                <w:b w:val="1"/>
                <w:bCs w:val="1"/>
                <w:color w:val="auto"/>
                <w:w w:val="93"/>
                <w:vertAlign w:val="superscript"/>
              </w:rPr>
              <w:t>(1)</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1080" w:type="dxa"/>
            <w:vAlign w:val="bottom"/>
            <w:gridSpan w:val="2"/>
          </w:tcPr>
          <w:p>
            <w:pPr>
              <w:ind w:left="220"/>
              <w:spacing w:after="0" w:line="190" w:lineRule="exact"/>
              <w:rPr>
                <w:sz w:val="20"/>
                <w:szCs w:val="20"/>
                <w:color w:val="auto"/>
              </w:rPr>
            </w:pPr>
            <w:r>
              <w:rPr>
                <w:rFonts w:ascii="Times New Roman" w:cs="Times New Roman" w:eastAsia="Times New Roman" w:hAnsi="Times New Roman"/>
                <w:sz w:val="14"/>
                <w:szCs w:val="14"/>
                <w:b w:val="1"/>
                <w:bCs w:val="1"/>
                <w:color w:val="auto"/>
              </w:rPr>
              <w:t xml:space="preserve">Shares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199,939,880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444,948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899,105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(144,143)</w:t>
            </w:r>
          </w:p>
        </w:tc>
        <w:tc>
          <w:tcPr>
            <w:tcW w:w="1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(33,767,660)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(441,931)</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758,179</w:t>
            </w:r>
          </w:p>
        </w:tc>
        <w:tc>
          <w:tcPr>
            <w:tcW w:w="0" w:type="dxa"/>
            <w:vAlign w:val="bottom"/>
          </w:tcPr>
          <w:p>
            <w:pPr>
              <w:spacing w:after="0"/>
              <w:rPr>
                <w:sz w:val="1"/>
                <w:szCs w:val="1"/>
                <w:color w:val="auto"/>
              </w:rPr>
            </w:pPr>
          </w:p>
        </w:tc>
      </w:tr>
      <w:tr>
        <w:trPr>
          <w:trHeight w:val="131"/>
        </w:trPr>
        <w:tc>
          <w:tcPr>
            <w:tcW w:w="2340" w:type="dxa"/>
            <w:vAlign w:val="bottom"/>
          </w:tcPr>
          <w:p>
            <w:pPr>
              <w:ind w:left="20"/>
              <w:spacing w:after="0" w:line="131" w:lineRule="exact"/>
              <w:rPr>
                <w:sz w:val="20"/>
                <w:szCs w:val="20"/>
                <w:color w:val="auto"/>
              </w:rPr>
            </w:pPr>
            <w:r>
              <w:rPr>
                <w:rFonts w:ascii="Times New Roman" w:cs="Times New Roman" w:eastAsia="Times New Roman" w:hAnsi="Times New Roman"/>
                <w:sz w:val="14"/>
                <w:szCs w:val="14"/>
                <w:color w:val="auto"/>
              </w:rPr>
              <w:t>Stock issued against stock-based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1,731,960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1,012</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compensation plans</w:t>
            </w: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w:t>
            </w: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(1,296,905)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(42,363)</w:t>
            </w: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12,656</w:t>
            </w:r>
          </w:p>
        </w:tc>
        <w:tc>
          <w:tcPr>
            <w:tcW w:w="0" w:type="dxa"/>
            <w:vAlign w:val="bottom"/>
          </w:tcPr>
          <w:p>
            <w:pPr>
              <w:spacing w:after="0"/>
              <w:rPr>
                <w:sz w:val="1"/>
                <w:szCs w:val="1"/>
                <w:color w:val="auto"/>
              </w:rPr>
            </w:pPr>
          </w:p>
        </w:tc>
      </w:tr>
      <w:tr>
        <w:trPr>
          <w:trHeight w:val="19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51,331</w:t>
            </w:r>
          </w:p>
        </w:tc>
        <w:tc>
          <w:tcPr>
            <w:tcW w:w="0" w:type="dxa"/>
            <w:vAlign w:val="bottom"/>
          </w:tcPr>
          <w:p>
            <w:pPr>
              <w:spacing w:after="0"/>
              <w:rPr>
                <w:sz w:val="1"/>
                <w:szCs w:val="1"/>
                <w:color w:val="auto"/>
              </w:rPr>
            </w:pPr>
          </w:p>
        </w:tc>
      </w:tr>
      <w:tr>
        <w:trPr>
          <w:trHeight w:val="216"/>
        </w:trPr>
        <w:tc>
          <w:tcPr>
            <w:tcW w:w="2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201,671,840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460,365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950,436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(131,487)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(35,064,565)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(484,294)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795,222</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firstLine="5"/>
        <w:spacing w:after="0" w:line="289" w:lineRule="auto"/>
        <w:tabs>
          <w:tab w:leader="none" w:pos="237"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174" w:lineRule="exact"/>
        <w:rPr>
          <w:rFonts w:ascii="Times New Roman" w:cs="Times New Roman" w:eastAsia="Times New Roman" w:hAnsi="Times New Roman"/>
          <w:sz w:val="16"/>
          <w:szCs w:val="16"/>
          <w:i w:val="1"/>
          <w:iCs w:val="1"/>
          <w:color w:val="auto"/>
        </w:rPr>
      </w:pPr>
    </w:p>
    <w:p>
      <w:pPr>
        <w:ind w:left="220" w:hanging="215"/>
        <w:spacing w:after="0"/>
        <w:tabs>
          <w:tab w:leader="none" w:pos="220" w:val="left"/>
        </w:tabs>
        <w:numPr>
          <w:ilvl w:val="0"/>
          <w:numId w:val="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Inclusive of excise tax for the three months ended March 31, 2024. Refer to Note 19 – Capital Structure to the unaudited consolidated financial statements for further details.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08"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2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3"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1" w:lineRule="exact"/>
        <w:rPr>
          <w:sz w:val="20"/>
          <w:szCs w:val="20"/>
          <w:color w:val="auto"/>
        </w:rPr>
      </w:pPr>
    </w:p>
    <w:tbl>
      <w:tblPr>
        <w:tblLayout w:type="fixed"/>
        <w:tblInd w:w="760" w:type="dxa"/>
        <w:tblCellMar>
          <w:top w:w="0" w:type="dxa"/>
          <w:left w:w="0" w:type="dxa"/>
          <w:bottom w:w="0" w:type="dxa"/>
          <w:right w:w="0" w:type="dxa"/>
        </w:tblCellMar>
      </w:tblPr>
      <w:tr>
        <w:trPr>
          <w:trHeight w:val="185"/>
        </w:trPr>
        <w:tc>
          <w:tcPr>
            <w:tcW w:w="6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6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8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48,763</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51,331</w:t>
            </w:r>
          </w:p>
        </w:tc>
      </w:tr>
      <w:tr>
        <w:trPr>
          <w:trHeight w:val="20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by/(used for) operating activities: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13,408</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14,407</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Reduction in the carrying amount of operating lease right-of-use assets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mark-to-market of investments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8,186</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Unrealized foreign currency exchange (gain)/loss, net</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(9,444)</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(Reversal)/allowance for expected credit losses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Fair value changes in contingent consideration</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Others, net</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1,160</w:t>
            </w:r>
          </w:p>
        </w:tc>
      </w:tr>
      <w:tr>
        <w:trPr>
          <w:trHeight w:val="20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 net of effects of acquisitions: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(30,896)</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(11,394)</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(6,046)</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taxes payable, net</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7,883</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(4,172)</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Accrued employee costs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(64,246)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(57,315)</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26,931</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w:t>
            </w:r>
          </w:p>
        </w:tc>
        <w:tc>
          <w:tcPr>
            <w:tcW w:w="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8"/>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for)/provided by operating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(21,873)</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16,025</w:t>
            </w:r>
          </w:p>
        </w:tc>
      </w:tr>
      <w:tr>
        <w:trPr>
          <w:trHeight w:val="190"/>
        </w:trPr>
        <w:tc>
          <w:tcPr>
            <w:tcW w:w="6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30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(11,266)</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(12,479)</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565</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investments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(51,495)</w:t>
            </w:r>
          </w:p>
        </w:tc>
      </w:tr>
      <w:tr>
        <w:trPr>
          <w:trHeight w:val="190"/>
        </w:trPr>
        <w:tc>
          <w:tcPr>
            <w:tcW w:w="6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Proceeds from redemption of investments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80,825</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106,750</w:t>
            </w:r>
          </w:p>
        </w:tc>
      </w:tr>
      <w:tr>
        <w:trPr>
          <w:trHeight w:val="19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4,689</w:t>
            </w:r>
          </w:p>
        </w:tc>
        <w:tc>
          <w:tcPr>
            <w:tcW w:w="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43,341</w:t>
            </w:r>
          </w:p>
        </w:tc>
      </w:tr>
      <w:tr>
        <w:trPr>
          <w:trHeight w:val="33"/>
        </w:trPr>
        <w:tc>
          <w:tcPr>
            <w:tcW w:w="6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9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Principal payments of finance lease liabilities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borrowings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Repayments of borrowings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(35,000)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68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(152,227)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(42,363)</w:t>
            </w:r>
          </w:p>
        </w:tc>
      </w:tr>
      <w:tr>
        <w:trPr>
          <w:trHeight w:val="204"/>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183"/>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for financing activities</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(9,773)</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(91,304)</w:t>
            </w:r>
          </w:p>
        </w:tc>
      </w:tr>
      <w:tr>
        <w:trPr>
          <w:trHeight w:val="19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(30,656)</w:t>
            </w:r>
          </w:p>
        </w:tc>
      </w:tr>
      <w:tr>
        <w:trPr>
          <w:trHeight w:val="20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beginning of the period</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145,401</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125,621</w:t>
            </w: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the end of the period</w:t>
            </w: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117,232</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94,965</w:t>
            </w:r>
          </w:p>
        </w:tc>
      </w:tr>
      <w:tr>
        <w:trPr>
          <w:trHeight w:val="51"/>
        </w:trPr>
        <w:tc>
          <w:tcPr>
            <w:tcW w:w="68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1"/>
        </w:trPr>
        <w:tc>
          <w:tcPr>
            <w:tcW w:w="68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30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tcPr>
          <w:p>
            <w:pPr>
              <w:spacing w:after="0"/>
              <w:rPr>
                <w:sz w:val="16"/>
                <w:szCs w:val="16"/>
                <w:color w:val="auto"/>
              </w:rPr>
            </w:pPr>
          </w:p>
        </w:tc>
      </w:tr>
      <w:tr>
        <w:trPr>
          <w:trHeight w:val="20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during the period for:</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9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2,971</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3,325</w:t>
            </w:r>
          </w:p>
        </w:tc>
      </w:tr>
      <w:tr>
        <w:trPr>
          <w:trHeight w:val="20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taxes</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r>
      <w:tr>
        <w:trPr>
          <w:trHeight w:val="190"/>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activities: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4"/>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property and equipment not yet paid</w:t>
            </w: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3,827</w:t>
            </w:r>
          </w:p>
        </w:tc>
      </w:tr>
      <w:tr>
        <w:trPr>
          <w:trHeight w:val="183"/>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Assets acquired under finance lease</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5"/>
                <w:szCs w:val="15"/>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r>
    </w:tbl>
    <w:p>
      <w:pPr>
        <w:spacing w:after="0" w:line="30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00" w:lineRule="exact"/>
        <w:rPr>
          <w:sz w:val="20"/>
          <w:szCs w:val="20"/>
          <w:color w:val="auto"/>
        </w:rPr>
      </w:pP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80"/>
          </w:cols>
          <w:pgMar w:left="320" w:top="356" w:right="10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0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50"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is a leading data analytics and digital operations and solutions company. The Company partners with clients using a data and AI-led approach to reinvent business models, drive better business outcomes and unlock growth with speed. The Company harnesses the power of data, analytics, artificial intelligence (“AI”), and deep industry knowledge to transform operations for the world’s leading corporations in industries including insurance, healthcare, banking and financial services, media and retail, among others.</w:t>
      </w:r>
    </w:p>
    <w:p>
      <w:pPr>
        <w:spacing w:after="0" w:line="13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clients are located principally in the United States of America (“U.S.”) and the United Kingdom (“U.K.”).</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6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2023.</w:t>
      </w:r>
    </w:p>
    <w:p>
      <w:pPr>
        <w:spacing w:after="0" w:line="116"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07"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consolidated financial statements.</w:t>
      </w:r>
    </w:p>
    <w:p>
      <w:pPr>
        <w:spacing w:after="0" w:line="207"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purchase consideration paid over proportionate share of the fair value of the net assets of the investee at the acquisition date is recognized as goodwill. The proportionate share of net income or loss of the investee after its acquisition is recognized in the unaudited consolidated statements of income.</w:t>
      </w:r>
    </w:p>
    <w:p>
      <w:pPr>
        <w:spacing w:after="0" w:line="207"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Accounting policies of the respective individual subsidiaries and equity affiliates are aligned wherever necessary, so as to ensure consistency with the accounting policies that are adopted by the Company under U.S. GAAP.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65"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carrying amounts of assets and liabilities and disclosure of contingent assets and liabilities included in the unaudited consolidated financial statements. Although these estimates are based on management’s best assessment of the current business environment, actual results may be different from those estimates. The significant estimates that affect the unaudited consolidated financial statements include, but are not limited to, estimates of the fair value of the identifiable intangible assets and contingent consideration, purchase price allocation, including revenue projections and the discount rate applied within the discounted cash flow model for business acquisitions, credit risk of customers, the nature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timing of the satisfaction of performance obligations, the standalone selling price of performance obligations, and variable consideration in a customer contract, expected recoverability from customers with contingent fee arrangements, estimated costs to complete fixed price contracts, assets and obligations related to employee benefit plans, deferred tax valuation allowances, income-tax uncertainties and other contingencies, valuation of derivative financial instruments and stock-based awards, and useful life of long-lived assets and other intangible assets. The significant assumptions underneath these estimates include, but are not limited to assumptions to calculate stock-based compensation expense, determine incremental borrowing rate to calculate lease liabilities and right-of-use (“ROU”) assets, determine lease term to calculate single operating lease cost, determine pattern of generation of economic benefits to calculate depreciation and amortization for long-lived assets and other intangible assets, and recoverability of long-lived assets, goodwill and other intangible assets.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Recent Accounting Pronouncements</w:t>
      </w:r>
    </w:p>
    <w:p>
      <w:pPr>
        <w:spacing w:after="0" w:line="242"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 Update (“ASU”) 2023-06, </w:t>
      </w:r>
      <w:r>
        <w:rPr>
          <w:rFonts w:ascii="Times New Roman" w:cs="Times New Roman" w:eastAsia="Times New Roman" w:hAnsi="Times New Roman"/>
          <w:sz w:val="18"/>
          <w:szCs w:val="18"/>
          <w:i w:val="1"/>
          <w:iCs w:val="1"/>
          <w:color w:val="auto"/>
        </w:rPr>
        <w:t>Disclosure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Codification Amendments in Response to the SEC’s Disclosure Update and Simplification Initiative</w:t>
      </w:r>
      <w:r>
        <w:rPr>
          <w:rFonts w:ascii="Times New Roman" w:cs="Times New Roman" w:eastAsia="Times New Roman" w:hAnsi="Times New Roman"/>
          <w:sz w:val="18"/>
          <w:szCs w:val="18"/>
          <w:color w:val="auto"/>
        </w:rPr>
        <w:t>. This ASU modifies the disclosure or presentation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a variety of Topics in the Codification. Certain of the amendments represent clarifications to or technical corrections of the current requirements.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The amendments in this ASU should be applied prospectively. For all entities, if by June 30, 2027, the SEC has not removed the applicable requirement from Regulation S-X or Regulation S-K, the pending content of the related amendment will be removed from the Codification and will not become effective for any entity. The adoption of this ASU will not have a material impact on the Company’s unaudited consolidated financial statements. The Company will continue to monitor for SEC action, and plan accordingly for adoption.</w:t>
      </w:r>
    </w:p>
    <w:p>
      <w:pPr>
        <w:spacing w:after="0" w:line="218" w:lineRule="exact"/>
        <w:rPr>
          <w:sz w:val="20"/>
          <w:szCs w:val="20"/>
          <w:color w:val="auto"/>
        </w:rPr>
      </w:pPr>
    </w:p>
    <w:p>
      <w:pPr>
        <w:jc w:val="both"/>
        <w:ind w:firstLine="394"/>
        <w:spacing w:after="0" w:line="247" w:lineRule="auto"/>
        <w:rPr>
          <w:sz w:val="20"/>
          <w:szCs w:val="20"/>
          <w:color w:val="auto"/>
        </w:rPr>
      </w:pPr>
      <w:r>
        <w:rPr>
          <w:rFonts w:ascii="Times New Roman" w:cs="Times New Roman" w:eastAsia="Times New Roman" w:hAnsi="Times New Roman"/>
          <w:sz w:val="18"/>
          <w:szCs w:val="18"/>
          <w:color w:val="auto"/>
        </w:rPr>
        <w:t xml:space="preserve">In November 2023, FASB issued ASU No. 2023-07, </w:t>
      </w:r>
      <w:r>
        <w:rPr>
          <w:rFonts w:ascii="Times New Roman" w:cs="Times New Roman" w:eastAsia="Times New Roman" w:hAnsi="Times New Roman"/>
          <w:sz w:val="18"/>
          <w:szCs w:val="18"/>
          <w:i w:val="1"/>
          <w:iCs w:val="1"/>
          <w:color w:val="auto"/>
        </w:rPr>
        <w:t>Segment Reporting (“Accounting Standards Codification (“ASC”) Topic 280”):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Reportable Segment Disclosures</w:t>
      </w:r>
      <w:r>
        <w:rPr>
          <w:rFonts w:ascii="Times New Roman" w:cs="Times New Roman" w:eastAsia="Times New Roman" w:hAnsi="Times New Roman"/>
          <w:sz w:val="18"/>
          <w:szCs w:val="18"/>
          <w:color w:val="auto"/>
        </w:rPr>
        <w:t>. This ASU improves reportable segment disclosure requirements on an annual and interim basis for all public entities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disclosure of significant segment expenses that are regularly reviewed by the chief operating decision maker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U.S. GAAP, the disclosure of additional measures of segment profit or loss that are used by the CODM in assessing segment performance and deciding how to allocate resources. The ASU is effective for fiscal years beginning after December 15, 2023, and interim periods within fiscal years beginning after December 15, 2024, with early adoption permitted. The Company is currently evaluating the impact of this ASU on its unaudited consolidated financial statements.</w:t>
      </w:r>
    </w:p>
    <w:p>
      <w:pPr>
        <w:spacing w:after="0" w:line="215"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In December 2023, FASB issued ASU No. 2023-09, </w:t>
      </w:r>
      <w:r>
        <w:rPr>
          <w:rFonts w:ascii="Times New Roman" w:cs="Times New Roman" w:eastAsia="Times New Roman" w:hAnsi="Times New Roman"/>
          <w:sz w:val="18"/>
          <w:szCs w:val="18"/>
          <w:i w:val="1"/>
          <w:iCs w:val="1"/>
          <w:color w:val="auto"/>
        </w:rPr>
        <w:t>Income Taxes (“ASC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ASU expands disclosures relating to the entity’s income tax rate reconciliation, income taxes paid and certain other disclosures related to income taxes. The ASU will be effective for annual periods beginning after December 15, 2024. The Company is currently evaluating the impact of this ASU on its unaudited consolidated financial statements.</w:t>
      </w:r>
    </w:p>
    <w:p>
      <w:pPr>
        <w:spacing w:after="0" w:line="20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In March 2024, FASB issued ASU No. 2024-01,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Topic 718”). This ASU clarifies how to evaluate whether profits interest and similar awards given to employees and non-employees are within the scope of share-based payment arrangement under ASC 718. The ASU will be effective for annual periods beginning after December 15, 2024, including interim periods within those years. The Company is currently evaluating the impact of this ASU on its unaudited consolidated financial statements.</w:t>
      </w:r>
    </w:p>
    <w:p>
      <w:pPr>
        <w:spacing w:after="0" w:line="20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 xml:space="preserve">In March 2024, FASB issued ASU No. 2024-02, </w:t>
      </w:r>
      <w:r>
        <w:rPr>
          <w:rFonts w:ascii="Times New Roman" w:cs="Times New Roman" w:eastAsia="Times New Roman" w:hAnsi="Times New Roman"/>
          <w:sz w:val="18"/>
          <w:szCs w:val="18"/>
          <w:i w:val="1"/>
          <w:iCs w:val="1"/>
          <w:color w:val="auto"/>
        </w:rPr>
        <w:t>Codification Improvements—Amendments to Remove References to the Concepts Statements</w:t>
      </w:r>
      <w:r>
        <w:rPr>
          <w:rFonts w:ascii="Times New Roman" w:cs="Times New Roman" w:eastAsia="Times New Roman" w:hAnsi="Times New Roman"/>
          <w:sz w:val="18"/>
          <w:szCs w:val="18"/>
          <w:color w:val="auto"/>
        </w:rPr>
        <w:t>. This ASU contains amendments to the ASC that remove references to various FASB Concepts Statements. The ASU will be effective for annual periods beginning after December 15, 2024, with early adoption permitted. The Company is currently evaluating the impact of this ASU on its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Recently adopted Accounting Pronouncements</w:t>
      </w:r>
    </w:p>
    <w:p>
      <w:pPr>
        <w:spacing w:after="0" w:line="150"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 xml:space="preserve">In March 2023, FASB issued ASU No. 2023-01, </w:t>
      </w:r>
      <w:r>
        <w:rPr>
          <w:rFonts w:ascii="Times New Roman" w:cs="Times New Roman" w:eastAsia="Times New Roman" w:hAnsi="Times New Roman"/>
          <w:sz w:val="18"/>
          <w:szCs w:val="18"/>
          <w:i w:val="1"/>
          <w:iCs w:val="1"/>
          <w:color w:val="auto"/>
        </w:rPr>
        <w:t>Leases (“ASC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Common Control Arrangements</w:t>
      </w:r>
      <w:r>
        <w:rPr>
          <w:rFonts w:ascii="Times New Roman" w:cs="Times New Roman" w:eastAsia="Times New Roman" w:hAnsi="Times New Roman"/>
          <w:sz w:val="18"/>
          <w:szCs w:val="18"/>
          <w:color w:val="auto"/>
        </w:rPr>
        <w:t>. This ASU provides guidance in ASC Topic 842 that leasehold improvements associated with common control leases should be (i) amortized by the lessee over the useful life of the leasehold improvements to the common control group, regardless of the lease term, as long as the lessee controls the use of the underlying asset through a lease, and (ii) accounted for as a transfer between entities under common control through an adjustment to equity if and when the lessee no longer controls the use of the underlying asset. The ASU is effective for fiscal years beginning after December 15, 2023. Early adoption is permitted for both interim and annual financial statements that have not yet been issued. When adopted in an interim period, it must be adopted from the beginning of the year that includes that interim period. The Company does not have any lease arrangements with entities under common control and the adoption of this ASU did not have a material impact on its unaudited consolidated financial statements.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is a provider of data analytics and digital operations and solutions.</w:t>
      </w:r>
    </w:p>
    <w:p>
      <w:pPr>
        <w:spacing w:after="0" w:line="161"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The Company manages and reports financial information through its four reportable segments: Insurance, Healthcare, Analytics and Emerging Business, which reflects how management reviews financial information and makes operating decisions. These business units develop client-specific solutions, build capabilities, maintain a unified go-to-market approach and are integrally responsible for service delivery, customer satisfaction, growth and profitability.</w:t>
      </w:r>
    </w:p>
    <w:p>
      <w:pPr>
        <w:spacing w:after="0" w:line="92" w:lineRule="exact"/>
        <w:rPr>
          <w:sz w:val="20"/>
          <w:szCs w:val="20"/>
          <w:color w:val="auto"/>
        </w:rPr>
      </w:pPr>
    </w:p>
    <w:p>
      <w:pPr>
        <w:jc w:val="both"/>
        <w:ind w:firstLine="315"/>
        <w:spacing w:after="0" w:line="268" w:lineRule="auto"/>
        <w:rPr>
          <w:sz w:val="20"/>
          <w:szCs w:val="20"/>
          <w:color w:val="auto"/>
        </w:rPr>
      </w:pPr>
      <w:r>
        <w:rPr>
          <w:rFonts w:ascii="Times New Roman" w:cs="Times New Roman" w:eastAsia="Times New Roman" w:hAnsi="Times New Roman"/>
          <w:sz w:val="18"/>
          <w:szCs w:val="18"/>
          <w:color w:val="auto"/>
        </w:rPr>
        <w:t>The CODM generally reviews financial information such as revenues, cost of revenues and gross profit, disaggregated by the operating segments to allocate an overall budget among the operating segments.</w:t>
      </w:r>
    </w:p>
    <w:p>
      <w:pPr>
        <w:spacing w:after="0" w:line="116" w:lineRule="exact"/>
        <w:rPr>
          <w:sz w:val="20"/>
          <w:szCs w:val="20"/>
          <w:color w:val="auto"/>
        </w:rPr>
      </w:pPr>
    </w:p>
    <w:p>
      <w:pPr>
        <w:jc w:val="both"/>
        <w:ind w:firstLine="315"/>
        <w:spacing w:after="0" w:line="256"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certain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Revenues and cost of revenues for the three months ended March 31, 2024 and 2023, respectively, for each of the reportable segments,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3640" w:type="dxa"/>
            <w:vAlign w:val="bottom"/>
            <w:tcBorders>
              <w:top w:val="single" w:sz="8" w:color="auto"/>
              <w:bottom w:val="single" w:sz="8" w:color="auto"/>
            </w:tcBorders>
            <w:gridSpan w:val="8"/>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w w:val="97"/>
              </w:rPr>
              <w:t>Emerging</w:t>
            </w:r>
          </w:p>
        </w:tc>
        <w:tc>
          <w:tcPr>
            <w:tcW w:w="16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5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504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gridSpan w:val="2"/>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4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190,726</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92,292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line="217"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2"/>
                <w:szCs w:val="22"/>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67,890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163,083</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101,559</w:t>
            </w:r>
          </w:p>
        </w:tc>
        <w:tc>
          <w:tcPr>
            <w:tcW w:w="0" w:type="dxa"/>
            <w:vAlign w:val="bottom"/>
          </w:tcPr>
          <w:p>
            <w:pPr>
              <w:spacing w:after="0"/>
              <w:rPr>
                <w:sz w:val="1"/>
                <w:szCs w:val="1"/>
                <w:color w:val="auto"/>
              </w:rPr>
            </w:pP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net, interest expense and other income, net</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48,763</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Exclusive of depreciation and amortization expense.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520" w:type="dxa"/>
        <w:tblCellMar>
          <w:top w:w="0" w:type="dxa"/>
          <w:left w:w="0" w:type="dxa"/>
          <w:bottom w:w="0" w:type="dxa"/>
          <w:right w:w="0" w:type="dxa"/>
        </w:tblCellMar>
      </w:tblPr>
      <w:tr>
        <w:trPr>
          <w:trHeight w:val="223"/>
        </w:trPr>
        <w:tc>
          <w:tcPr>
            <w:tcW w:w="44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3640" w:type="dxa"/>
            <w:vAlign w:val="bottom"/>
            <w:tcBorders>
              <w:top w:val="single" w:sz="8" w:color="auto"/>
              <w:bottom w:val="single" w:sz="8" w:color="auto"/>
            </w:tcBorders>
            <w:gridSpan w:val="8"/>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4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8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6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center"/>
              <w:ind w:right="280"/>
              <w:spacing w:after="0" w:line="152" w:lineRule="exact"/>
              <w:rPr>
                <w:sz w:val="20"/>
                <w:szCs w:val="20"/>
                <w:color w:val="auto"/>
              </w:rPr>
            </w:pPr>
            <w:r>
              <w:rPr>
                <w:rFonts w:ascii="Times New Roman" w:cs="Times New Roman" w:eastAsia="Times New Roman" w:hAnsi="Times New Roman"/>
                <w:sz w:val="16"/>
                <w:szCs w:val="16"/>
                <w:b w:val="1"/>
                <w:bCs w:val="1"/>
                <w:color w:val="auto"/>
                <w:w w:val="97"/>
              </w:rPr>
              <w:t>Emerging</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6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0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125,937</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66,161</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181,842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400,643</w:t>
            </w: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251,469</w:t>
            </w:r>
          </w:p>
        </w:tc>
        <w:tc>
          <w:tcPr>
            <w:tcW w:w="0" w:type="dxa"/>
            <w:vAlign w:val="bottom"/>
          </w:tcPr>
          <w:p>
            <w:pPr>
              <w:spacing w:after="0"/>
              <w:rPr>
                <w:sz w:val="1"/>
                <w:szCs w:val="1"/>
                <w:color w:val="auto"/>
              </w:rPr>
            </w:pPr>
          </w:p>
        </w:tc>
      </w:tr>
      <w:tr>
        <w:trPr>
          <w:trHeight w:val="217"/>
        </w:trPr>
        <w:tc>
          <w:tcPr>
            <w:tcW w:w="4460" w:type="dxa"/>
            <w:vAlign w:val="bottom"/>
          </w:tcPr>
          <w:p>
            <w:pPr>
              <w:spacing w:after="0" w:line="217"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2"/>
                <w:szCs w:val="22"/>
                <w:color w:val="auto"/>
                <w:vertAlign w:val="superscript"/>
              </w:rPr>
              <w:t>(1)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43,613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149,174</w:t>
            </w:r>
          </w:p>
        </w:tc>
        <w:tc>
          <w:tcPr>
            <w:tcW w:w="0" w:type="dxa"/>
            <w:vAlign w:val="bottom"/>
          </w:tcPr>
          <w:p>
            <w:pPr>
              <w:spacing w:after="0"/>
              <w:rPr>
                <w:sz w:val="1"/>
                <w:szCs w:val="1"/>
                <w:color w:val="auto"/>
              </w:rPr>
            </w:pP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89,726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320" w:top="119" w:right="439" w:bottom="1440" w:gutter="0" w:footer="0" w:header="0"/>
        </w:sectPr>
      </w:pPr>
    </w:p>
    <w:p>
      <w:pPr>
        <w:ind w:left="520" w:right="1640"/>
        <w:spacing w:after="0" w:line="228" w:lineRule="auto"/>
        <w:rPr>
          <w:sz w:val="20"/>
          <w:szCs w:val="20"/>
          <w:color w:val="auto"/>
        </w:rPr>
      </w:pPr>
      <w:r>
        <w:rPr>
          <w:rFonts w:ascii="Times New Roman" w:cs="Times New Roman" w:eastAsia="Times New Roman" w:hAnsi="Times New Roman"/>
          <w:sz w:val="18"/>
          <w:szCs w:val="18"/>
          <w:color w:val="auto"/>
        </w:rPr>
        <w:t>Foreign exchange gain, net, interest expense and other income, net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-127635</wp:posOffset>
            </wp:positionV>
            <wp:extent cx="6743700" cy="141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3700" cy="141605"/>
                    </a:xfrm>
                    <a:prstGeom prst="rect">
                      <a:avLst/>
                    </a:prstGeom>
                    <a:noFill/>
                  </pic:spPr>
                </pic:pic>
              </a:graphicData>
            </a:graphic>
          </wp:anchor>
        </w:drawing>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Gain from equity-method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10795</wp:posOffset>
            </wp:positionV>
            <wp:extent cx="6743700" cy="167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3700" cy="167005"/>
                    </a:xfrm>
                    <a:prstGeom prst="rect">
                      <a:avLst/>
                    </a:prstGeom>
                    <a:noFill/>
                  </pic:spPr>
                </pic:pic>
              </a:graphicData>
            </a:graphic>
          </wp:anchor>
        </w:drawing>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income</w:t>
      </w:r>
    </w:p>
    <w:p>
      <w:pPr>
        <w:spacing w:after="0" w:line="187" w:lineRule="exact"/>
        <w:rPr>
          <w:sz w:val="20"/>
          <w:szCs w:val="20"/>
          <w:color w:val="auto"/>
        </w:rPr>
      </w:pPr>
    </w:p>
    <w:p>
      <w:pPr>
        <w:ind w:left="400" w:right="2700" w:hanging="395"/>
        <w:spacing w:after="0" w:line="364" w:lineRule="auto"/>
        <w:tabs>
          <w:tab w:leader="none" w:pos="209"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Exclusive of depreciation and amortization expense. Revenues, net by service type, were as follows:</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(125)</w:t>
      </w:r>
    </w:p>
    <w:p>
      <w:pPr>
        <w:spacing w:after="0" w:line="21"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8,058</w:t>
      </w:r>
    </w:p>
    <w:p>
      <w:pPr>
        <w:spacing w:after="0" w:line="1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66</w:t>
      </w:r>
    </w:p>
    <w:p>
      <w:pPr>
        <w:spacing w:after="0" w:line="25" w:lineRule="exact"/>
        <w:rPr>
          <w:sz w:val="20"/>
          <w:szCs w:val="20"/>
          <w:color w:val="auto"/>
        </w:rPr>
      </w:pPr>
    </w:p>
    <w:p>
      <w:pPr>
        <w:jc w:val="both"/>
        <w:ind w:left="2700"/>
        <w:spacing w:after="0"/>
        <w:tabs>
          <w:tab w:leader="none" w:pos="3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38735</wp:posOffset>
            </wp:positionV>
            <wp:extent cx="7258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5" w:lineRule="exact"/>
        <w:rPr>
          <w:sz w:val="20"/>
          <w:szCs w:val="20"/>
          <w:color w:val="auto"/>
        </w:rPr>
      </w:pPr>
    </w:p>
    <w:p>
      <w:pPr>
        <w:sectPr>
          <w:pgSz w:w="11900" w:h="16838" w:orient="portrait"/>
          <w:cols w:equalWidth="0" w:num="2">
            <w:col w:w="6580" w:space="720"/>
            <w:col w:w="3840"/>
          </w:cols>
          <w:pgMar w:left="320" w:top="119" w:right="439" w:bottom="1440" w:gutter="0" w:footer="0" w:header="0"/>
          <w:type w:val="continuous"/>
        </w:sectPr>
      </w:pPr>
    </w:p>
    <w:tbl>
      <w:tblPr>
        <w:tblLayout w:type="fixed"/>
        <w:tblInd w:w="1060" w:type="dxa"/>
        <w:tblCellMar>
          <w:top w:w="0" w:type="dxa"/>
          <w:left w:w="0" w:type="dxa"/>
          <w:bottom w:w="0" w:type="dxa"/>
          <w:right w:w="0" w:type="dxa"/>
        </w:tblCellMar>
      </w:tblPr>
      <w:tr>
        <w:trPr>
          <w:trHeight w:val="208"/>
        </w:trPr>
        <w:tc>
          <w:tcPr>
            <w:tcW w:w="54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5480" w:type="dxa"/>
            <w:vAlign w:val="bottom"/>
            <w:shd w:val="clear" w:color="auto" w:fill="CCEEFF"/>
          </w:tcPr>
          <w:p>
            <w:pPr>
              <w:ind w:left="20"/>
              <w:spacing w:after="0" w:line="217" w:lineRule="exact"/>
              <w:rPr>
                <w:sz w:val="20"/>
                <w:szCs w:val="20"/>
                <w:color w:val="auto"/>
              </w:rPr>
            </w:pPr>
            <w:r>
              <w:rPr>
                <w:rFonts w:ascii="Times New Roman" w:cs="Times New Roman" w:eastAsia="Times New Roman" w:hAnsi="Times New Roman"/>
                <w:sz w:val="18"/>
                <w:szCs w:val="18"/>
                <w:color w:val="auto"/>
              </w:rPr>
              <w:t>Digital operations and solutions</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218,801</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181,842</w:t>
            </w:r>
          </w:p>
        </w:tc>
      </w:tr>
      <w:tr>
        <w:trPr>
          <w:trHeight w:val="242"/>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436,507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400,643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right="180" w:firstLine="399"/>
        <w:spacing w:after="0" w:line="227" w:lineRule="auto"/>
        <w:tabs>
          <w:tab w:leader="none" w:pos="584"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Digital operations and solutions include revenues of the Company’s Insurance, Healthcare and Emerging Business reportable segments. Refer to the reportable segment disclosure above.</w:t>
      </w:r>
    </w:p>
    <w:p>
      <w:pPr>
        <w:spacing w:after="0" w:line="12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203" w:lineRule="exact"/>
        <w:rPr>
          <w:sz w:val="20"/>
          <w:szCs w:val="20"/>
          <w:color w:val="auto"/>
        </w:rPr>
      </w:pPr>
    </w:p>
    <w:tbl>
      <w:tblPr>
        <w:tblLayout w:type="fixed"/>
        <w:tblInd w:w="1180" w:type="dxa"/>
        <w:tblCellMar>
          <w:top w:w="0" w:type="dxa"/>
          <w:left w:w="0" w:type="dxa"/>
          <w:bottom w:w="0" w:type="dxa"/>
          <w:right w:w="0" w:type="dxa"/>
        </w:tblCellMar>
      </w:tblPr>
      <w:tr>
        <w:trPr>
          <w:trHeight w:val="211"/>
        </w:trPr>
        <w:tc>
          <w:tcPr>
            <w:tcW w:w="5440" w:type="dxa"/>
            <w:vAlign w:val="bottom"/>
          </w:tcPr>
          <w:p>
            <w:pPr>
              <w:spacing w:after="0"/>
              <w:rPr>
                <w:sz w:val="18"/>
                <w:szCs w:val="18"/>
                <w:color w:val="auto"/>
              </w:rPr>
            </w:pPr>
          </w:p>
        </w:tc>
        <w:tc>
          <w:tcPr>
            <w:tcW w:w="2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r>
      <w:tr>
        <w:trPr>
          <w:trHeight w:val="205"/>
        </w:trPr>
        <w:tc>
          <w:tcPr>
            <w:tcW w:w="544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7"/>
                <w:szCs w:val="17"/>
                <w:color w:val="auto"/>
              </w:rPr>
            </w:pPr>
          </w:p>
        </w:tc>
      </w:tr>
      <w:tr>
        <w:trPr>
          <w:trHeight w:val="204"/>
        </w:trPr>
        <w:tc>
          <w:tcPr>
            <w:tcW w:w="54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Revenues, net</w:t>
            </w: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United States</w:t>
            </w:r>
          </w:p>
        </w:tc>
        <w:tc>
          <w:tcPr>
            <w:tcW w:w="102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362,306</w:t>
            </w:r>
          </w:p>
        </w:tc>
        <w:tc>
          <w:tcPr>
            <w:tcW w:w="100" w:type="dxa"/>
            <w:vAlign w:val="bottom"/>
          </w:tcPr>
          <w:p>
            <w:pPr>
              <w:spacing w:after="0"/>
              <w:rPr>
                <w:sz w:val="19"/>
                <w:szCs w:val="19"/>
                <w:color w:val="auto"/>
              </w:rPr>
            </w:pP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339,073</w:t>
            </w:r>
          </w:p>
        </w:tc>
      </w:tr>
      <w:tr>
        <w:trPr>
          <w:trHeight w:val="22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3"/>
        </w:trPr>
        <w:tc>
          <w:tcPr>
            <w:tcW w:w="5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United Kingdom</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50,402</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41,574</w:t>
            </w:r>
          </w:p>
        </w:tc>
      </w:tr>
      <w:tr>
        <w:trPr>
          <w:trHeight w:val="223"/>
        </w:trPr>
        <w:tc>
          <w:tcPr>
            <w:tcW w:w="5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 of World</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19,996</w:t>
            </w:r>
          </w:p>
        </w:tc>
      </w:tr>
      <w:tr>
        <w:trPr>
          <w:trHeight w:val="217"/>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74,201</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61,570</w:t>
            </w:r>
          </w:p>
        </w:tc>
      </w:tr>
      <w:tr>
        <w:trPr>
          <w:trHeight w:val="242"/>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02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436,507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400,643</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Long-lived assets by geographic area, which consist of property and equipment, net and operating lease ROU assets were as follows:</w:t>
      </w:r>
    </w:p>
    <w:p>
      <w:pPr>
        <w:spacing w:after="0" w:line="203" w:lineRule="exact"/>
        <w:rPr>
          <w:sz w:val="20"/>
          <w:szCs w:val="20"/>
          <w:color w:val="auto"/>
        </w:rPr>
      </w:pPr>
    </w:p>
    <w:tbl>
      <w:tblPr>
        <w:tblLayout w:type="fixed"/>
        <w:tblInd w:w="780" w:type="dxa"/>
        <w:tblCellMar>
          <w:top w:w="0" w:type="dxa"/>
          <w:left w:w="0" w:type="dxa"/>
          <w:bottom w:w="0" w:type="dxa"/>
          <w:right w:w="0" w:type="dxa"/>
        </w:tblCellMar>
      </w:tblPr>
      <w:tr>
        <w:trPr>
          <w:trHeight w:val="211"/>
        </w:trPr>
        <w:tc>
          <w:tcPr>
            <w:tcW w:w="6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60" w:type="dxa"/>
            <w:vAlign w:val="bottom"/>
            <w:tcBorders>
              <w:bottom w:val="single" w:sz="8" w:color="auto"/>
            </w:tcBorders>
          </w:tcPr>
          <w:p>
            <w:pPr>
              <w:spacing w:after="0"/>
              <w:rPr>
                <w:sz w:val="18"/>
                <w:szCs w:val="18"/>
                <w:color w:val="auto"/>
              </w:rPr>
            </w:pPr>
          </w:p>
        </w:tc>
      </w:tr>
      <w:tr>
        <w:trPr>
          <w:trHeight w:val="205"/>
        </w:trPr>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7"/>
                <w:szCs w:val="17"/>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4"/>
        </w:trPr>
        <w:tc>
          <w:tcPr>
            <w:tcW w:w="60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Long-lived assets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United States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61,592</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53,813</w:t>
            </w:r>
          </w:p>
        </w:tc>
      </w:tr>
      <w:tr>
        <w:trPr>
          <w:trHeight w:val="223"/>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Philippines</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w:t>
            </w:r>
          </w:p>
        </w:tc>
      </w:tr>
      <w:tr>
        <w:trPr>
          <w:trHeight w:val="223"/>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South Africa</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w:t>
            </w:r>
          </w:p>
        </w:tc>
      </w:tr>
      <w:tr>
        <w:trPr>
          <w:trHeight w:val="223"/>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42"/>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165,229</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 net and Accounts Receivable, net</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Refer to Note 3 - Segment and Geographical Information to the unaudited consolidated financial statements for revenues disaggregated by reportable segments and geography.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242" w:lineRule="exact"/>
        <w:rPr>
          <w:sz w:val="20"/>
          <w:szCs w:val="20"/>
          <w:color w:val="auto"/>
        </w:rPr>
      </w:pPr>
    </w:p>
    <w:tbl>
      <w:tblPr>
        <w:tblLayout w:type="fixed"/>
        <w:tblInd w:w="720" w:type="dxa"/>
        <w:tblCellMar>
          <w:top w:w="0" w:type="dxa"/>
          <w:left w:w="0" w:type="dxa"/>
          <w:bottom w:w="0" w:type="dxa"/>
          <w:right w:w="0" w:type="dxa"/>
        </w:tblCellMar>
      </w:tblPr>
      <w:tr>
        <w:trPr>
          <w:trHeight w:val="211"/>
        </w:trPr>
        <w:tc>
          <w:tcPr>
            <w:tcW w:w="6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r>
      <w:tr>
        <w:trPr>
          <w:trHeight w:val="230"/>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9"/>
                <w:szCs w:val="19"/>
                <w:color w:val="auto"/>
              </w:rPr>
            </w:pPr>
          </w:p>
        </w:tc>
        <w:tc>
          <w:tcPr>
            <w:tcW w:w="16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308,108</w:t>
            </w: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w:t>
            </w:r>
          </w:p>
        </w:tc>
      </w:tr>
      <w:tr>
        <w:trPr>
          <w:trHeight w:val="22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3"/>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9,764</w:t>
            </w:r>
          </w:p>
        </w:tc>
      </w:tr>
      <w:tr>
        <w:trPr>
          <w:trHeight w:val="223"/>
        </w:trPr>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w:t>
            </w:r>
          </w:p>
        </w:tc>
      </w:tr>
    </w:tbl>
    <w:p>
      <w:pPr>
        <w:spacing w:after="0" w:line="23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Accounts receivable includes $170,386 and $148,735 as of March 31, 2024 and December 31, 2023,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12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of contract assets as of March 31, 2024 and December 31, 2023.</w:t>
      </w:r>
    </w:p>
    <w:p>
      <w:pPr>
        <w:spacing w:after="0" w:line="16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2024 and 2023, which was included in the contract liabilities balance at the beginning of the respective periods:</w:t>
      </w:r>
    </w:p>
    <w:p>
      <w:pPr>
        <w:spacing w:after="0" w:line="158"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980" w:type="dxa"/>
            <w:vAlign w:val="bottom"/>
          </w:tcPr>
          <w:p>
            <w:pPr>
              <w:spacing w:after="0"/>
              <w:rPr>
                <w:sz w:val="18"/>
                <w:szCs w:val="18"/>
                <w:color w:val="auto"/>
              </w:rPr>
            </w:pPr>
          </w:p>
        </w:tc>
        <w:tc>
          <w:tcPr>
            <w:tcW w:w="298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05"/>
        </w:trPr>
        <w:tc>
          <w:tcPr>
            <w:tcW w:w="698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r>
      <w:tr>
        <w:trPr>
          <w:trHeight w:val="231"/>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1160" w:type="dxa"/>
            <w:vAlign w:val="bottom"/>
            <w:shd w:val="clear" w:color="auto" w:fill="CCEEFF"/>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13,002</w:t>
            </w:r>
          </w:p>
        </w:tc>
      </w:tr>
      <w:tr>
        <w:trPr>
          <w:trHeight w:val="24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1160" w:type="dxa"/>
            <w:vAlign w:val="bottom"/>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1120" w:type="dxa"/>
            <w:vAlign w:val="bottom"/>
          </w:tcPr>
          <w:p>
            <w:pPr>
              <w:jc w:val="right"/>
              <w:ind w:right="915"/>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 acquisition and fulfillment costs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details of the Company’s contract acquisition and fulfillment costs: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500" w:type="dxa"/>
            <w:vAlign w:val="bottom"/>
            <w:gridSpan w:val="8"/>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Contract Acquisition Costs</w:t>
            </w:r>
          </w:p>
        </w:tc>
        <w:tc>
          <w:tcPr>
            <w:tcW w:w="320" w:type="dxa"/>
            <w:vAlign w:val="bottom"/>
          </w:tcPr>
          <w:p>
            <w:pPr>
              <w:spacing w:after="0"/>
              <w:rPr>
                <w:sz w:val="18"/>
                <w:szCs w:val="18"/>
                <w:color w:val="auto"/>
              </w:rPr>
            </w:pPr>
          </w:p>
        </w:tc>
        <w:tc>
          <w:tcPr>
            <w:tcW w:w="3400" w:type="dxa"/>
            <w:vAlign w:val="bottom"/>
            <w:gridSpan w:val="7"/>
          </w:tcPr>
          <w:p>
            <w:pPr>
              <w:jc w:val="center"/>
              <w:ind w:right="236"/>
              <w:spacing w:after="0"/>
              <w:rPr>
                <w:sz w:val="20"/>
                <w:szCs w:val="20"/>
                <w:color w:val="auto"/>
              </w:rPr>
            </w:pPr>
            <w:r>
              <w:rPr>
                <w:rFonts w:ascii="Times New Roman" w:cs="Times New Roman" w:eastAsia="Times New Roman" w:hAnsi="Times New Roman"/>
                <w:sz w:val="16"/>
                <w:szCs w:val="16"/>
                <w:b w:val="1"/>
                <w:bCs w:val="1"/>
                <w:color w:val="auto"/>
                <w:w w:val="98"/>
              </w:rPr>
              <w:t>Contract Fulfillment Costs</w:t>
            </w:r>
          </w:p>
        </w:tc>
        <w:tc>
          <w:tcPr>
            <w:tcW w:w="0" w:type="dxa"/>
            <w:vAlign w:val="bottom"/>
          </w:tcPr>
          <w:p>
            <w:pPr>
              <w:spacing w:after="0"/>
              <w:rPr>
                <w:sz w:val="1"/>
                <w:szCs w:val="1"/>
                <w:color w:val="auto"/>
              </w:rPr>
            </w:pPr>
          </w:p>
        </w:tc>
      </w:tr>
      <w:tr>
        <w:trPr>
          <w:trHeight w:val="205"/>
        </w:trPr>
        <w:tc>
          <w:tcPr>
            <w:tcW w:w="30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120" w:type="dxa"/>
            <w:vAlign w:val="bottom"/>
            <w:tcBorders>
              <w:top w:val="single" w:sz="8" w:color="auto"/>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Year ended</w:t>
            </w:r>
          </w:p>
        </w:tc>
        <w:tc>
          <w:tcPr>
            <w:tcW w:w="0" w:type="dxa"/>
            <w:vAlign w:val="bottom"/>
          </w:tcPr>
          <w:p>
            <w:pPr>
              <w:spacing w:after="0"/>
              <w:rPr>
                <w:sz w:val="1"/>
                <w:szCs w:val="1"/>
                <w:color w:val="auto"/>
              </w:rPr>
            </w:pPr>
          </w:p>
        </w:tc>
      </w:tr>
      <w:tr>
        <w:trPr>
          <w:trHeight w:val="152"/>
        </w:trPr>
        <w:tc>
          <w:tcPr>
            <w:tcW w:w="3060" w:type="dxa"/>
            <w:vAlign w:val="bottom"/>
            <w:shd w:val="clear" w:color="auto" w:fill="CCEEFF"/>
          </w:tcPr>
          <w:p>
            <w:pPr>
              <w:spacing w:after="0"/>
              <w:rPr>
                <w:sz w:val="13"/>
                <w:szCs w:val="13"/>
                <w:color w:val="auto"/>
              </w:rPr>
            </w:pPr>
          </w:p>
        </w:tc>
        <w:tc>
          <w:tcPr>
            <w:tcW w:w="12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6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March 31, 2023</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center"/>
              <w:ind w:right="56"/>
              <w:spacing w:after="0" w:line="15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shd w:val="clear" w:color="auto" w:fill="CCEEFF"/>
          </w:tcPr>
          <w:p>
            <w:pPr>
              <w:spacing w:after="0"/>
              <w:rPr>
                <w:sz w:val="13"/>
                <w:szCs w:val="13"/>
                <w:color w:val="auto"/>
              </w:rPr>
            </w:pPr>
          </w:p>
        </w:tc>
        <w:tc>
          <w:tcPr>
            <w:tcW w:w="1260" w:type="dxa"/>
            <w:vAlign w:val="bottom"/>
            <w:gridSpan w:val="3"/>
            <w:vMerge w:val="restart"/>
            <w:shd w:val="clear" w:color="auto" w:fill="CCEEFF"/>
          </w:tcPr>
          <w:p>
            <w:pPr>
              <w:ind w:left="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60" w:type="dxa"/>
            <w:vAlign w:val="bottom"/>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March 31, 2023</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center"/>
              <w:ind w:right="36"/>
              <w:spacing w:after="0" w:line="15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26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30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1,095</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24,673</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13,871</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13,605</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8"/>
              </w:rPr>
              <w:t>(2,803)</w:t>
            </w:r>
          </w:p>
        </w:tc>
        <w:tc>
          <w:tcPr>
            <w:tcW w:w="0" w:type="dxa"/>
            <w:vAlign w:val="bottom"/>
          </w:tcPr>
          <w:p>
            <w:pPr>
              <w:spacing w:after="0"/>
              <w:rPr>
                <w:sz w:val="1"/>
                <w:szCs w:val="1"/>
                <w:color w:val="auto"/>
              </w:rPr>
            </w:pPr>
          </w:p>
        </w:tc>
      </w:tr>
      <w:tr>
        <w:trPr>
          <w:trHeight w:val="242"/>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Closing Balance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1,994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24,673</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There was no significant impairment for contract acquisition and contract fulfillment costs as of March 31, 2024 and December 31, 2023.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expected credit losses</w:t>
      </w:r>
    </w:p>
    <w:p>
      <w:pPr>
        <w:spacing w:after="0" w:line="12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net of allowance for expected credit losses: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2"/>
        </w:trPr>
        <w:tc>
          <w:tcPr>
            <w:tcW w:w="400" w:type="dxa"/>
            <w:vAlign w:val="bottom"/>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396"/>
              <w:spacing w:after="0" w:line="182" w:lineRule="exact"/>
              <w:rPr>
                <w:sz w:val="20"/>
                <w:szCs w:val="20"/>
                <w:color w:val="auto"/>
              </w:rPr>
            </w:pPr>
            <w:r>
              <w:rPr>
                <w:rFonts w:ascii="Times New Roman" w:cs="Times New Roman" w:eastAsia="Times New Roman" w:hAnsi="Times New Roman"/>
                <w:sz w:val="16"/>
                <w:szCs w:val="16"/>
                <w:b w:val="1"/>
                <w:bCs w:val="1"/>
                <w:color w:val="auto"/>
              </w:rPr>
              <w:t>March 31, 2024</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275"/>
              <w:spacing w:after="0" w:line="182" w:lineRule="exact"/>
              <w:rPr>
                <w:sz w:val="20"/>
                <w:szCs w:val="20"/>
                <w:color w:val="auto"/>
              </w:rPr>
            </w:pPr>
            <w:r>
              <w:rPr>
                <w:rFonts w:ascii="Times New Roman" w:cs="Times New Roman" w:eastAsia="Times New Roman" w:hAnsi="Times New Roman"/>
                <w:sz w:val="16"/>
                <w:szCs w:val="16"/>
                <w:b w:val="1"/>
                <w:bCs w:val="1"/>
                <w:color w:val="auto"/>
                <w:w w:val="97"/>
              </w:rPr>
              <w:t>December 31, 2023</w:t>
            </w:r>
          </w:p>
        </w:tc>
        <w:tc>
          <w:tcPr>
            <w:tcW w:w="220" w:type="dxa"/>
            <w:vAlign w:val="bottom"/>
          </w:tcPr>
          <w:p>
            <w:pPr>
              <w:spacing w:after="0"/>
              <w:rPr>
                <w:sz w:val="15"/>
                <w:szCs w:val="15"/>
                <w:color w:val="auto"/>
              </w:rPr>
            </w:pPr>
          </w:p>
        </w:tc>
      </w:tr>
      <w:tr>
        <w:trPr>
          <w:trHeight w:val="217"/>
        </w:trPr>
        <w:tc>
          <w:tcPr>
            <w:tcW w:w="400" w:type="dxa"/>
            <w:vAlign w:val="bottom"/>
          </w:tcPr>
          <w:p>
            <w:pPr>
              <w:spacing w:after="0"/>
              <w:rPr>
                <w:sz w:val="18"/>
                <w:szCs w:val="18"/>
                <w:color w:val="auto"/>
              </w:rPr>
            </w:pPr>
          </w:p>
        </w:tc>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including unbilled receivables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5"/>
              </w:rPr>
              <w:t>338,881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311,811</w:t>
            </w:r>
          </w:p>
        </w:tc>
        <w:tc>
          <w:tcPr>
            <w:tcW w:w="220" w:type="dxa"/>
            <w:vAlign w:val="bottom"/>
          </w:tcPr>
          <w:p>
            <w:pPr>
              <w:spacing w:after="0"/>
              <w:rPr>
                <w:sz w:val="18"/>
                <w:szCs w:val="18"/>
                <w:color w:val="auto"/>
              </w:rPr>
            </w:pPr>
          </w:p>
        </w:tc>
      </w:tr>
      <w:tr>
        <w:trPr>
          <w:trHeight w:val="223"/>
        </w:trPr>
        <w:tc>
          <w:tcPr>
            <w:tcW w:w="400" w:type="dxa"/>
            <w:vAlign w:val="bottom"/>
          </w:tcPr>
          <w:p>
            <w:pPr>
              <w:spacing w:after="0"/>
              <w:rPr>
                <w:sz w:val="19"/>
                <w:szCs w:val="19"/>
                <w:color w:val="auto"/>
              </w:rPr>
            </w:pPr>
          </w:p>
        </w:tc>
        <w:tc>
          <w:tcPr>
            <w:tcW w:w="5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Allowance for expected credit losses</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20" w:type="dxa"/>
            <w:vAlign w:val="bottom"/>
          </w:tcPr>
          <w:p>
            <w:pPr>
              <w:spacing w:after="0"/>
              <w:rPr>
                <w:sz w:val="19"/>
                <w:szCs w:val="19"/>
                <w:color w:val="auto"/>
              </w:rPr>
            </w:pPr>
          </w:p>
        </w:tc>
      </w:tr>
      <w:tr>
        <w:trPr>
          <w:trHeight w:val="250"/>
        </w:trPr>
        <w:tc>
          <w:tcPr>
            <w:tcW w:w="40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376"/>
              <w:spacing w:after="0" w:line="190" w:lineRule="exact"/>
              <w:rPr>
                <w:sz w:val="20"/>
                <w:szCs w:val="20"/>
                <w:color w:val="auto"/>
              </w:rPr>
            </w:pPr>
            <w:r>
              <w:rPr>
                <w:rFonts w:ascii="Times New Roman" w:cs="Times New Roman" w:eastAsia="Times New Roman" w:hAnsi="Times New Roman"/>
                <w:sz w:val="18"/>
                <w:szCs w:val="18"/>
                <w:b w:val="1"/>
                <w:bCs w:val="1"/>
                <w:color w:val="auto"/>
                <w:w w:val="95"/>
              </w:rPr>
              <w:t>335,523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308,108</w:t>
            </w:r>
          </w:p>
        </w:tc>
        <w:tc>
          <w:tcPr>
            <w:tcW w:w="220" w:type="dxa"/>
            <w:vAlign w:val="bottom"/>
          </w:tcPr>
          <w:p>
            <w:pPr>
              <w:spacing w:after="0"/>
              <w:rPr>
                <w:sz w:val="21"/>
                <w:szCs w:val="21"/>
                <w:color w:val="auto"/>
              </w:rPr>
            </w:pPr>
          </w:p>
        </w:tc>
      </w:tr>
      <w:tr>
        <w:trPr>
          <w:trHeight w:val="419"/>
        </w:trPr>
        <w:tc>
          <w:tcPr>
            <w:tcW w:w="56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8"/>
              </w:rPr>
              <w:t>The movement in “Allowance for expected credit losses” was as follows:</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390"/>
        </w:trPr>
        <w:tc>
          <w:tcPr>
            <w:tcW w:w="40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182"/>
        </w:trPr>
        <w:tc>
          <w:tcPr>
            <w:tcW w:w="400" w:type="dxa"/>
            <w:vAlign w:val="bottom"/>
            <w:tcBorders>
              <w:bottom w:val="single" w:sz="8" w:color="CCEEFF"/>
            </w:tcBorders>
          </w:tcPr>
          <w:p>
            <w:pPr>
              <w:spacing w:after="0"/>
              <w:rPr>
                <w:sz w:val="15"/>
                <w:szCs w:val="15"/>
                <w:color w:val="auto"/>
              </w:rPr>
            </w:pPr>
          </w:p>
        </w:tc>
        <w:tc>
          <w:tcPr>
            <w:tcW w:w="52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3"/>
          </w:tcPr>
          <w:p>
            <w:pPr>
              <w:ind w:left="700"/>
              <w:spacing w:after="0" w:line="182" w:lineRule="exact"/>
              <w:rPr>
                <w:sz w:val="20"/>
                <w:szCs w:val="20"/>
                <w:color w:val="auto"/>
              </w:rPr>
            </w:pPr>
            <w:r>
              <w:rPr>
                <w:rFonts w:ascii="Times New Roman" w:cs="Times New Roman" w:eastAsia="Times New Roman" w:hAnsi="Times New Roman"/>
                <w:sz w:val="16"/>
                <w:szCs w:val="16"/>
                <w:b w:val="1"/>
                <w:bCs w:val="1"/>
                <w:color w:val="auto"/>
                <w:w w:val="93"/>
              </w:rPr>
              <w:t>2024</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ind w:left="416"/>
              <w:spacing w:after="0" w:line="182" w:lineRule="exact"/>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right"/>
              <w:ind w:right="220"/>
              <w:spacing w:after="0" w:line="182" w:lineRule="exact"/>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Balance</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1,332</w:t>
            </w:r>
          </w:p>
        </w:tc>
      </w:tr>
      <w:tr>
        <w:trPr>
          <w:trHeight w:val="22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Additions/(reductions)</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2450</w:t>
            </w:r>
          </w:p>
        </w:tc>
      </w:tr>
      <w:tr>
        <w:trPr>
          <w:trHeight w:val="22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due to write-off of accounts receivable</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7"/>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r>
      <w:tr>
        <w:trPr>
          <w:trHeight w:val="202"/>
        </w:trPr>
        <w:tc>
          <w:tcPr>
            <w:tcW w:w="5600" w:type="dxa"/>
            <w:vAlign w:val="bottom"/>
            <w:tcBorders>
              <w:bottom w:val="single" w:sz="8" w:color="CCEEFF"/>
            </w:tcBorders>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Closing Balance</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3,358</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440" w:type="dxa"/>
            <w:vAlign w:val="bottom"/>
            <w:tcBorders>
              <w:bottom w:val="single" w:sz="8" w:color="auto"/>
            </w:tcBorders>
            <w:gridSpan w:val="2"/>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1,671</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tcBorders>
              <w:bottom w:val="single" w:sz="8" w:color="auto"/>
            </w:tcBorders>
            <w:gridSpan w:val="2"/>
            <w:shd w:val="clear" w:color="auto" w:fill="CCEEFF"/>
          </w:tcPr>
          <w:p>
            <w:pPr>
              <w:jc w:val="right"/>
              <w:ind w:right="60"/>
              <w:spacing w:after="0" w:line="178" w:lineRule="exact"/>
              <w:rPr>
                <w:sz w:val="20"/>
                <w:szCs w:val="20"/>
                <w:color w:val="auto"/>
              </w:rPr>
            </w:pPr>
            <w:r>
              <w:rPr>
                <w:rFonts w:ascii="Times New Roman" w:cs="Times New Roman" w:eastAsia="Times New Roman" w:hAnsi="Times New Roman"/>
                <w:sz w:val="16"/>
                <w:szCs w:val="16"/>
                <w:b w:val="1"/>
                <w:bCs w:val="1"/>
                <w:color w:val="auto"/>
              </w:rPr>
              <w:t>3,703</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and credit risk concentration</w:t>
      </w:r>
    </w:p>
    <w:p>
      <w:pPr>
        <w:spacing w:after="0" w:line="150" w:lineRule="exact"/>
        <w:rPr>
          <w:sz w:val="20"/>
          <w:szCs w:val="20"/>
          <w:color w:val="auto"/>
        </w:rPr>
      </w:pPr>
    </w:p>
    <w:p>
      <w:pPr>
        <w:ind w:firstLine="394"/>
        <w:spacing w:after="0" w:line="238" w:lineRule="auto"/>
        <w:rPr>
          <w:sz w:val="20"/>
          <w:szCs w:val="20"/>
          <w:color w:val="auto"/>
        </w:rPr>
      </w:pPr>
      <w:r>
        <w:rPr>
          <w:rFonts w:ascii="Times New Roman" w:cs="Times New Roman" w:eastAsia="Times New Roman" w:hAnsi="Times New Roman"/>
          <w:sz w:val="18"/>
          <w:szCs w:val="18"/>
          <w:color w:val="auto"/>
        </w:rPr>
        <w:t>No single customer accounted for more than 10% of the Company's revenues, net during the three months ended March 31, 2024 and 2023. The Company’s management believes that the loss of any of its top ten clients could have a material adverse effect on its financial performance.</w:t>
      </w:r>
    </w:p>
    <w:p>
      <w:pPr>
        <w:spacing w:after="0" w:line="50" w:lineRule="exact"/>
        <w:rPr>
          <w:sz w:val="20"/>
          <w:szCs w:val="20"/>
          <w:color w:val="auto"/>
        </w:rPr>
      </w:pPr>
    </w:p>
    <w:p>
      <w:pPr>
        <w:ind w:firstLine="394"/>
        <w:spacing w:after="0" w:line="253" w:lineRule="auto"/>
        <w:rPr>
          <w:sz w:val="20"/>
          <w:szCs w:val="20"/>
          <w:color w:val="auto"/>
        </w:rPr>
      </w:pPr>
      <w:r>
        <w:rPr>
          <w:rFonts w:ascii="Times New Roman" w:cs="Times New Roman" w:eastAsia="Times New Roman" w:hAnsi="Times New Roman"/>
          <w:sz w:val="18"/>
          <w:szCs w:val="18"/>
          <w:color w:val="auto"/>
        </w:rPr>
        <w:t>To reduce credit risk, the Company conducts ongoing credit evaluations of its customers. No customer accounted for more than 10% of accounts receivable, net, as of March 31, 2024 and December 31, 2023.</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32"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7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71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718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Numerators: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48,763</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51,331</w:t>
            </w:r>
          </w:p>
        </w:tc>
      </w:tr>
      <w:tr>
        <w:trPr>
          <w:trHeight w:val="223"/>
        </w:trPr>
        <w:tc>
          <w:tcPr>
            <w:tcW w:w="71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Denominators </w:t>
            </w:r>
            <w:r>
              <w:rPr>
                <w:rFonts w:ascii="Times New Roman" w:cs="Times New Roman" w:eastAsia="Times New Roman" w:hAnsi="Times New Roman"/>
                <w:sz w:val="22"/>
                <w:szCs w:val="22"/>
                <w:b w:val="1"/>
                <w:bCs w:val="1"/>
                <w:color w:val="auto"/>
                <w:vertAlign w:val="superscript"/>
              </w:rPr>
              <w:t>(1)</w:t>
            </w: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3"/>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165,082,387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167,197,820</w:t>
            </w:r>
          </w:p>
        </w:tc>
      </w:tr>
      <w:tr>
        <w:trPr>
          <w:trHeight w:val="223"/>
        </w:trPr>
        <w:tc>
          <w:tcPr>
            <w:tcW w:w="7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1,644,466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2,459,580</w:t>
            </w:r>
          </w:p>
        </w:tc>
      </w:tr>
      <w:tr>
        <w:trPr>
          <w:trHeight w:val="217"/>
        </w:trPr>
        <w:tc>
          <w:tcPr>
            <w:tcW w:w="7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166,726,853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169,657,400</w:t>
            </w: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0"/>
        </w:trPr>
        <w:tc>
          <w:tcPr>
            <w:tcW w:w="718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 xml:space="preserve">Earnings per share attributable to ExlService Holdings, Inc. stockholders </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23"/>
        </w:trPr>
        <w:tc>
          <w:tcPr>
            <w:tcW w:w="7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4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23"/>
        </w:trPr>
        <w:tc>
          <w:tcPr>
            <w:tcW w:w="7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4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179"/>
        </w:trPr>
        <w:tc>
          <w:tcPr>
            <w:tcW w:w="7180" w:type="dxa"/>
            <w:vAlign w:val="bottom"/>
          </w:tcPr>
          <w:p>
            <w:pPr>
              <w:ind w:left="20"/>
              <w:spacing w:after="0" w:line="179" w:lineRule="exact"/>
              <w:rPr>
                <w:sz w:val="20"/>
                <w:szCs w:val="20"/>
                <w:color w:val="auto"/>
              </w:rPr>
            </w:pPr>
            <w:r>
              <w:rPr>
                <w:rFonts w:ascii="Times New Roman" w:cs="Times New Roman" w:eastAsia="Times New Roman" w:hAnsi="Times New Roman"/>
                <w:sz w:val="18"/>
                <w:szCs w:val="18"/>
                <w:color w:val="auto"/>
                <w:w w:val="99"/>
              </w:rPr>
              <w:t>Weighted average potentially dilutive shares considered anti-dilutive and not included in computing</w:t>
            </w: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28"/>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3,181,304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546,345</w:t>
            </w:r>
          </w:p>
        </w:tc>
      </w:tr>
    </w:tbl>
    <w:p>
      <w:pPr>
        <w:spacing w:after="0" w:line="298" w:lineRule="exact"/>
        <w:rPr>
          <w:sz w:val="20"/>
          <w:szCs w:val="20"/>
          <w:color w:val="auto"/>
        </w:rPr>
      </w:pPr>
    </w:p>
    <w:p>
      <w:pPr>
        <w:ind w:firstLine="399"/>
        <w:spacing w:after="0" w:line="238" w:lineRule="auto"/>
        <w:tabs>
          <w:tab w:leader="none" w:pos="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information has been adjusted to reflect the 5-for-1 forward stock split of the Company’s common stock effected in August 2023. Refer to Note 19 – Capital Structure to the unaudited consolidated financial statements for further details.</w:t>
      </w:r>
    </w:p>
    <w:p>
      <w:pPr>
        <w:spacing w:after="0" w:line="194" w:lineRule="exact"/>
        <w:rPr>
          <w:sz w:val="20"/>
          <w:szCs w:val="20"/>
          <w:color w:val="auto"/>
        </w:rPr>
      </w:pPr>
    </w:p>
    <w:p>
      <w:pPr>
        <w:jc w:val="both"/>
        <w:ind w:firstLine="394"/>
        <w:spacing w:after="0" w:line="225" w:lineRule="auto"/>
        <w:rPr>
          <w:sz w:val="20"/>
          <w:szCs w:val="20"/>
          <w:color w:val="auto"/>
        </w:rPr>
      </w:pPr>
      <w:r>
        <w:rPr>
          <w:rFonts w:ascii="Times New Roman" w:cs="Times New Roman" w:eastAsia="Times New Roman" w:hAnsi="Times New Roman"/>
          <w:sz w:val="18"/>
          <w:szCs w:val="18"/>
          <w:color w:val="auto"/>
        </w:rPr>
        <w:t>On March 15, 2024, the Company entered into a master confirmation (the “Master Accelerated Share Repurchase Confirmation”) and a supplemental confirmation (together with the Master Accelerated Share Repurchase Confirmation, the “2024 ASR Agreement”), with Citibank, N.A. (“Citibank”). Refer to Note 19 - Capital Structure to the unaudited consolidated financial statements for further details. During the three months ended March 31, 2024, the Company recorded the initial delivery of shares in treasury stock at cost, which resulted in an immediate reduction of its outstanding shares used to calculate the weighted average common shares outstanding for basic and diluted earnings per share. The forward contracts indexed to the Company's own common stock met the criteria for equity classification, and prepayment of $25,000 was initially recorded in additional paid-in capital, which reflects the pending settlement of the 2024 ASR Agreement.</w:t>
      </w:r>
    </w:p>
    <w:p>
      <w:pPr>
        <w:spacing w:after="0" w:line="20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Had the 2024 ASR Agreement been settled as of March 31, 2024, determined based on the volume-weighted average price per share since its effective date, Citibank would have been required to deliver additional estimated shares to the Company. The effect of the potential share settlement under the 2024 ASR Agreement was excluded from the computation of diluted earnings per share as its inclusion would have been anti-dilutive.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Income, net</w:t>
      </w:r>
    </w:p>
    <w:p>
      <w:pPr>
        <w:spacing w:after="0" w:line="2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678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05"/>
        </w:trPr>
        <w:tc>
          <w:tcPr>
            <w:tcW w:w="67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21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1240" w:type="dxa"/>
            <w:vAlign w:val="bottom"/>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r>
      <w:tr>
        <w:trPr>
          <w:trHeight w:val="24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r>
      <w:tr>
        <w:trPr>
          <w:trHeight w:val="22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of contingent consideration*</w:t>
            </w: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42"/>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tcBorders>
              <w:bottom w:val="single" w:sz="8" w:color="auto"/>
            </w:tcBorders>
            <w:shd w:val="clear" w:color="auto" w:fill="CCEEFF"/>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ind w:left="540" w:hanging="141"/>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Cash, Cash Equivalents and Restricted Cash</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For the purposes of unaudited statements of cash flows, cash, cash equivalents and restricted cash consist of the following:</w:t>
      </w:r>
    </w:p>
    <w:p>
      <w:pPr>
        <w:spacing w:after="0" w:line="190"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5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5"/>
        </w:trPr>
        <w:tc>
          <w:tcPr>
            <w:tcW w:w="5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2023</w:t>
            </w:r>
          </w:p>
        </w:tc>
        <w:tc>
          <w:tcPr>
            <w:tcW w:w="160" w:type="dxa"/>
            <w:vAlign w:val="bottom"/>
          </w:tcPr>
          <w:p>
            <w:pPr>
              <w:spacing w:after="0"/>
              <w:rPr>
                <w:sz w:val="17"/>
                <w:szCs w:val="17"/>
                <w:color w:val="auto"/>
              </w:rPr>
            </w:pPr>
          </w:p>
        </w:tc>
        <w:tc>
          <w:tcPr>
            <w:tcW w:w="158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136,953</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r>
      <w:tr>
        <w:trPr>
          <w:trHeight w:val="21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117,232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94,965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145,401</w:t>
            </w:r>
          </w:p>
        </w:tc>
      </w:tr>
      <w:tr>
        <w:trPr>
          <w:trHeight w:val="20"/>
        </w:trPr>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Restricted cash (current) primarily represents funds held on behalf of customers in dedicated bank accounts. The corresponding liability against the same is included under “Accrued Expenses and other current liabilities.” Restricted cash (non-current) represents amounts on deposit with banks against bank guarantees issued through banks in favor of relevant statutory authorities for equipment imports, deposits for obtaining indirect tax registrations and for demands against pending income tax assessments. These deposits with banks will mature one year after the balance sheet date.</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1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150" w:lineRule="exact"/>
        <w:rPr>
          <w:sz w:val="20"/>
          <w:szCs w:val="20"/>
          <w:color w:val="auto"/>
        </w:rPr>
      </w:pPr>
    </w:p>
    <w:tbl>
      <w:tblPr>
        <w:tblLayout w:type="fixed"/>
        <w:tblInd w:w="400" w:type="dxa"/>
        <w:tblCellMar>
          <w:top w:w="0" w:type="dxa"/>
          <w:left w:w="0" w:type="dxa"/>
          <w:bottom w:w="0" w:type="dxa"/>
          <w:right w:w="0" w:type="dxa"/>
        </w:tblCellMar>
      </w:tblPr>
      <w:tr>
        <w:trPr>
          <w:trHeight w:val="219"/>
        </w:trPr>
        <w:tc>
          <w:tcPr>
            <w:tcW w:w="55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1"/>
              </w:rPr>
              <w:t>As of</w:t>
            </w:r>
          </w:p>
        </w:tc>
        <w:tc>
          <w:tcPr>
            <w:tcW w:w="1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4"/>
        </w:trPr>
        <w:tc>
          <w:tcPr>
            <w:tcW w:w="554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Short-term investments</w:t>
            </w:r>
          </w:p>
        </w:tc>
        <w:tc>
          <w:tcPr>
            <w:tcW w:w="3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44,488</w:t>
            </w:r>
          </w:p>
        </w:tc>
        <w:tc>
          <w:tcPr>
            <w:tcW w:w="460" w:type="dxa"/>
            <w:vAlign w:val="bottom"/>
            <w:gridSpan w:val="3"/>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52,650</w:t>
            </w:r>
          </w:p>
        </w:tc>
        <w:tc>
          <w:tcPr>
            <w:tcW w:w="0" w:type="dxa"/>
            <w:vAlign w:val="bottom"/>
          </w:tcPr>
          <w:p>
            <w:pPr>
              <w:spacing w:after="0"/>
              <w:rPr>
                <w:sz w:val="1"/>
                <w:szCs w:val="1"/>
                <w:color w:val="auto"/>
              </w:rPr>
            </w:pPr>
          </w:p>
        </w:tc>
      </w:tr>
      <w:tr>
        <w:trPr>
          <w:trHeight w:val="223"/>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93,097</w:t>
            </w: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101,231</w:t>
            </w:r>
          </w:p>
        </w:tc>
        <w:tc>
          <w:tcPr>
            <w:tcW w:w="0" w:type="dxa"/>
            <w:vAlign w:val="bottom"/>
          </w:tcPr>
          <w:p>
            <w:pPr>
              <w:spacing w:after="0"/>
              <w:rPr>
                <w:sz w:val="1"/>
                <w:szCs w:val="1"/>
                <w:color w:val="auto"/>
              </w:rPr>
            </w:pPr>
          </w:p>
        </w:tc>
      </w:tr>
      <w:tr>
        <w:trPr>
          <w:trHeight w:val="21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137,585</w:t>
            </w:r>
          </w:p>
        </w:tc>
        <w:tc>
          <w:tcPr>
            <w:tcW w:w="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153,881</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5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Term deposits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6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Investment in equity affiliate</w:t>
            </w: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4,191</w:t>
            </w:r>
          </w:p>
        </w:tc>
        <w:tc>
          <w:tcPr>
            <w:tcW w:w="0" w:type="dxa"/>
            <w:vAlign w:val="bottom"/>
          </w:tcPr>
          <w:p>
            <w:pPr>
              <w:spacing w:after="0"/>
              <w:rPr>
                <w:sz w:val="1"/>
                <w:szCs w:val="1"/>
                <w:color w:val="auto"/>
              </w:rPr>
            </w:pPr>
          </w:p>
        </w:tc>
      </w:tr>
      <w:tr>
        <w:trPr>
          <w:trHeight w:val="242"/>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4,404</w:t>
            </w:r>
          </w:p>
        </w:tc>
        <w:tc>
          <w:tcPr>
            <w:tcW w:w="1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4,430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Refer to Note 16 - Fair Value Measurements to the unaudited consolidated financial statements for further details.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Property and Equipment, net</w:t>
      </w:r>
    </w:p>
    <w:p>
      <w:pPr>
        <w:spacing w:after="0" w:line="1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consists of the following:</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9"/>
        </w:trPr>
        <w:tc>
          <w:tcPr>
            <w:tcW w:w="4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1740" w:type="dxa"/>
            <w:vAlign w:val="bottom"/>
            <w:gridSpan w:val="2"/>
          </w:tcPr>
          <w:p>
            <w:pPr>
              <w:jc w:val="center"/>
              <w:ind w:right="160"/>
              <w:spacing w:after="0" w:line="142" w:lineRule="exact"/>
              <w:rPr>
                <w:sz w:val="20"/>
                <w:szCs w:val="20"/>
                <w:color w:val="auto"/>
              </w:rPr>
            </w:pPr>
            <w:r>
              <w:rPr>
                <w:rFonts w:ascii="Times New Roman" w:cs="Times New Roman" w:eastAsia="Times New Roman" w:hAnsi="Times New Roman"/>
                <w:sz w:val="16"/>
                <w:szCs w:val="16"/>
                <w:b w:val="1"/>
                <w:bCs w:val="1"/>
                <w:color w:val="auto"/>
                <w:w w:val="98"/>
              </w:rPr>
              <w:t>Estimated useful lives</w:t>
            </w:r>
          </w:p>
        </w:tc>
        <w:tc>
          <w:tcPr>
            <w:tcW w:w="240" w:type="dxa"/>
            <w:vAlign w:val="bottom"/>
          </w:tcPr>
          <w:p>
            <w:pPr>
              <w:spacing w:after="0"/>
              <w:rPr>
                <w:sz w:val="12"/>
                <w:szCs w:val="12"/>
                <w:color w:val="auto"/>
              </w:rPr>
            </w:pPr>
          </w:p>
        </w:tc>
        <w:tc>
          <w:tcPr>
            <w:tcW w:w="1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2"/>
                <w:szCs w:val="12"/>
                <w:color w:val="auto"/>
              </w:rPr>
            </w:pPr>
          </w:p>
        </w:tc>
        <w:tc>
          <w:tcPr>
            <w:tcW w:w="162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9"/>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4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940" w:type="dxa"/>
            <w:vAlign w:val="bottom"/>
            <w:vMerge w:val="continue"/>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94,279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21,199</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7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 work in progress</w:t>
            </w:r>
          </w:p>
        </w:tc>
        <w:tc>
          <w:tcPr>
            <w:tcW w:w="174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12,276</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321,929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(222,333)</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99,596</w:t>
            </w: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ROU assets under finance leases: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17"/>
        </w:trPr>
        <w:tc>
          <w:tcPr>
            <w:tcW w:w="49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101,622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100,373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2024, there were no changes in estimated useful lives of property and equipment during the ordinary course of operations.</w:t>
      </w:r>
    </w:p>
    <w:p>
      <w:pPr>
        <w:spacing w:after="0" w:line="1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depreciation and amortization expense, excluding amortization of acquisition-related intangibles, recognized in the unaudited consolidated statements of income was as follows:</w:t>
      </w:r>
    </w:p>
    <w:p>
      <w:pPr>
        <w:spacing w:after="0" w:line="158"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5" w:lineRule="exact"/>
        <w:rPr>
          <w:sz w:val="20"/>
          <w:szCs w:val="20"/>
          <w:color w:val="auto"/>
        </w:rPr>
      </w:pPr>
    </w:p>
    <w:p>
      <w:pPr>
        <w:ind w:left="7260"/>
        <w:spacing w:after="0"/>
        <w:tabs>
          <w:tab w:leader="none" w:pos="91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17780</wp:posOffset>
            </wp:positionV>
            <wp:extent cx="5750560" cy="167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0560" cy="1670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-98425</wp:posOffset>
            </wp:positionV>
            <wp:extent cx="23120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16" w:lineRule="exact"/>
        <w:rPr>
          <w:sz w:val="20"/>
          <w:szCs w:val="20"/>
          <w:color w:val="auto"/>
        </w:rPr>
      </w:pPr>
    </w:p>
    <w:p>
      <w:pPr>
        <w:ind w:left="1120"/>
        <w:spacing w:after="0"/>
        <w:tabs>
          <w:tab w:leader="none" w:pos="6500" w:val="left"/>
          <w:tab w:leader="none" w:pos="7780" w:val="left"/>
          <w:tab w:leader="none" w:pos="8380" w:val="left"/>
          <w:tab w:leader="none" w:pos="9660" w:val="left"/>
        </w:tabs>
        <w:rPr>
          <w:sz w:val="20"/>
          <w:szCs w:val="20"/>
          <w:color w:val="auto"/>
        </w:rPr>
      </w:pPr>
      <w:r>
        <w:rPr>
          <w:rFonts w:ascii="Times New Roman" w:cs="Times New Roman" w:eastAsia="Times New Roman" w:hAnsi="Times New Roman"/>
          <w:sz w:val="18"/>
          <w:szCs w:val="18"/>
          <w:color w:val="auto"/>
        </w:rPr>
        <w:t>Depreciation and amortization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9,266</w:t>
        <w:tab/>
        <w:t>$</w:t>
      </w:r>
      <w:r>
        <w:rPr>
          <w:sz w:val="20"/>
          <w:szCs w:val="20"/>
          <w:color w:val="auto"/>
        </w:rPr>
        <w:tab/>
      </w:r>
      <w:r>
        <w:rPr>
          <w:rFonts w:ascii="Times New Roman" w:cs="Times New Roman" w:eastAsia="Times New Roman" w:hAnsi="Times New Roman"/>
          <w:sz w:val="16"/>
          <w:szCs w:val="16"/>
          <w:color w:val="auto"/>
        </w:rPr>
        <w:t>9,338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38735</wp:posOffset>
            </wp:positionV>
            <wp:extent cx="23120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12035"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effect of foreign exchange gain/(loss) upon settlement of cash flow hedges recorded under depreciation and amortization expense, was as follows:</w:t>
      </w:r>
    </w:p>
    <w:p>
      <w:pPr>
        <w:spacing w:after="0" w:line="226"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5" w:lineRule="exact"/>
        <w:rPr>
          <w:sz w:val="20"/>
          <w:szCs w:val="20"/>
          <w:color w:val="auto"/>
        </w:rPr>
      </w:pPr>
    </w:p>
    <w:p>
      <w:pPr>
        <w:ind w:left="7840"/>
        <w:spacing w:after="0"/>
        <w:tabs>
          <w:tab w:leader="none" w:pos="95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-98425</wp:posOffset>
            </wp:positionV>
            <wp:extent cx="21532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3285" cy="8255"/>
                    </a:xfrm>
                    <a:prstGeom prst="rect">
                      <a:avLst/>
                    </a:prstGeom>
                    <a:noFill/>
                  </pic:spPr>
                </pic:pic>
              </a:graphicData>
            </a:graphic>
          </wp:anchor>
        </w:drawing>
      </w:r>
    </w:p>
    <w:p>
      <w:pPr>
        <w:spacing w:after="0" w:line="2" w:lineRule="exact"/>
        <w:rPr>
          <w:sz w:val="20"/>
          <w:szCs w:val="20"/>
          <w:color w:val="auto"/>
        </w:rPr>
      </w:pPr>
    </w:p>
    <w:p>
      <w:pPr>
        <w:ind w:left="20"/>
        <w:spacing w:after="0"/>
        <w:tabs>
          <w:tab w:leader="none" w:pos="7160" w:val="left"/>
          <w:tab w:leader="none" w:pos="8560" w:val="left"/>
          <w:tab w:leader="none" w:pos="10220" w:val="left"/>
        </w:tabs>
        <w:rPr>
          <w:sz w:val="20"/>
          <w:szCs w:val="20"/>
          <w:color w:val="auto"/>
        </w:rPr>
      </w:pPr>
      <w:r>
        <w:rPr>
          <w:rFonts w:ascii="Times New Roman" w:cs="Times New Roman" w:eastAsia="Times New Roman" w:hAnsi="Times New Roman"/>
          <w:sz w:val="18"/>
          <w:szCs w:val="18"/>
          <w:color w:val="auto"/>
        </w:rPr>
        <w:t>Effect of foreign exchange gain/(loss)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  $</w:t>
      </w:r>
      <w:r>
        <w:rPr>
          <w:sz w:val="20"/>
          <w:szCs w:val="20"/>
          <w:color w:val="auto"/>
        </w:rPr>
        <w:tab/>
      </w: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6701790" cy="150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01790" cy="15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11"/>
        </w:trPr>
        <w:tc>
          <w:tcPr>
            <w:tcW w:w="6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r>
      <w:tr>
        <w:trPr>
          <w:trHeight w:val="205"/>
        </w:trPr>
        <w:tc>
          <w:tcPr>
            <w:tcW w:w="6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0" w:type="dxa"/>
            <w:vAlign w:val="bottom"/>
          </w:tcPr>
          <w:p>
            <w:pPr>
              <w:spacing w:after="0"/>
              <w:rPr>
                <w:sz w:val="17"/>
                <w:szCs w:val="17"/>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w w:val="96"/>
              </w:rPr>
              <w:t>51,370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6"/>
              </w:rPr>
              <w:t>46,625</w:t>
            </w:r>
          </w:p>
        </w:tc>
      </w:tr>
      <w:tr>
        <w:trPr>
          <w:trHeight w:val="223"/>
        </w:trPr>
        <w:tc>
          <w:tcPr>
            <w:tcW w:w="6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816"/>
              <w:spacing w:after="0"/>
              <w:rPr>
                <w:sz w:val="20"/>
                <w:szCs w:val="20"/>
                <w:color w:val="auto"/>
              </w:rPr>
            </w:pPr>
            <w:r>
              <w:rPr>
                <w:rFonts w:ascii="Times New Roman" w:cs="Times New Roman" w:eastAsia="Times New Roman" w:hAnsi="Times New Roman"/>
                <w:sz w:val="18"/>
                <w:szCs w:val="18"/>
                <w:color w:val="auto"/>
                <w:w w:val="97"/>
              </w:rPr>
              <w:t>(27,931)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left="855"/>
              <w:spacing w:after="0"/>
              <w:rPr>
                <w:sz w:val="20"/>
                <w:szCs w:val="20"/>
                <w:color w:val="auto"/>
              </w:rPr>
            </w:pPr>
            <w:r>
              <w:rPr>
                <w:rFonts w:ascii="Times New Roman" w:cs="Times New Roman" w:eastAsia="Times New Roman" w:hAnsi="Times New Roman"/>
                <w:sz w:val="18"/>
                <w:szCs w:val="18"/>
                <w:color w:val="auto"/>
                <w:w w:val="97"/>
              </w:rPr>
              <w:t>(25,413)</w:t>
            </w:r>
          </w:p>
        </w:tc>
      </w:tr>
      <w:tr>
        <w:trPr>
          <w:trHeight w:val="242"/>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w w:val="96"/>
              </w:rPr>
              <w:t>23,439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center"/>
              <w:ind w:left="895"/>
              <w:spacing w:after="0"/>
              <w:rPr>
                <w:sz w:val="20"/>
                <w:szCs w:val="20"/>
                <w:color w:val="auto"/>
              </w:rPr>
            </w:pPr>
            <w:r>
              <w:rPr>
                <w:rFonts w:ascii="Times New Roman" w:cs="Times New Roman" w:eastAsia="Times New Roman" w:hAnsi="Times New Roman"/>
                <w:sz w:val="18"/>
                <w:szCs w:val="18"/>
                <w:color w:val="auto"/>
                <w:w w:val="96"/>
              </w:rPr>
              <w:t>21,212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20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18415</wp:posOffset>
            </wp:positionV>
            <wp:extent cx="211137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11375" cy="8255"/>
                    </a:xfrm>
                    <a:prstGeom prst="rect">
                      <a:avLst/>
                    </a:prstGeom>
                    <a:noFill/>
                  </pic:spPr>
                </pic:pic>
              </a:graphicData>
            </a:graphic>
          </wp:anchor>
        </w:drawing>
      </w:r>
    </w:p>
    <w:p>
      <w:pPr>
        <w:spacing w:after="0" w:line="19" w:lineRule="exact"/>
        <w:rPr>
          <w:sz w:val="20"/>
          <w:szCs w:val="20"/>
          <w:color w:val="auto"/>
        </w:rPr>
      </w:pPr>
    </w:p>
    <w:p>
      <w:pPr>
        <w:ind w:left="6900"/>
        <w:spacing w:after="0"/>
        <w:tabs>
          <w:tab w:leader="none" w:pos="860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18415</wp:posOffset>
            </wp:positionV>
            <wp:extent cx="5024120" cy="167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4120" cy="167005"/>
                    </a:xfrm>
                    <a:prstGeom prst="rect">
                      <a:avLst/>
                    </a:prstGeom>
                    <a:noFill/>
                  </pic:spPr>
                </pic:pic>
              </a:graphicData>
            </a:graphic>
          </wp:anchor>
        </w:drawing>
      </w:r>
    </w:p>
    <w:p>
      <w:pPr>
        <w:spacing w:after="0" w:line="17" w:lineRule="exact"/>
        <w:rPr>
          <w:sz w:val="20"/>
          <w:szCs w:val="20"/>
          <w:color w:val="auto"/>
        </w:rPr>
      </w:pPr>
    </w:p>
    <w:p>
      <w:pPr>
        <w:ind w:left="1680"/>
        <w:spacing w:after="0"/>
        <w:tabs>
          <w:tab w:leader="none" w:pos="6260" w:val="left"/>
          <w:tab w:leader="none" w:pos="7360" w:val="left"/>
          <w:tab w:leader="none" w:pos="7960" w:val="left"/>
          <w:tab w:leader="none" w:pos="9100" w:val="left"/>
        </w:tabs>
        <w:rPr>
          <w:sz w:val="20"/>
          <w:szCs w:val="20"/>
          <w:color w:val="auto"/>
        </w:rPr>
      </w:pPr>
      <w:r>
        <w:rPr>
          <w:rFonts w:ascii="Times New Roman" w:cs="Times New Roman" w:eastAsia="Times New Roman" w:hAnsi="Times New Roman"/>
          <w:sz w:val="18"/>
          <w:szCs w:val="18"/>
          <w:color w:val="auto"/>
        </w:rPr>
        <w:t>Amortization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2,520</w:t>
        <w:tab/>
        <w:t>$</w:t>
      </w:r>
      <w:r>
        <w:rPr>
          <w:sz w:val="20"/>
          <w:szCs w:val="20"/>
          <w:color w:val="auto"/>
        </w:rPr>
        <w:tab/>
      </w:r>
      <w:r>
        <w:rPr>
          <w:rFonts w:ascii="Times New Roman" w:cs="Times New Roman" w:eastAsia="Times New Roman" w:hAnsi="Times New Roman"/>
          <w:sz w:val="16"/>
          <w:szCs w:val="16"/>
          <w:color w:val="auto"/>
        </w:rPr>
        <w:t>1,975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38735</wp:posOffset>
            </wp:positionV>
            <wp:extent cx="21113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11375" cy="8255"/>
                    </a:xfrm>
                    <a:prstGeom prst="rect">
                      <a:avLst/>
                    </a:prstGeom>
                    <a:noFill/>
                  </pic:spPr>
                </pic:pic>
              </a:graphicData>
            </a:graphic>
          </wp:anchor>
        </w:drawing>
      </w:r>
    </w:p>
    <w:p>
      <w:pPr>
        <w:spacing w:after="0" w:line="180" w:lineRule="exact"/>
        <w:rPr>
          <w:sz w:val="20"/>
          <w:szCs w:val="20"/>
          <w:color w:val="auto"/>
        </w:rPr>
      </w:pPr>
    </w:p>
    <w:p>
      <w:pPr>
        <w:jc w:val="both"/>
        <w:ind w:firstLine="315"/>
        <w:spacing w:after="0" w:line="235" w:lineRule="auto"/>
        <w:rPr>
          <w:sz w:val="20"/>
          <w:szCs w:val="20"/>
          <w:color w:val="auto"/>
        </w:rPr>
      </w:pPr>
      <w:r>
        <w:rPr>
          <w:rFonts w:ascii="Times New Roman" w:cs="Times New Roman" w:eastAsia="Times New Roman" w:hAnsi="Times New Roman"/>
          <w:sz w:val="18"/>
          <w:szCs w:val="18"/>
          <w:color w:val="auto"/>
        </w:rPr>
        <w:t>As of March 31, 2024 and December 31, 2023, the Company believes no impairment exists because the long-lived asset's future undiscounted net cash flows expected to be generated exceeds its carrying value; however, there can be no assurance that long-lived assets will not be impaired in future periods. Determining whether an impairment has occurred typically requires various estimates and assumptions, including determining which undiscounted cash flows are directly related to the potentially impaired asset, the useful life over which cash flows will occur, their amount, the asset’s residual value, if any. It is reasonably possible that the judgments and estimates described above could change in future periods.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Other Intangible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179"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Insurance</w:t>
            </w:r>
          </w:p>
        </w:tc>
        <w:tc>
          <w:tcPr>
            <w:tcW w:w="180" w:type="dxa"/>
            <w:vAlign w:val="bottom"/>
          </w:tcPr>
          <w:p>
            <w:pPr>
              <w:spacing w:after="0"/>
              <w:rPr>
                <w:sz w:val="16"/>
                <w:szCs w:val="16"/>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Healthcare</w:t>
            </w:r>
          </w:p>
        </w:tc>
        <w:tc>
          <w:tcPr>
            <w:tcW w:w="18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Emerging</w:t>
            </w:r>
          </w:p>
        </w:tc>
        <w:tc>
          <w:tcPr>
            <w:tcW w:w="140" w:type="dxa"/>
            <w:vAlign w:val="bottom"/>
          </w:tcPr>
          <w:p>
            <w:pPr>
              <w:spacing w:after="0"/>
              <w:rPr>
                <w:sz w:val="16"/>
                <w:szCs w:val="16"/>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Analytics</w:t>
            </w:r>
          </w:p>
        </w:tc>
        <w:tc>
          <w:tcPr>
            <w:tcW w:w="220" w:type="dxa"/>
            <w:vAlign w:val="bottom"/>
          </w:tcPr>
          <w:p>
            <w:pPr>
              <w:spacing w:after="0"/>
              <w:rPr>
                <w:sz w:val="16"/>
                <w:szCs w:val="16"/>
                <w:color w:val="auto"/>
              </w:rPr>
            </w:pPr>
          </w:p>
        </w:tc>
        <w:tc>
          <w:tcPr>
            <w:tcW w:w="820" w:type="dxa"/>
            <w:vAlign w:val="bottom"/>
            <w:vMerge w:val="restart"/>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3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Business</w:t>
            </w: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3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405,639</w:t>
            </w:r>
          </w:p>
        </w:tc>
        <w:tc>
          <w:tcPr>
            <w:tcW w:w="0" w:type="dxa"/>
            <w:vAlign w:val="bottom"/>
          </w:tcPr>
          <w:p>
            <w:pPr>
              <w:spacing w:after="0"/>
              <w:rPr>
                <w:sz w:val="1"/>
                <w:szCs w:val="1"/>
                <w:color w:val="auto"/>
              </w:rPr>
            </w:pPr>
          </w:p>
        </w:tc>
      </w:tr>
      <w:tr>
        <w:trPr>
          <w:trHeight w:val="223"/>
        </w:trPr>
        <w:tc>
          <w:tcPr>
            <w:tcW w:w="3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2"/>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405,574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473"/>
        <w:spacing w:after="0" w:line="248" w:lineRule="auto"/>
        <w:rPr>
          <w:sz w:val="20"/>
          <w:szCs w:val="20"/>
          <w:color w:val="auto"/>
        </w:rPr>
      </w:pPr>
      <w:r>
        <w:rPr>
          <w:rFonts w:ascii="Times New Roman" w:cs="Times New Roman" w:eastAsia="Times New Roman" w:hAnsi="Times New Roman"/>
          <w:sz w:val="18"/>
          <w:szCs w:val="18"/>
          <w:color w:val="auto"/>
        </w:rPr>
        <w:t>As of March 31, 2024, the Company performed an assessment to determine whether events or circumstances exist that may lead to a determination that it is more likely than not that the fair value of a reporting unit is less than its carrying amount. The Company considered current and forecasted economic and market conditions and qualitative factors, such as the Company’s performance during the three months ended March 31, 2024, business forecasts for the remainder of the year, stock price movements, generation and availability of cash and expansion plans. The Company reviewed key assumptions, including revisions of projected future revenues for reporting units against the results of the annual impairment test performed during the fourth quarter of 2023. The Company did not identify any triggers or indications of potential impairment for its reporting units as of March 31, 2024.</w:t>
      </w:r>
    </w:p>
    <w:p>
      <w:pPr>
        <w:spacing w:after="0" w:line="136"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The recoverability of goodwill is dependent upon the continued growth of cash flows from the Company’s business activities. This growth is based on business forecasts and improvement in profitability of its reporting units. The Company continues to maintain its focus on cultivating long-term client relationships as well as attracting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216"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8"/>
          </w:tcPr>
          <w:p>
            <w:pPr>
              <w:jc w:val="center"/>
              <w:ind w:left="1095"/>
              <w:spacing w:after="0"/>
              <w:rPr>
                <w:sz w:val="20"/>
                <w:szCs w:val="20"/>
                <w:color w:val="auto"/>
              </w:rPr>
            </w:pPr>
            <w:r>
              <w:rPr>
                <w:rFonts w:ascii="Times New Roman" w:cs="Times New Roman" w:eastAsia="Times New Roman" w:hAnsi="Times New Roman"/>
                <w:sz w:val="16"/>
                <w:szCs w:val="16"/>
                <w:b w:val="1"/>
                <w:bCs w:val="1"/>
                <w:color w:val="auto"/>
                <w:w w:val="97"/>
              </w:rPr>
              <w:t>As of March 31, 2024</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r>
      <w:tr>
        <w:trPr>
          <w:trHeight w:val="153"/>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40"/>
              <w:spacing w:after="0" w:line="153" w:lineRule="exact"/>
              <w:rPr>
                <w:sz w:val="20"/>
                <w:szCs w:val="20"/>
                <w:color w:val="auto"/>
              </w:rPr>
            </w:pPr>
            <w:r>
              <w:rPr>
                <w:rFonts w:ascii="Times New Roman" w:cs="Times New Roman" w:eastAsia="Times New Roman" w:hAnsi="Times New Roman"/>
                <w:sz w:val="16"/>
                <w:szCs w:val="16"/>
                <w:b w:val="1"/>
                <w:bCs w:val="1"/>
                <w:color w:val="auto"/>
                <w:w w:val="94"/>
              </w:rPr>
              <w:t>Gross</w:t>
            </w:r>
          </w:p>
        </w:tc>
        <w:tc>
          <w:tcPr>
            <w:tcW w:w="120" w:type="dxa"/>
            <w:vAlign w:val="bottom"/>
          </w:tcPr>
          <w:p>
            <w:pPr>
              <w:spacing w:after="0"/>
              <w:rPr>
                <w:sz w:val="13"/>
                <w:szCs w:val="13"/>
                <w:color w:val="auto"/>
              </w:rPr>
            </w:pPr>
          </w:p>
        </w:tc>
        <w:tc>
          <w:tcPr>
            <w:tcW w:w="1320" w:type="dxa"/>
            <w:vAlign w:val="bottom"/>
            <w:gridSpan w:val="5"/>
          </w:tcPr>
          <w:p>
            <w:pPr>
              <w:ind w:left="100"/>
              <w:spacing w:after="0" w:line="153"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right"/>
              <w:ind w:right="260"/>
              <w:spacing w:after="0" w:line="153"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09"/>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Carrying Amount</w:t>
            </w:r>
          </w:p>
        </w:tc>
        <w:tc>
          <w:tcPr>
            <w:tcW w:w="120" w:type="dxa"/>
            <w:vAlign w:val="bottom"/>
          </w:tcPr>
          <w:p>
            <w:pPr>
              <w:spacing w:after="0"/>
              <w:rPr>
                <w:sz w:val="18"/>
                <w:szCs w:val="18"/>
                <w:color w:val="auto"/>
              </w:rPr>
            </w:pPr>
          </w:p>
        </w:tc>
        <w:tc>
          <w:tcPr>
            <w:tcW w:w="132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4"/>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80" w:type="dxa"/>
            <w:vAlign w:val="bottom"/>
            <w:tcBorders>
              <w:top w:val="single" w:sz="8" w:color="CCEEFF"/>
            </w:tcBorders>
            <w:gridSpan w:val="2"/>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(53,898)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45,152</w:t>
            </w: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818</w:t>
            </w: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r>
      <w:tr>
        <w:trPr>
          <w:trHeight w:val="217"/>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46,180</w:t>
            </w: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900</w:t>
            </w:r>
          </w:p>
        </w:tc>
      </w:tr>
      <w:tr>
        <w:trPr>
          <w:trHeight w:val="242"/>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3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(58,145)</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47,080</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gridSpan w:val="2"/>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465"/>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jc w:val="center"/>
              <w:ind w:left="1095"/>
              <w:spacing w:after="0"/>
              <w:rPr>
                <w:sz w:val="20"/>
                <w:szCs w:val="20"/>
                <w:color w:val="auto"/>
              </w:rPr>
            </w:pPr>
            <w:r>
              <w:rPr>
                <w:rFonts w:ascii="Times New Roman" w:cs="Times New Roman" w:eastAsia="Times New Roman" w:hAnsi="Times New Roman"/>
                <w:sz w:val="16"/>
                <w:szCs w:val="16"/>
                <w:b w:val="1"/>
                <w:bCs w:val="1"/>
                <w:color w:val="auto"/>
                <w:w w:val="98"/>
              </w:rPr>
              <w:t>As of December 31, 2023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r>
        <w:trPr>
          <w:trHeight w:val="158"/>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3"/>
          </w:tcPr>
          <w:p>
            <w:pPr>
              <w:jc w:val="right"/>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09"/>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Carrying 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4"/>
        </w:trPr>
        <w:tc>
          <w:tcPr>
            <w:tcW w:w="180" w:type="dxa"/>
            <w:vAlign w:val="bottom"/>
          </w:tcPr>
          <w:p>
            <w:pPr>
              <w:spacing w:after="0"/>
              <w:rPr>
                <w:sz w:val="17"/>
                <w:szCs w:val="17"/>
                <w:color w:val="auto"/>
              </w:rPr>
            </w:pPr>
          </w:p>
        </w:tc>
        <w:tc>
          <w:tcPr>
            <w:tcW w:w="5400" w:type="dxa"/>
            <w:vAlign w:val="bottom"/>
            <w:tcBorders>
              <w:top w:val="single" w:sz="8" w:color="CCEEFF"/>
            </w:tcBorders>
            <w:gridSpan w:val="3"/>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r>
      <w:tr>
        <w:trPr>
          <w:trHeight w:val="223"/>
        </w:trPr>
        <w:tc>
          <w:tcPr>
            <w:tcW w:w="180" w:type="dxa"/>
            <w:vAlign w:val="bottom"/>
          </w:tcPr>
          <w:p>
            <w:pPr>
              <w:spacing w:after="0"/>
              <w:rPr>
                <w:sz w:val="19"/>
                <w:szCs w:val="19"/>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(51,085)</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47,965</w:t>
            </w:r>
          </w:p>
        </w:tc>
      </w:tr>
      <w:tr>
        <w:trPr>
          <w:trHeight w:val="223"/>
        </w:trPr>
        <w:tc>
          <w:tcPr>
            <w:tcW w:w="180" w:type="dxa"/>
            <w:vAlign w:val="bottom"/>
          </w:tcPr>
          <w:p>
            <w:pPr>
              <w:spacing w:after="0"/>
              <w:rPr>
                <w:sz w:val="19"/>
                <w:szCs w:val="19"/>
                <w:color w:val="auto"/>
              </w:rPr>
            </w:pPr>
          </w:p>
        </w:tc>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180" w:type="dxa"/>
            <w:vAlign w:val="bottom"/>
          </w:tcPr>
          <w:p>
            <w:pPr>
              <w:spacing w:after="0"/>
              <w:rPr>
                <w:sz w:val="19"/>
                <w:szCs w:val="19"/>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(1,286)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180" w:type="dxa"/>
            <w:vAlign w:val="bottom"/>
          </w:tcPr>
          <w:p>
            <w:pPr>
              <w:spacing w:after="0"/>
              <w:rPr>
                <w:sz w:val="19"/>
                <w:szCs w:val="19"/>
                <w:color w:val="auto"/>
              </w:rPr>
            </w:pPr>
          </w:p>
        </w:tc>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r>
      <w:tr>
        <w:trPr>
          <w:trHeight w:val="217"/>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(55,074)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49,264</w:t>
            </w:r>
          </w:p>
        </w:tc>
      </w:tr>
      <w:tr>
        <w:trPr>
          <w:trHeight w:val="210"/>
        </w:trPr>
        <w:tc>
          <w:tcPr>
            <w:tcW w:w="180" w:type="dxa"/>
            <w:vAlign w:val="bottom"/>
          </w:tcPr>
          <w:p>
            <w:pPr>
              <w:spacing w:after="0"/>
              <w:rPr>
                <w:sz w:val="18"/>
                <w:szCs w:val="18"/>
                <w:color w:val="auto"/>
              </w:rPr>
            </w:pPr>
          </w:p>
        </w:tc>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900</w:t>
            </w:r>
          </w:p>
        </w:tc>
      </w:tr>
      <w:tr>
        <w:trPr>
          <w:trHeight w:val="242"/>
        </w:trPr>
        <w:tc>
          <w:tcPr>
            <w:tcW w:w="180" w:type="dxa"/>
            <w:vAlign w:val="bottom"/>
          </w:tcPr>
          <w:p>
            <w:pPr>
              <w:spacing w:after="0"/>
              <w:rPr>
                <w:sz w:val="20"/>
                <w:szCs w:val="20"/>
                <w:color w:val="auto"/>
              </w:rPr>
            </w:pPr>
          </w:p>
        </w:tc>
        <w:tc>
          <w:tcPr>
            <w:tcW w:w="540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(55,074)</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50,164</w:t>
            </w:r>
          </w:p>
        </w:tc>
      </w:tr>
      <w:tr>
        <w:trPr>
          <w:trHeight w:val="20"/>
        </w:trPr>
        <w:tc>
          <w:tcPr>
            <w:tcW w:w="180" w:type="dxa"/>
            <w:vAlign w:val="bottom"/>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gridSpan w:val="2"/>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r>
        <w:trPr>
          <w:trHeight w:val="340"/>
        </w:trPr>
        <w:tc>
          <w:tcPr>
            <w:tcW w:w="752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w w:val="97"/>
              </w:rPr>
              <w:t>The amortization expense recognized in the unaudited consolidated statements of income was as follows: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3"/>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8"/>
          </w:tcPr>
          <w:p>
            <w:pPr>
              <w:ind w:left="6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9"/>
        </w:trPr>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ind w:right="435"/>
              <w:spacing w:after="0" w:line="180"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42"/>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0"/>
        </w:trPr>
        <w:tc>
          <w:tcPr>
            <w:tcW w:w="1060" w:type="dxa"/>
            <w:vAlign w:val="bottom"/>
            <w:gridSpan w:val="3"/>
          </w:tcPr>
          <w:p>
            <w:pPr>
              <w:spacing w:after="0" w:line="20" w:lineRule="exact"/>
              <w:rPr>
                <w:sz w:val="1"/>
                <w:szCs w:val="1"/>
                <w:color w:val="auto"/>
              </w:rPr>
            </w:pPr>
          </w:p>
        </w:tc>
        <w:tc>
          <w:tcPr>
            <w:tcW w:w="4680" w:type="dxa"/>
            <w:vAlign w:val="bottom"/>
            <w:tcBorders>
              <w:top w:val="single" w:sz="8" w:color="CCEEFF"/>
            </w:tcBorders>
            <w:gridSpan w:val="3"/>
          </w:tcPr>
          <w:p>
            <w:pPr>
              <w:spacing w:after="0" w:line="20" w:lineRule="exact"/>
              <w:rPr>
                <w:sz w:val="1"/>
                <w:szCs w:val="1"/>
                <w:color w:val="auto"/>
              </w:rPr>
            </w:pPr>
          </w:p>
        </w:tc>
        <w:tc>
          <w:tcPr>
            <w:tcW w:w="178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59"/>
        </w:trPr>
        <w:tc>
          <w:tcPr>
            <w:tcW w:w="88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as of March 31, 2024 was as follows: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4"/>
        </w:trPr>
        <w:tc>
          <w:tcPr>
            <w:tcW w:w="5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(April 1 - December 31)</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9,049</w:t>
            </w:r>
          </w:p>
        </w:tc>
        <w:tc>
          <w:tcPr>
            <w:tcW w:w="620" w:type="dxa"/>
            <w:vAlign w:val="bottom"/>
          </w:tcPr>
          <w:p>
            <w:pPr>
              <w:spacing w:after="0"/>
              <w:rPr>
                <w:sz w:val="19"/>
                <w:szCs w:val="19"/>
                <w:color w:val="auto"/>
              </w:rPr>
            </w:pPr>
          </w:p>
        </w:tc>
      </w:tr>
      <w:tr>
        <w:trPr>
          <w:trHeight w:val="223"/>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10,698</w:t>
            </w:r>
          </w:p>
        </w:tc>
        <w:tc>
          <w:tcPr>
            <w:tcW w:w="620" w:type="dxa"/>
            <w:vAlign w:val="bottom"/>
          </w:tcPr>
          <w:p>
            <w:pPr>
              <w:spacing w:after="0"/>
              <w:rPr>
                <w:sz w:val="19"/>
                <w:szCs w:val="19"/>
                <w:color w:val="auto"/>
              </w:rPr>
            </w:pPr>
          </w:p>
        </w:tc>
      </w:tr>
      <w:tr>
        <w:trPr>
          <w:trHeight w:val="223"/>
        </w:trPr>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10,360</w:t>
            </w:r>
          </w:p>
        </w:tc>
        <w:tc>
          <w:tcPr>
            <w:tcW w:w="620" w:type="dxa"/>
            <w:vAlign w:val="bottom"/>
          </w:tcPr>
          <w:p>
            <w:pPr>
              <w:spacing w:after="0"/>
              <w:rPr>
                <w:sz w:val="19"/>
                <w:szCs w:val="19"/>
                <w:color w:val="auto"/>
              </w:rPr>
            </w:pPr>
          </w:p>
        </w:tc>
      </w:tr>
      <w:tr>
        <w:trPr>
          <w:trHeight w:val="223"/>
        </w:trPr>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9,364</w:t>
            </w:r>
          </w:p>
        </w:tc>
        <w:tc>
          <w:tcPr>
            <w:tcW w:w="620" w:type="dxa"/>
            <w:vAlign w:val="bottom"/>
          </w:tcPr>
          <w:p>
            <w:pPr>
              <w:spacing w:after="0"/>
              <w:rPr>
                <w:sz w:val="19"/>
                <w:szCs w:val="19"/>
                <w:color w:val="auto"/>
              </w:rPr>
            </w:pPr>
          </w:p>
        </w:tc>
      </w:tr>
      <w:tr>
        <w:trPr>
          <w:trHeight w:val="223"/>
        </w:trPr>
        <w:tc>
          <w:tcPr>
            <w:tcW w:w="10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6,709</w:t>
            </w:r>
          </w:p>
        </w:tc>
        <w:tc>
          <w:tcPr>
            <w:tcW w:w="620" w:type="dxa"/>
            <w:vAlign w:val="bottom"/>
          </w:tcPr>
          <w:p>
            <w:pPr>
              <w:spacing w:after="0"/>
              <w:rPr>
                <w:sz w:val="19"/>
                <w:szCs w:val="19"/>
                <w:color w:val="auto"/>
              </w:rPr>
            </w:pPr>
          </w:p>
        </w:tc>
      </w:tr>
      <w:tr>
        <w:trPr>
          <w:trHeight w:val="217"/>
        </w:trPr>
        <w:tc>
          <w:tcPr>
            <w:tcW w:w="5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46,180</w:t>
            </w:r>
          </w:p>
        </w:tc>
        <w:tc>
          <w:tcPr>
            <w:tcW w:w="6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60"/>
          </w:cols>
          <w:pgMar w:left="320" w:top="119" w:right="9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2"/>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w w:val="99"/>
              </w:rPr>
              <w:t>March 31, 2024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 income tax, net</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to suppliers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9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78,753</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Other Assets</w:t>
            </w:r>
          </w:p>
        </w:tc>
        <w:tc>
          <w:tcPr>
            <w:tcW w:w="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9"/>
        </w:trPr>
        <w:tc>
          <w:tcPr>
            <w:tcW w:w="546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6"/>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28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21,370</w:t>
            </w:r>
          </w:p>
        </w:tc>
        <w:tc>
          <w:tcPr>
            <w:tcW w:w="120" w:type="dxa"/>
            <w:vAlign w:val="bottom"/>
            <w:tcBorders>
              <w:left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20" w:type="dxa"/>
            <w:vAlign w:val="bottom"/>
            <w:tcBorders>
              <w:left w:val="single" w:sz="8" w:color="CCEEFF"/>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Lease deposits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Borders>
              <w:right w:val="single" w:sz="8" w:color="CCEEFF"/>
            </w:tcBorders>
          </w:tcPr>
          <w:p>
            <w:pPr>
              <w:spacing w:after="0"/>
              <w:rPr>
                <w:sz w:val="19"/>
                <w:szCs w:val="19"/>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20" w:type="dxa"/>
            <w:vAlign w:val="bottom"/>
            <w:tcBorders>
              <w:left w:val="single" w:sz="8" w:color="CCEEFF"/>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140" w:type="dxa"/>
            <w:vAlign w:val="bottom"/>
            <w:tcBorders>
              <w:right w:val="single" w:sz="8" w:color="CCEEFF"/>
            </w:tcBorders>
          </w:tcPr>
          <w:p>
            <w:pPr>
              <w:spacing w:after="0"/>
              <w:rPr>
                <w:sz w:val="18"/>
                <w:szCs w:val="18"/>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52,979</w:t>
            </w: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49,524</w:t>
            </w:r>
          </w:p>
        </w:tc>
        <w:tc>
          <w:tcPr>
            <w:tcW w:w="120" w:type="dxa"/>
            <w:vAlign w:val="bottom"/>
            <w:tcBorders>
              <w:left w:val="single" w:sz="8" w:color="CCEEFF"/>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Borders>
              <w:right w:val="single" w:sz="8" w:color="CCEEFF"/>
            </w:tcBorders>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546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Accrued expenses and other current liabilities consist of the following:</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51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320" w:type="dxa"/>
            <w:vAlign w:val="bottom"/>
            <w:gridSpan w:val="3"/>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58,736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Payable to statutory authorities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20,591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liabilities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5,521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20" w:type="dxa"/>
            <w:vAlign w:val="bottom"/>
          </w:tcPr>
          <w:p>
            <w:pPr>
              <w:spacing w:after="0"/>
              <w:rPr>
                <w:sz w:val="18"/>
                <w:szCs w:val="18"/>
                <w:color w:val="auto"/>
              </w:rPr>
            </w:pP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320" w:type="dxa"/>
            <w:vAlign w:val="bottom"/>
            <w:gridSpan w:val="3"/>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107,059</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112,900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40" w:type="dxa"/>
            <w:vAlign w:val="bottom"/>
            <w:vMerge w:val="restart"/>
          </w:tcPr>
          <w:p>
            <w:pPr>
              <w:jc w:val="right"/>
              <w:ind w:right="592"/>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1"/>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137"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5"/>
        </w:trPr>
        <w:tc>
          <w:tcPr>
            <w:tcW w:w="6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8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80" w:type="dxa"/>
            <w:vAlign w:val="bottom"/>
          </w:tcPr>
          <w:p>
            <w:pPr>
              <w:spacing w:after="0"/>
              <w:rPr>
                <w:sz w:val="17"/>
                <w:szCs w:val="17"/>
                <w:color w:val="auto"/>
              </w:rPr>
            </w:pPr>
          </w:p>
        </w:tc>
        <w:tc>
          <w:tcPr>
            <w:tcW w:w="1860" w:type="dxa"/>
            <w:vAlign w:val="bottom"/>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32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23"/>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w:t>
            </w:r>
          </w:p>
        </w:tc>
      </w:tr>
      <w:tr>
        <w:trPr>
          <w:trHeight w:val="242"/>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Income/(Loss)</w:t>
      </w:r>
    </w:p>
    <w:p>
      <w:pPr>
        <w:spacing w:after="0" w:line="202"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 xml:space="preserve">Accumulated other comprehensive income/(loss) (“AOCI”) consists of actuarial gain/(loss) on retirement benefits and foreign currency translation adjustments. In addition, the Company enters into foreign currency forward contracts and interest rate swaps, which are designated as cash flow hedges and net investment hedges, as applicable, in accordance with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Cumulative changes in the fair values of cash flow hedges are recognized in AOCI on the Company’s consolidated balance sheets. The fair value changes are reclassified from AOCI to unaudited consolidated statements of income upon settlement of foreign currency forward contracts designated as cash flow hedges of a forecast transaction, whereas such changes for interest rate swaps are reclassified over the term of the contract. Fair value changes related to net investment hedges are included in AOCI and are reclassified to unaudited consolidated statements of income when a foreign operation is disposed or partially disposed. The following table sets forth the changes in AOCI during the three months ended March 31,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8"/>
          </w:tcPr>
          <w:p>
            <w:pPr>
              <w:ind w:left="158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Income/(Loss)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2"/>
          </w:tcPr>
          <w:p>
            <w:pPr>
              <w:jc w:val="center"/>
              <w:ind w:right="220"/>
              <w:spacing w:after="0" w:line="153" w:lineRule="exact"/>
              <w:rPr>
                <w:sz w:val="20"/>
                <w:szCs w:val="20"/>
                <w:color w:val="auto"/>
              </w:rPr>
            </w:pPr>
            <w:r>
              <w:rPr>
                <w:rFonts w:ascii="Times New Roman" w:cs="Times New Roman" w:eastAsia="Times New Roman" w:hAnsi="Times New Roman"/>
                <w:sz w:val="16"/>
                <w:szCs w:val="16"/>
                <w:b w:val="1"/>
                <w:bCs w:val="1"/>
                <w:color w:val="auto"/>
                <w:w w:val="98"/>
              </w:rPr>
              <w:t>Currency translation</w:t>
            </w:r>
          </w:p>
        </w:tc>
        <w:tc>
          <w:tcPr>
            <w:tcW w:w="1860" w:type="dxa"/>
            <w:vAlign w:val="bottom"/>
            <w:gridSpan w:val="3"/>
          </w:tcPr>
          <w:p>
            <w:pPr>
              <w:jc w:val="center"/>
              <w:ind w:right="120"/>
              <w:spacing w:after="0" w:line="153" w:lineRule="exact"/>
              <w:rPr>
                <w:sz w:val="20"/>
                <w:szCs w:val="20"/>
                <w:color w:val="auto"/>
              </w:rPr>
            </w:pPr>
            <w:r>
              <w:rPr>
                <w:rFonts w:ascii="Times New Roman" w:cs="Times New Roman" w:eastAsia="Times New Roman" w:hAnsi="Times New Roman"/>
                <w:sz w:val="16"/>
                <w:szCs w:val="16"/>
                <w:b w:val="1"/>
                <w:bCs w:val="1"/>
                <w:color w:val="auto"/>
                <w:w w:val="98"/>
              </w:rPr>
              <w:t>Unrealized gain/(loss) on</w:t>
            </w:r>
          </w:p>
        </w:tc>
        <w:tc>
          <w:tcPr>
            <w:tcW w:w="160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Retirement benefits</w:t>
            </w:r>
          </w:p>
        </w:tc>
        <w:tc>
          <w:tcPr>
            <w:tcW w:w="34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adjustments</w:t>
            </w:r>
          </w:p>
        </w:tc>
        <w:tc>
          <w:tcPr>
            <w:tcW w:w="220" w:type="dxa"/>
            <w:vAlign w:val="bottom"/>
          </w:tcPr>
          <w:p>
            <w:pPr>
              <w:spacing w:after="0"/>
              <w:rPr>
                <w:sz w:val="11"/>
                <w:szCs w:val="11"/>
                <w:color w:val="auto"/>
              </w:rPr>
            </w:pPr>
          </w:p>
        </w:tc>
        <w:tc>
          <w:tcPr>
            <w:tcW w:w="16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cash flow hedges</w:t>
            </w:r>
          </w:p>
        </w:tc>
        <w:tc>
          <w:tcPr>
            <w:tcW w:w="160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4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(132,643)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4,198</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(127,040)</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Losses recognized during the period</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Accumulated other comprehensive income/(loss) as of</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(135,188)</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3,503</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(130,436)</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(133,139)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(144,143)</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recognized during the period</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12,607</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Reclassification to net income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Income tax effects </w:t>
            </w:r>
            <w:r>
              <w:rPr>
                <w:rFonts w:ascii="Times New Roman" w:cs="Times New Roman" w:eastAsia="Times New Roman" w:hAnsi="Times New Roman"/>
                <w:sz w:val="22"/>
                <w:szCs w:val="22"/>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0" w:type="dxa"/>
            <w:vAlign w:val="bottom"/>
          </w:tcPr>
          <w:p>
            <w:pPr>
              <w:spacing w:after="0"/>
              <w:rPr>
                <w:sz w:val="1"/>
                <w:szCs w:val="1"/>
                <w:color w:val="auto"/>
              </w:rPr>
            </w:pPr>
          </w:p>
        </w:tc>
      </w:tr>
      <w:tr>
        <w:trPr>
          <w:trHeight w:val="151"/>
        </w:trPr>
        <w:tc>
          <w:tcPr>
            <w:tcW w:w="4400" w:type="dxa"/>
            <w:vAlign w:val="bottom"/>
            <w:shd w:val="clear" w:color="auto" w:fill="CCEEFF"/>
          </w:tcPr>
          <w:p>
            <w:pPr>
              <w:ind w:left="20"/>
              <w:spacing w:after="0" w:line="151" w:lineRule="exact"/>
              <w:rPr>
                <w:sz w:val="20"/>
                <w:szCs w:val="20"/>
                <w:color w:val="auto"/>
              </w:rPr>
            </w:pPr>
            <w:r>
              <w:rPr>
                <w:rFonts w:ascii="Times New Roman" w:cs="Times New Roman" w:eastAsia="Times New Roman" w:hAnsi="Times New Roman"/>
                <w:sz w:val="16"/>
                <w:szCs w:val="16"/>
                <w:b w:val="1"/>
                <w:bCs w:val="1"/>
                <w:color w:val="auto"/>
              </w:rPr>
              <w:t>Accumulated other comprehensive income/(loss) as of</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(128,964)</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w:t>
            </w:r>
          </w:p>
        </w:tc>
        <w:tc>
          <w:tcPr>
            <w:tcW w:w="1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(131,487)</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firstLine="5"/>
        <w:spacing w:after="0" w:line="269" w:lineRule="auto"/>
        <w:tabs>
          <w:tab w:leader="none" w:pos="371"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17 - Derivatives and Hedge Accounting and Note 20 - Employee Benefit Plans to the unaudited consolidated financial statements for reclassification to net income.</w:t>
      </w:r>
    </w:p>
    <w:p>
      <w:pPr>
        <w:spacing w:after="0" w:line="87" w:lineRule="exact"/>
        <w:rPr>
          <w:rFonts w:ascii="Times New Roman" w:cs="Times New Roman" w:eastAsia="Times New Roman" w:hAnsi="Times New Roman"/>
          <w:sz w:val="16"/>
          <w:szCs w:val="16"/>
          <w:color w:val="auto"/>
        </w:rPr>
      </w:pPr>
    </w:p>
    <w:p>
      <w:pPr>
        <w:ind w:firstLine="5"/>
        <w:spacing w:after="0" w:line="269" w:lineRule="auto"/>
        <w:tabs>
          <w:tab w:leader="none" w:pos="36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are income tax effects recognized on cash flow hedges, retirement benefits and currency translation adjustments. Refer to Note 22 - Income Taxes to the unaudited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recognized at fair value:</w:t>
      </w:r>
    </w:p>
    <w:p>
      <w:pPr>
        <w:spacing w:after="0" w:line="232"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60" w:type="dxa"/>
            <w:vAlign w:val="bottom"/>
          </w:tcPr>
          <w:p>
            <w:pPr>
              <w:spacing w:after="0"/>
              <w:rPr>
                <w:sz w:val="16"/>
                <w:szCs w:val="1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20" w:type="dxa"/>
            <w:vAlign w:val="bottom"/>
          </w:tcPr>
          <w:p>
            <w:pPr>
              <w:spacing w:after="0"/>
              <w:rPr>
                <w:sz w:val="16"/>
                <w:szCs w:val="16"/>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20" w:type="dxa"/>
            <w:vAlign w:val="bottom"/>
          </w:tcPr>
          <w:p>
            <w:pPr>
              <w:spacing w:after="0"/>
              <w:rPr>
                <w:sz w:val="6"/>
                <w:szCs w:val="6"/>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 Inputs</w:t>
            </w: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March 31, 2024</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15,073</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44,488</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0" w:type="dxa"/>
            <w:vAlign w:val="bottom"/>
          </w:tcPr>
          <w:p>
            <w:pPr>
              <w:spacing w:after="0"/>
              <w:rPr>
                <w:sz w:val="1"/>
                <w:szCs w:val="1"/>
                <w:color w:val="auto"/>
              </w:rPr>
            </w:pPr>
          </w:p>
        </w:tc>
      </w:tr>
      <w:tr>
        <w:trPr>
          <w:trHeight w:val="242"/>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66,979</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17"/>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3420" w:type="dxa"/>
            <w:vAlign w:val="bottom"/>
          </w:tcPr>
          <w:p>
            <w:pPr>
              <w:spacing w:after="0"/>
              <w:rPr>
                <w:sz w:val="13"/>
                <w:szCs w:val="13"/>
                <w:color w:val="auto"/>
              </w:rPr>
            </w:pPr>
          </w:p>
        </w:tc>
        <w:tc>
          <w:tcPr>
            <w:tcW w:w="182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Quoted Prices in Active</w:t>
            </w:r>
          </w:p>
        </w:tc>
        <w:tc>
          <w:tcPr>
            <w:tcW w:w="160" w:type="dxa"/>
            <w:vAlign w:val="bottom"/>
          </w:tcPr>
          <w:p>
            <w:pPr>
              <w:spacing w:after="0"/>
              <w:rPr>
                <w:sz w:val="13"/>
                <w:szCs w:val="13"/>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120" w:type="dxa"/>
            <w:vAlign w:val="bottom"/>
          </w:tcPr>
          <w:p>
            <w:pPr>
              <w:spacing w:after="0"/>
              <w:rPr>
                <w:sz w:val="13"/>
                <w:szCs w:val="13"/>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Significant Other</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restart"/>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Markets for Identical</w:t>
            </w: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Observable Inputs</w:t>
            </w:r>
          </w:p>
        </w:tc>
        <w:tc>
          <w:tcPr>
            <w:tcW w:w="120" w:type="dxa"/>
            <w:vAlign w:val="bottom"/>
          </w:tcPr>
          <w:p>
            <w:pPr>
              <w:spacing w:after="0"/>
              <w:rPr>
                <w:sz w:val="6"/>
                <w:szCs w:val="6"/>
                <w:color w:val="auto"/>
              </w:rPr>
            </w:pPr>
          </w:p>
        </w:tc>
        <w:tc>
          <w:tcPr>
            <w:tcW w:w="1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Unobservable Inputs</w:t>
            </w: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Assets</w:t>
            </w:r>
          </w:p>
        </w:tc>
        <w:tc>
          <w:tcPr>
            <w:tcW w:w="16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3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3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 of December 31, 2023</w:t>
            </w:r>
          </w:p>
        </w:tc>
        <w:tc>
          <w:tcPr>
            <w:tcW w:w="12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4"/>
        </w:trPr>
        <w:tc>
          <w:tcPr>
            <w:tcW w:w="34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equivalents - Money market funds </w:t>
            </w:r>
            <w:r>
              <w:rPr>
                <w:rFonts w:ascii="Times New Roman" w:cs="Times New Roman" w:eastAsia="Times New Roman" w:hAnsi="Times New Roman"/>
                <w:sz w:val="22"/>
                <w:szCs w:val="22"/>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49,806</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Mutual funds </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52,650</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0" w:type="dxa"/>
            <w:vAlign w:val="bottom"/>
          </w:tcPr>
          <w:p>
            <w:pPr>
              <w:spacing w:after="0"/>
              <w:rPr>
                <w:sz w:val="1"/>
                <w:szCs w:val="1"/>
                <w:color w:val="auto"/>
              </w:rPr>
            </w:pPr>
          </w:p>
        </w:tc>
      </w:tr>
      <w:tr>
        <w:trPr>
          <w:trHeight w:val="242"/>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110,063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0" w:type="dxa"/>
            <w:vAlign w:val="bottom"/>
          </w:tcPr>
          <w:p>
            <w:pPr>
              <w:spacing w:after="0"/>
              <w:rPr>
                <w:sz w:val="1"/>
                <w:szCs w:val="1"/>
                <w:color w:val="auto"/>
              </w:rPr>
            </w:pPr>
          </w:p>
        </w:tc>
      </w:tr>
      <w:tr>
        <w:trPr>
          <w:trHeight w:val="223"/>
        </w:trPr>
        <w:tc>
          <w:tcPr>
            <w:tcW w:w="342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Contingent consideration </w:t>
            </w:r>
            <w:r>
              <w:rPr>
                <w:rFonts w:ascii="Times New Roman" w:cs="Times New Roman" w:eastAsia="Times New Roman" w:hAnsi="Times New Roman"/>
                <w:sz w:val="22"/>
                <w:szCs w:val="22"/>
                <w:color w:val="auto"/>
                <w:vertAlign w:val="superscript"/>
              </w:rPr>
              <w:t>(3)</w:t>
            </w:r>
          </w:p>
        </w:tc>
        <w:tc>
          <w:tcPr>
            <w:tcW w:w="12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0" w:type="dxa"/>
            <w:vAlign w:val="bottom"/>
          </w:tcPr>
          <w:p>
            <w:pPr>
              <w:spacing w:after="0"/>
              <w:rPr>
                <w:sz w:val="1"/>
                <w:szCs w:val="1"/>
                <w:color w:val="auto"/>
              </w:rPr>
            </w:pPr>
          </w:p>
        </w:tc>
      </w:tr>
      <w:tr>
        <w:trPr>
          <w:trHeight w:val="242"/>
        </w:trPr>
        <w:tc>
          <w:tcPr>
            <w:tcW w:w="3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6" w:lineRule="exact"/>
        <w:rPr>
          <w:sz w:val="20"/>
          <w:szCs w:val="20"/>
          <w:color w:val="auto"/>
        </w:rPr>
      </w:pPr>
    </w:p>
    <w:p>
      <w:pPr>
        <w:ind w:left="640" w:hanging="24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money market funds which are carried at the fair value option under ASC Topic 825 “Financial Instruments”.</w:t>
      </w:r>
    </w:p>
    <w:p>
      <w:pPr>
        <w:spacing w:after="0" w:line="279" w:lineRule="exact"/>
        <w:rPr>
          <w:rFonts w:ascii="Times New Roman" w:cs="Times New Roman" w:eastAsia="Times New Roman" w:hAnsi="Times New Roman"/>
          <w:sz w:val="18"/>
          <w:szCs w:val="18"/>
          <w:color w:val="auto"/>
        </w:rPr>
      </w:pPr>
    </w:p>
    <w:p>
      <w:pPr>
        <w:ind w:left="640" w:hanging="241"/>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those short-term investments which are carried at the fair value option under ASC Topic 825 “Financial Instruments”.</w:t>
      </w:r>
    </w:p>
    <w:p>
      <w:pPr>
        <w:spacing w:after="0" w:line="253" w:lineRule="exact"/>
        <w:rPr>
          <w:rFonts w:ascii="Times New Roman" w:cs="Times New Roman" w:eastAsia="Times New Roman" w:hAnsi="Times New Roman"/>
          <w:sz w:val="18"/>
          <w:szCs w:val="18"/>
          <w:color w:val="auto"/>
        </w:rPr>
      </w:pPr>
    </w:p>
    <w:p>
      <w:pPr>
        <w:ind w:firstLine="399"/>
        <w:spacing w:after="0" w:line="268" w:lineRule="auto"/>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is presented under “Accrued Expenses and Other Current Liabilities” and “Other Non-Current Liabilities,” as applicable,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19"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Derivative Financial Instruments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The Company’s derivative financial instruments consist of foreign currency forward contracts and interest rate swaps. Fair values for derivative financial instruments are based on independent sources including highly rated financial institutions and are classified as Level 2. Refer to Note 17 - Derivatives and Hedge Accounting to the unaudited consolidated financial statements for further details.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Contingent Consideration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The fair value measurement of contingent consideration is determined using Level 3 inputs. The Company’s contingent consideration represents a component of the total purchase consideration for business acquisitions. The measurement is calculated using unobservable inputs based on the Company’s own assessment of achievement of certain performance goals. The Company estimated the fair value of the contingent consideration based on the Monte Carlo simulation model and scenario-based method.</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contingent consideration:</w:t>
      </w:r>
    </w:p>
    <w:p>
      <w:pPr>
        <w:spacing w:after="0" w:line="45"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620" w:type="dxa"/>
            <w:vAlign w:val="bottom"/>
          </w:tcPr>
          <w:p>
            <w:pPr>
              <w:spacing w:after="0"/>
              <w:rPr>
                <w:sz w:val="18"/>
                <w:szCs w:val="18"/>
                <w:color w:val="auto"/>
              </w:rPr>
            </w:pPr>
          </w:p>
        </w:tc>
        <w:tc>
          <w:tcPr>
            <w:tcW w:w="3640" w:type="dxa"/>
            <w:vAlign w:val="bottom"/>
            <w:tcBorders>
              <w:bottom w:val="single" w:sz="8" w:color="auto"/>
            </w:tcBorders>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40" w:type="dxa"/>
            <w:vAlign w:val="bottom"/>
            <w:tcBorders>
              <w:bottom w:val="single" w:sz="8" w:color="auto"/>
            </w:tcBorders>
          </w:tcPr>
          <w:p>
            <w:pPr>
              <w:spacing w:after="0"/>
              <w:rPr>
                <w:sz w:val="18"/>
                <w:szCs w:val="18"/>
                <w:color w:val="auto"/>
              </w:rPr>
            </w:pPr>
          </w:p>
        </w:tc>
      </w:tr>
      <w:tr>
        <w:trPr>
          <w:trHeight w:val="205"/>
        </w:trPr>
        <w:tc>
          <w:tcPr>
            <w:tcW w:w="56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Borders>
              <w:bottom w:val="single" w:sz="8" w:color="auto"/>
            </w:tcBorders>
          </w:tcPr>
          <w:p>
            <w:pPr>
              <w:spacing w:after="0"/>
              <w:rPr>
                <w:sz w:val="17"/>
                <w:szCs w:val="17"/>
                <w:color w:val="auto"/>
              </w:rPr>
            </w:pPr>
          </w:p>
        </w:tc>
      </w:tr>
      <w:tr>
        <w:trPr>
          <w:trHeight w:val="21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1360" w:type="dxa"/>
            <w:vAlign w:val="bottom"/>
            <w:shd w:val="clear" w:color="auto" w:fill="CCEEFF"/>
          </w:tcPr>
          <w:p>
            <w:pPr>
              <w:jc w:val="right"/>
              <w:ind w:right="11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18,689</w:t>
            </w: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changes</w:t>
            </w:r>
          </w:p>
        </w:tc>
        <w:tc>
          <w:tcPr>
            <w:tcW w:w="1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1360" w:type="dxa"/>
            <w:vAlign w:val="bottom"/>
            <w:tcBorders>
              <w:bottom w:val="single" w:sz="8" w:color="auto"/>
            </w:tcBorders>
          </w:tcPr>
          <w:p>
            <w:pPr>
              <w:jc w:val="right"/>
              <w:ind w:right="1177"/>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20" w:type="dxa"/>
            <w:vAlign w:val="bottom"/>
            <w:tcBorders>
              <w:bottom w:val="single" w:sz="8" w:color="auto"/>
            </w:tcBorders>
          </w:tcPr>
          <w:p>
            <w:pPr>
              <w:jc w:val="right"/>
              <w:ind w:right="121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18,689</w:t>
            </w:r>
          </w:p>
        </w:tc>
      </w:tr>
      <w:tr>
        <w:trPr>
          <w:trHeight w:val="20"/>
        </w:trPr>
        <w:tc>
          <w:tcPr>
            <w:tcW w:w="5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three months ended March 31, 2024 and 2023, there were no transfers among Level 1, Level 2 and Level 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cash and cash equivalents (except investments in money market funds, as disclosed above), short-term investments (except investments in mutual funds, as disclosed above), restricted cash, accounts receivable, net, long-term investments, accrued capital expenditures, accrued expenses, client liabilities and interest payable on borrowings for which fair values approximate their carrying amounts. The carrying value of the Company’s outstanding revolving credit facility approximates its fair value because the Company’s interest rate yield is near current market rates for comparable debt instruments.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63" w:lineRule="exact"/>
        <w:rPr>
          <w:sz w:val="20"/>
          <w:szCs w:val="20"/>
          <w:color w:val="auto"/>
        </w:rPr>
      </w:pPr>
    </w:p>
    <w:p>
      <w:pPr>
        <w:jc w:val="both"/>
        <w:ind w:firstLine="434"/>
        <w:spacing w:after="0" w:line="241" w:lineRule="auto"/>
        <w:rPr>
          <w:sz w:val="20"/>
          <w:szCs w:val="20"/>
          <w:color w:val="auto"/>
        </w:rPr>
      </w:pPr>
      <w:r>
        <w:rPr>
          <w:rFonts w:ascii="Times New Roman" w:cs="Times New Roman" w:eastAsia="Times New Roman" w:hAnsi="Times New Roman"/>
          <w:sz w:val="18"/>
          <w:szCs w:val="18"/>
          <w:color w:val="auto"/>
        </w:rPr>
        <w:t xml:space="preserve">The Company uses derivative instruments to mitigate cash flow volatility from risk of fluctuations in foreign currency exchange rates and interest rates. The Company enters into foreign currency forward contracts to hedge cash flow risks from forecasted transactions denominated in certain foreign currencies, and interest rate swaps to hedge cash flow risks from its revolving credit facility having variable interest rate obligations. These contracts qualify as cash flow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and are with counterparties that are highly rated financial institutions.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aggregate notional amount of derivatives in cash flow hedging relationship:</w:t>
      </w:r>
    </w:p>
    <w:p>
      <w:pPr>
        <w:spacing w:after="0" w:line="45"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5"/>
        </w:trPr>
        <w:tc>
          <w:tcPr>
            <w:tcW w:w="6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6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Foreign currency forward contracts</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r>
      <w:tr>
        <w:trPr>
          <w:trHeight w:val="21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 S. dollar (USD)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707,200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722,800</w:t>
            </w:r>
          </w:p>
        </w:tc>
      </w:tr>
      <w:tr>
        <w:trPr>
          <w:trHeight w:val="22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U.K. pound sterling (GBP)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3"/>
        </w:trPr>
        <w:tc>
          <w:tcPr>
            <w:tcW w:w="6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60" w:type="dxa"/>
            <w:vAlign w:val="bottom"/>
          </w:tcPr>
          <w:p>
            <w:pPr>
              <w:spacing w:after="0"/>
              <w:rPr>
                <w:sz w:val="4"/>
                <w:szCs w:val="4"/>
                <w:color w:val="auto"/>
              </w:rPr>
            </w:pPr>
          </w:p>
        </w:tc>
      </w:tr>
      <w:tr>
        <w:trPr>
          <w:trHeight w:val="223"/>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rate swaps</w:t>
            </w:r>
          </w:p>
        </w:tc>
        <w:tc>
          <w:tcPr>
            <w:tcW w:w="2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r>
    </w:tbl>
    <w:p>
      <w:pPr>
        <w:spacing w:after="0" w:line="214"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Company estimates that approximately $1,765 of derivative gains, net, excluding tax effects, included in AOCI, representing changes in the value of cash flow hedges based on exchange rates prevailing as of March 31, 2024, could be reclassified into earnings within the next twelve months. As of March 31, 2024, the maximum outstanding term of the cash flow hedges was approximately 45 months.</w:t>
      </w:r>
    </w:p>
    <w:p>
      <w:pPr>
        <w:spacing w:after="0" w:line="113"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 xml:space="preserve">The Company also enters into foreign currency forward contracts to hedge its intercompany balances and other monetary assets and liabilities denominated in currencies other than functional currencies, against the risk of fluctuations in foreign currency exchange rates associated with remeasurement of such assets and liabilities to functional currency. These foreign currency forward contracts do not qualify as fair value hedges under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Changes in the fair value of these financial instruments are recognized in the unaudited consolidated statements of income and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foreign exchange gain/(loss) line item. The Company’s primary exchange rate exposure is with the Indian rupee (INR), the Philippine peso (PHP), the U.K. pound sterling (GBP) and South African rand (ZAR). The Company also has exposure to the Colombian peso (COP), the Euro (EUR), the Australian dollar (AUD), the Canadian dollar (CAD) and other local currencies in which it operates.</w:t>
      </w:r>
    </w:p>
    <w:p>
      <w:pPr>
        <w:spacing w:after="0" w:line="210"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aggregate notional principal amounts of outstanding foreign currency forward contracts for derivatives not designated as hedging instruments:</w:t>
      </w:r>
    </w:p>
    <w:p>
      <w:pPr>
        <w:spacing w:after="0" w:line="171"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tcBorders>
              <w:bottom w:val="single" w:sz="8" w:color="auto"/>
            </w:tcBorders>
            <w:gridSpan w:val="3"/>
          </w:tcPr>
          <w:p>
            <w:pPr>
              <w:ind w:left="20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60" w:type="dxa"/>
            <w:vAlign w:val="bottom"/>
            <w:tcBorders>
              <w:bottom w:val="single" w:sz="8" w:color="auto"/>
            </w:tcBorders>
          </w:tcPr>
          <w:p>
            <w:pPr>
              <w:spacing w:after="0"/>
              <w:rPr>
                <w:sz w:val="18"/>
                <w:szCs w:val="18"/>
                <w:color w:val="auto"/>
              </w:rPr>
            </w:pPr>
          </w:p>
        </w:tc>
      </w:tr>
      <w:tr>
        <w:trPr>
          <w:trHeight w:val="20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Foreign currency forward contracts denominated in:</w:t>
            </w:r>
          </w:p>
        </w:tc>
        <w:tc>
          <w:tcPr>
            <w:tcW w:w="250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60" w:type="dxa"/>
            <w:vAlign w:val="bottom"/>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4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8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189,760</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170,543</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14,544</w:t>
            </w: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r>
      <w:tr>
        <w:trPr>
          <w:trHeight w:val="22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AUD</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w:t>
            </w:r>
          </w:p>
        </w:tc>
      </w:tr>
      <w:tr>
        <w:trPr>
          <w:trHeight w:val="22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ZAR</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157,291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r>
      <w:tr>
        <w:trPr>
          <w:trHeight w:val="228"/>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COP</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2,747,748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The following table sets forth the fair value of the foreign currency forward contracts and interest rate swaps and their location on the consolidated balance sheets:</w:t>
      </w:r>
    </w:p>
    <w:p>
      <w:pPr>
        <w:sectPr>
          <w:pgSz w:w="11900" w:h="16838" w:orient="portrait"/>
          <w:cols w:equalWidth="0" w:num="1">
            <w:col w:w="11240"/>
          </w:cols>
          <w:pgMar w:left="320" w:top="119" w:right="339" w:bottom="1440" w:gutter="0" w:footer="0" w:header="0"/>
        </w:sectPr>
      </w:pPr>
    </w:p>
    <w:p>
      <w:pPr>
        <w:spacing w:after="0" w:line="171"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5"/>
          <w:szCs w:val="15"/>
          <w:b w:val="1"/>
          <w:bCs w:val="1"/>
          <w:color w:val="auto"/>
        </w:rPr>
        <w:t>Derivatives in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26035</wp:posOffset>
            </wp:positionV>
            <wp:extent cx="23450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345055" cy="8255"/>
                    </a:xfrm>
                    <a:prstGeom prst="rect">
                      <a:avLst/>
                    </a:prstGeom>
                    <a:noFill/>
                  </pic:spPr>
                </pic:pic>
              </a:graphicData>
            </a:graphic>
          </wp:anchor>
        </w:drawing>
      </w:r>
    </w:p>
    <w:p>
      <w:pPr>
        <w:spacing w:after="0" w:line="31" w:lineRule="exact"/>
        <w:rPr>
          <w:sz w:val="20"/>
          <w:szCs w:val="20"/>
          <w:color w:val="auto"/>
        </w:rPr>
      </w:pPr>
    </w:p>
    <w:p>
      <w:pPr>
        <w:jc w:val="center"/>
        <w:ind w:left="39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18415</wp:posOffset>
            </wp:positionV>
            <wp:extent cx="23450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45055" cy="8255"/>
                    </a:xfrm>
                    <a:prstGeom prst="rect">
                      <a:avLst/>
                    </a:prstGeom>
                    <a:noFill/>
                  </pic:spPr>
                </pic:pic>
              </a:graphicData>
            </a:graphic>
          </wp:anchor>
        </w:drawing>
      </w:r>
    </w:p>
    <w:p>
      <w:pPr>
        <w:spacing w:after="0" w:line="19" w:lineRule="exact"/>
        <w:rPr>
          <w:sz w:val="20"/>
          <w:szCs w:val="20"/>
          <w:color w:val="auto"/>
        </w:rPr>
      </w:pPr>
    </w:p>
    <w:p>
      <w:pPr>
        <w:ind w:left="4040"/>
        <w:spacing w:after="0"/>
        <w:tabs>
          <w:tab w:leader="none" w:pos="5800" w:val="left"/>
        </w:tabs>
        <w:rPr>
          <w:sz w:val="20"/>
          <w:szCs w:val="20"/>
          <w:color w:val="auto"/>
        </w:rPr>
      </w:pPr>
      <w:r>
        <w:rPr>
          <w:rFonts w:ascii="Times New Roman" w:cs="Times New Roman" w:eastAsia="Times New Roman" w:hAnsi="Times New Roman"/>
          <w:sz w:val="16"/>
          <w:szCs w:val="16"/>
          <w:b w:val="1"/>
          <w:bCs w:val="1"/>
          <w:color w:val="auto"/>
        </w:rPr>
        <w:t>March 31, 2024</w:t>
      </w:r>
      <w:r>
        <w:rPr>
          <w:sz w:val="20"/>
          <w:szCs w:val="20"/>
          <w:color w:val="auto"/>
        </w:rPr>
        <w:tab/>
      </w:r>
      <w:r>
        <w:rPr>
          <w:rFonts w:ascii="Times New Roman" w:cs="Times New Roman" w:eastAsia="Times New Roman" w:hAnsi="Times New Roman"/>
          <w:sz w:val="15"/>
          <w:szCs w:val="15"/>
          <w:b w:val="1"/>
          <w:bCs w:val="1"/>
          <w:color w:val="auto"/>
        </w:rPr>
        <w:t>December 31, 2023</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ind w:right="240"/>
        <w:spacing w:after="0" w:line="291" w:lineRule="auto"/>
        <w:rPr>
          <w:sz w:val="20"/>
          <w:szCs w:val="20"/>
          <w:color w:val="auto"/>
        </w:rPr>
      </w:pPr>
      <w:r>
        <w:rPr>
          <w:rFonts w:ascii="Times New Roman" w:cs="Times New Roman" w:eastAsia="Times New Roman" w:hAnsi="Times New Roman"/>
          <w:sz w:val="16"/>
          <w:szCs w:val="16"/>
          <w:b w:val="1"/>
          <w:bCs w:val="1"/>
          <w:color w:val="auto"/>
        </w:rPr>
        <w:t>Derivatives not designated as hedging instruments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-5715</wp:posOffset>
            </wp:positionV>
            <wp:extent cx="23622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36220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wp:posOffset>
            </wp:positionH>
            <wp:positionV relativeFrom="paragraph">
              <wp:posOffset>-147320</wp:posOffset>
            </wp:positionV>
            <wp:extent cx="2362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62200" cy="8255"/>
                    </a:xfrm>
                    <a:prstGeom prst="rect">
                      <a:avLst/>
                    </a:prstGeom>
                    <a:noFill/>
                  </pic:spPr>
                </pic:pic>
              </a:graphicData>
            </a:graphic>
          </wp:anchor>
        </w:drawing>
      </w:r>
    </w:p>
    <w:p>
      <w:pPr>
        <w:ind w:left="220"/>
        <w:spacing w:after="0"/>
        <w:tabs>
          <w:tab w:leader="none" w:pos="1980" w:val="left"/>
        </w:tabs>
        <w:rPr>
          <w:sz w:val="20"/>
          <w:szCs w:val="20"/>
          <w:color w:val="auto"/>
        </w:rPr>
      </w:pPr>
      <w:r>
        <w:rPr>
          <w:rFonts w:ascii="Times New Roman" w:cs="Times New Roman" w:eastAsia="Times New Roman" w:hAnsi="Times New Roman"/>
          <w:sz w:val="16"/>
          <w:szCs w:val="16"/>
          <w:b w:val="1"/>
          <w:bCs w:val="1"/>
          <w:color w:val="auto"/>
        </w:rPr>
        <w:t>March 31, 2024</w:t>
      </w:r>
      <w:r>
        <w:rPr>
          <w:sz w:val="20"/>
          <w:szCs w:val="20"/>
          <w:color w:val="auto"/>
        </w:rPr>
        <w:tab/>
      </w:r>
      <w:r>
        <w:rPr>
          <w:rFonts w:ascii="Times New Roman" w:cs="Times New Roman" w:eastAsia="Times New Roman" w:hAnsi="Times New Roman"/>
          <w:sz w:val="15"/>
          <w:szCs w:val="15"/>
          <w:b w:val="1"/>
          <w:bCs w:val="1"/>
          <w:color w:val="auto"/>
        </w:rPr>
        <w:t>December 31, 2023</w:t>
      </w:r>
    </w:p>
    <w:p>
      <w:pPr>
        <w:spacing w:after="0" w:line="25" w:lineRule="exact"/>
        <w:rPr>
          <w:sz w:val="20"/>
          <w:szCs w:val="20"/>
          <w:color w:val="auto"/>
        </w:rPr>
      </w:pPr>
    </w:p>
    <w:p>
      <w:pPr>
        <w:sectPr>
          <w:pgSz w:w="11900" w:h="16838" w:orient="portrait"/>
          <w:cols w:equalWidth="0" w:num="2">
            <w:col w:w="7080" w:space="540"/>
            <w:col w:w="3620"/>
          </w:cols>
          <w:pgMar w:left="320" w:top="119" w:right="339" w:bottom="1440" w:gutter="0" w:footer="0" w:header="0"/>
          <w:type w:val="continuous"/>
        </w:sectPr>
      </w:pPr>
    </w:p>
    <w:tbl>
      <w:tblPr>
        <w:tblLayout w:type="fixed"/>
        <w:tblInd w:w="520" w:type="dxa"/>
        <w:tblCellMar>
          <w:top w:w="0" w:type="dxa"/>
          <w:left w:w="0" w:type="dxa"/>
          <w:bottom w:w="0" w:type="dxa"/>
          <w:right w:w="0" w:type="dxa"/>
        </w:tblCellMar>
      </w:tblPr>
      <w:tr>
        <w:trPr>
          <w:trHeight w:val="221"/>
        </w:trPr>
        <w:tc>
          <w:tcPr>
            <w:tcW w:w="3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23"/>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4,216</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71"/>
        </w:trPr>
        <w:tc>
          <w:tcPr>
            <w:tcW w:w="3160" w:type="dxa"/>
            <w:vAlign w:val="bottom"/>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7"/>
        </w:trPr>
        <w:tc>
          <w:tcPr>
            <w:tcW w:w="3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70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8"/>
        </w:trPr>
        <w:tc>
          <w:tcPr>
            <w:tcW w:w="3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0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tcPr>
          <w:p>
            <w:pPr>
              <w:spacing w:after="0"/>
              <w:rPr>
                <w:sz w:val="19"/>
                <w:szCs w:val="19"/>
                <w:color w:val="auto"/>
              </w:rPr>
            </w:pPr>
          </w:p>
        </w:tc>
        <w:tc>
          <w:tcPr>
            <w:tcW w:w="7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5"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The following table set forth the effect of foreign currency forward contracts and interest rate swaps on AOCI and the unaudited consolidated statements of income:</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211"/>
        </w:trPr>
        <w:tc>
          <w:tcPr>
            <w:tcW w:w="6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auto"/>
            </w:tcBorders>
            <w:gridSpan w:val="5"/>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5"/>
        </w:trPr>
        <w:tc>
          <w:tcPr>
            <w:tcW w:w="6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Unrealized gain/(loss) recognized in OCI</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56"/>
        </w:trPr>
        <w:tc>
          <w:tcPr>
            <w:tcW w:w="6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920" w:type="dxa"/>
            <w:vAlign w:val="bottom"/>
            <w:tcBorders>
              <w:bottom w:val="single" w:sz="8" w:color="CCEEFF"/>
            </w:tcBorders>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7,294</w:t>
            </w:r>
          </w:p>
        </w:tc>
      </w:tr>
      <w:tr>
        <w:trPr>
          <w:trHeight w:val="20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Gain/(loss) recognized in unaudited consolidated statements of income</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920" w:type="dxa"/>
            <w:vAlign w:val="bottom"/>
            <w:shd w:val="clear" w:color="auto" w:fill="CCEEFF"/>
          </w:tcPr>
          <w:p>
            <w:pPr>
              <w:jc w:val="right"/>
              <w:ind w:right="73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The following table sets forth the location and amount of gain/(loss) recognized in unaudited consolidated statements of income for derivatives in cash flow hedging relationships and derivatives not designated as hedging instruments: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6"/>
            <w:shd w:val="clear" w:color="auto" w:fill="CCEEFF"/>
          </w:tcPr>
          <w:p>
            <w:pPr>
              <w:jc w:val="center"/>
              <w:ind w:right="12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As per unaudited</w:t>
            </w: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jc w:val="center"/>
              <w:ind w:right="19"/>
              <w:spacing w:after="0" w:line="133" w:lineRule="exact"/>
              <w:rPr>
                <w:sz w:val="20"/>
                <w:szCs w:val="20"/>
                <w:color w:val="auto"/>
              </w:rPr>
            </w:pPr>
            <w:r>
              <w:rPr>
                <w:rFonts w:ascii="Times New Roman" w:cs="Times New Roman" w:eastAsia="Times New Roman" w:hAnsi="Times New Roman"/>
                <w:sz w:val="14"/>
                <w:szCs w:val="14"/>
                <w:b w:val="1"/>
                <w:bCs w:val="1"/>
                <w:color w:val="auto"/>
              </w:rPr>
              <w:t>Gain/(loss) on</w:t>
            </w:r>
          </w:p>
        </w:tc>
        <w:tc>
          <w:tcPr>
            <w:tcW w:w="1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40" w:type="dxa"/>
            <w:vAlign w:val="bottom"/>
            <w:gridSpan w:val="2"/>
            <w:shd w:val="clear" w:color="auto" w:fill="CCEEFF"/>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4"/>
              </w:rPr>
              <w:t>As per unaudited</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17"/>
              <w:spacing w:after="0" w:line="133" w:lineRule="exact"/>
              <w:rPr>
                <w:sz w:val="20"/>
                <w:szCs w:val="20"/>
                <w:color w:val="auto"/>
              </w:rPr>
            </w:pPr>
            <w:r>
              <w:rPr>
                <w:rFonts w:ascii="Times New Roman" w:cs="Times New Roman" w:eastAsia="Times New Roman" w:hAnsi="Times New Roman"/>
                <w:sz w:val="14"/>
                <w:szCs w:val="14"/>
                <w:b w:val="1"/>
                <w:bCs w:val="1"/>
                <w:color w:val="auto"/>
                <w:w w:val="98"/>
              </w:rPr>
              <w:t>Gain/(loss) on</w:t>
            </w:r>
          </w:p>
        </w:tc>
        <w:tc>
          <w:tcPr>
            <w:tcW w:w="0" w:type="dxa"/>
            <w:vAlign w:val="bottom"/>
          </w:tcPr>
          <w:p>
            <w:pPr>
              <w:spacing w:after="0"/>
              <w:rPr>
                <w:sz w:val="1"/>
                <w:szCs w:val="1"/>
                <w:color w:val="auto"/>
              </w:rPr>
            </w:pPr>
          </w:p>
        </w:tc>
      </w:tr>
      <w:tr>
        <w:trPr>
          <w:trHeight w:val="143"/>
        </w:trPr>
        <w:tc>
          <w:tcPr>
            <w:tcW w:w="49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5"/>
            <w:shd w:val="clear" w:color="auto" w:fill="CCEEFF"/>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160" w:type="dxa"/>
            <w:vAlign w:val="bottom"/>
            <w:tcBorders>
              <w:right w:val="single" w:sz="8" w:color="CCEEFF"/>
            </w:tcBorders>
            <w:shd w:val="clear" w:color="auto" w:fill="CCEEFF"/>
          </w:tcPr>
          <w:p>
            <w:pPr>
              <w:spacing w:after="0"/>
              <w:rPr>
                <w:sz w:val="12"/>
                <w:szCs w:val="12"/>
                <w:color w:val="auto"/>
              </w:rPr>
            </w:pPr>
          </w:p>
        </w:tc>
        <w:tc>
          <w:tcPr>
            <w:tcW w:w="1240" w:type="dxa"/>
            <w:vAlign w:val="bottom"/>
            <w:gridSpan w:val="2"/>
            <w:shd w:val="clear" w:color="auto" w:fill="CCEEFF"/>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right="37"/>
              <w:spacing w:after="0" w:line="143"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33"/>
        </w:trPr>
        <w:tc>
          <w:tcPr>
            <w:tcW w:w="49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gridSpan w:val="5"/>
            <w:shd w:val="clear" w:color="auto" w:fill="CCEEFF"/>
          </w:tcPr>
          <w:p>
            <w:pPr>
              <w:jc w:val="center"/>
              <w:ind w:right="240"/>
              <w:spacing w:after="0" w:line="133" w:lineRule="exact"/>
              <w:rPr>
                <w:sz w:val="20"/>
                <w:szCs w:val="20"/>
                <w:color w:val="auto"/>
              </w:rPr>
            </w:pPr>
            <w:r>
              <w:rPr>
                <w:rFonts w:ascii="Times New Roman" w:cs="Times New Roman" w:eastAsia="Times New Roman" w:hAnsi="Times New Roman"/>
                <w:sz w:val="14"/>
                <w:szCs w:val="14"/>
                <w:b w:val="1"/>
                <w:bCs w:val="1"/>
                <w:color w:val="auto"/>
                <w:w w:val="98"/>
              </w:rPr>
              <w:t>statements of</w:t>
            </w: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center"/>
              <w:ind w:right="200"/>
              <w:spacing w:after="0" w:line="133"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60" w:type="dxa"/>
            <w:vAlign w:val="bottom"/>
            <w:tcBorders>
              <w:right w:val="single" w:sz="8" w:color="CCEEFF"/>
            </w:tcBorders>
            <w:shd w:val="clear" w:color="auto" w:fill="CCEEFF"/>
          </w:tcPr>
          <w:p>
            <w:pPr>
              <w:spacing w:after="0"/>
              <w:rPr>
                <w:sz w:val="11"/>
                <w:szCs w:val="11"/>
                <w:color w:val="auto"/>
              </w:rPr>
            </w:pPr>
          </w:p>
        </w:tc>
        <w:tc>
          <w:tcPr>
            <w:tcW w:w="1240" w:type="dxa"/>
            <w:vAlign w:val="bottom"/>
            <w:gridSpan w:val="2"/>
            <w:shd w:val="clear" w:color="auto" w:fill="CCEEFF"/>
          </w:tcPr>
          <w:p>
            <w:pPr>
              <w:jc w:val="center"/>
              <w:ind w:right="3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statements of</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center"/>
              <w:ind w:right="37"/>
              <w:spacing w:after="0" w:line="133"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0" w:type="dxa"/>
            <w:vAlign w:val="bottom"/>
          </w:tcPr>
          <w:p>
            <w:pPr>
              <w:spacing w:after="0"/>
              <w:rPr>
                <w:sz w:val="1"/>
                <w:szCs w:val="1"/>
                <w:color w:val="auto"/>
              </w:rPr>
            </w:pPr>
          </w:p>
        </w:tc>
      </w:tr>
      <w:tr>
        <w:trPr>
          <w:trHeight w:val="209"/>
        </w:trPr>
        <w:tc>
          <w:tcPr>
            <w:tcW w:w="49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5"/>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60" w:type="dxa"/>
            <w:vAlign w:val="bottom"/>
            <w:tcBorders>
              <w:bottom w:val="single" w:sz="8" w:color="CCEEFF"/>
              <w:right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0" w:type="dxa"/>
            <w:vAlign w:val="bottom"/>
          </w:tcPr>
          <w:p>
            <w:pPr>
              <w:spacing w:after="0"/>
              <w:rPr>
                <w:sz w:val="1"/>
                <w:szCs w:val="1"/>
                <w:color w:val="auto"/>
              </w:rPr>
            </w:pPr>
          </w:p>
        </w:tc>
      </w:tr>
      <w:tr>
        <w:trPr>
          <w:trHeight w:val="203"/>
        </w:trPr>
        <w:tc>
          <w:tcPr>
            <w:tcW w:w="4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in cash flow hedging relationships</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220" w:type="dxa"/>
            <w:vAlign w:val="bottom"/>
            <w:gridSpan w:val="4"/>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 gain/(loss) was</w:t>
            </w: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reclassified from AOCI</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49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251,469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53,243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35,970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6"/>
              </w:rPr>
              <w:t>12,346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before tax</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1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83"/>
        </w:trPr>
        <w:tc>
          <w:tcPr>
            <w:tcW w:w="4940" w:type="dxa"/>
            <w:vAlign w:val="bottom"/>
            <w:tcBorders>
              <w:bottom w:val="single" w:sz="8" w:color="CCEEFF"/>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0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6220" w:type="dxa"/>
            <w:vAlign w:val="bottom"/>
            <w:gridSpan w:val="4"/>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Location in unaudited consolidated statements of income where gain/(loss) was</w:t>
            </w:r>
          </w:p>
        </w:tc>
        <w:tc>
          <w:tcPr>
            <w:tcW w:w="5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w:t>
            </w: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18. Borrowings</w:t>
            </w: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4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94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The following tables summarizes the Company’s debt position: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494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182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9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10"/>
          </w:tcPr>
          <w:p>
            <w:pPr>
              <w:jc w:val="center"/>
              <w:ind w:right="880"/>
              <w:spacing w:after="0" w:line="178" w:lineRule="exact"/>
              <w:rPr>
                <w:sz w:val="20"/>
                <w:szCs w:val="20"/>
                <w:color w:val="auto"/>
              </w:rPr>
            </w:pPr>
            <w:r>
              <w:rPr>
                <w:rFonts w:ascii="Times New Roman" w:cs="Times New Roman" w:eastAsia="Times New Roman" w:hAnsi="Times New Roman"/>
                <w:sz w:val="16"/>
                <w:szCs w:val="16"/>
                <w:b w:val="1"/>
                <w:bCs w:val="1"/>
                <w:color w:val="auto"/>
                <w:w w:val="97"/>
              </w:rPr>
              <w:t>Revolving credit facility</w:t>
            </w:r>
          </w:p>
        </w:tc>
        <w:tc>
          <w:tcPr>
            <w:tcW w:w="160" w:type="dxa"/>
            <w:vAlign w:val="bottom"/>
            <w:tcBorders>
              <w:bottom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Current portion of long-term borrowings</w:t>
            </w: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56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49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tcPr>
          <w:p>
            <w:pPr>
              <w:spacing w:after="0"/>
              <w:rPr>
                <w:sz w:val="4"/>
                <w:szCs w:val="4"/>
                <w:color w:val="auto"/>
              </w:rPr>
            </w:pPr>
          </w:p>
        </w:tc>
        <w:tc>
          <w:tcPr>
            <w:tcW w:w="1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280,000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135,000</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104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345,000</w:t>
            </w:r>
          </w:p>
        </w:tc>
        <w:tc>
          <w:tcPr>
            <w:tcW w:w="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200,000</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Unamortized debt issuance costs for the Company’s revolving credit facility of $835 and $903 as of March 31, 2024 and December 31, 2023, respectively, are presented under “Other current assets” and “Other assets,” as applicable in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50" w:lineRule="exact"/>
        <w:rPr>
          <w:sz w:val="20"/>
          <w:szCs w:val="20"/>
          <w:color w:val="auto"/>
        </w:rPr>
      </w:pPr>
    </w:p>
    <w:p>
      <w:pPr>
        <w:jc w:val="both"/>
        <w:ind w:firstLine="394"/>
        <w:spacing w:after="0"/>
        <w:rPr>
          <w:sz w:val="20"/>
          <w:szCs w:val="20"/>
          <w:color w:val="auto"/>
        </w:rPr>
      </w:pPr>
      <w:r>
        <w:rPr>
          <w:rFonts w:ascii="Times New Roman" w:cs="Times New Roman" w:eastAsia="Times New Roman" w:hAnsi="Times New Roman"/>
          <w:sz w:val="18"/>
          <w:szCs w:val="18"/>
          <w:color w:val="auto"/>
        </w:rPr>
        <w:t>The Company held a $300,000 revolving credit facility pursuant to its credit agreement (the “Credit Agreement”), dated as of November 21, 2017 with certain lenders and Citibank N.A. as Administrative Agent. The revolving credit facility originally had a maturity date of November 21, 2022 and was voluntarily pre-payable from time to time without premium or penalty.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On April 18, 2022, the Company and each of the Company’s wholly owned material domestic subsidiaries entered into an Amendment and Restatement Agreement with Citibank, N.A. as Administrative Agent, and certain lenders (the “2022 Credit Agreement”), pursuant to which the parties thereto amended and restated the Credit Agreement. Among other things, the 2022 Credit Agreement (a) provides for the issuance of new revolving credit commitments such that the aggregate amount of revolving credit commitments available to the Company is equal to $400,000; (b) extends the maturity date of the revolving credit facility from November 21, 2022 to April 18, 2027; and (c) replaces LIBOR with Secured Overnight Financing Rate (“SOFR”) as the reference rate for the U.S. dollar borrowings.</w:t>
      </w:r>
    </w:p>
    <w:p>
      <w:pPr>
        <w:spacing w:after="0" w:line="209"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2022 Credit Agreement provides an option to increase the commitments by up to $200,000, subject to certain approvals and conditions. The 2022 Credit Agreement includes a letter of credit sub facility and is voluntarily pre-payable from time to time without premium or penalty. Borrowings under the 2022 Credit Agreement can be used for working capital and general corporate purposes, including permitted acquisitions.</w:t>
      </w:r>
    </w:p>
    <w:p>
      <w:pPr>
        <w:spacing w:after="0" w:line="207"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Obligations under the 2022 Credit Agreement are guaranteed by the Company’s material domestic subsidiaries and are secured by all or substantially all of the Company’s and its material domestic subsidiaries’ assets. The 2022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certain assets or subsidiaries.</w:t>
      </w:r>
    </w:p>
    <w:p>
      <w:pPr>
        <w:spacing w:after="0" w:line="14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revolving credit facility carried an effective interest rate as shown below:</w:t>
      </w:r>
    </w:p>
    <w:p>
      <w:pPr>
        <w:spacing w:after="0" w:line="20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5" w:lineRule="exact"/>
        <w:rPr>
          <w:sz w:val="20"/>
          <w:szCs w:val="20"/>
          <w:color w:val="auto"/>
        </w:rPr>
      </w:pPr>
    </w:p>
    <w:tbl>
      <w:tblPr>
        <w:tblLayout w:type="fixed"/>
        <w:tblInd w:w="400" w:type="dxa"/>
        <w:tblCellMar>
          <w:top w:w="0" w:type="dxa"/>
          <w:left w:w="0" w:type="dxa"/>
          <w:bottom w:w="0" w:type="dxa"/>
          <w:right w:w="0" w:type="dxa"/>
        </w:tblCellMar>
      </w:tblPr>
      <w:tr>
        <w:trPr>
          <w:trHeight w:val="208"/>
        </w:trPr>
        <w:tc>
          <w:tcPr>
            <w:tcW w:w="5440" w:type="dxa"/>
            <w:vAlign w:val="bottom"/>
            <w:tcBorders>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Interest Rate</w:t>
            </w:r>
          </w:p>
        </w:tc>
        <w:tc>
          <w:tcPr>
            <w:tcW w:w="1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bl>
    <w:p>
      <w:pPr>
        <w:spacing w:after="0" w:line="2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March 31, 2024 and December 31, 2023, the Company was in compliance with all financial covenants under the 2022 Credit Agreement.</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Expected payments for all of the Company’s borrowings as of March 31, 2024 were as follows:</w:t>
      </w: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11"/>
        </w:trPr>
        <w:tc>
          <w:tcPr>
            <w:tcW w:w="38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Revolving credit facility</w:t>
            </w:r>
          </w:p>
        </w:tc>
        <w:tc>
          <w:tcPr>
            <w:tcW w:w="680" w:type="dxa"/>
            <w:vAlign w:val="bottom"/>
            <w:tcBorders>
              <w:bottom w:val="single" w:sz="8" w:color="auto"/>
            </w:tcBorders>
          </w:tcPr>
          <w:p>
            <w:pPr>
              <w:spacing w:after="0"/>
              <w:rPr>
                <w:sz w:val="18"/>
                <w:szCs w:val="18"/>
                <w:color w:val="auto"/>
              </w:rPr>
            </w:pPr>
          </w:p>
        </w:tc>
      </w:tr>
      <w:tr>
        <w:trPr>
          <w:trHeight w:val="206"/>
        </w:trPr>
        <w:tc>
          <w:tcPr>
            <w:tcW w:w="38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Principal Payments</w:t>
            </w:r>
          </w:p>
        </w:tc>
        <w:tc>
          <w:tcPr>
            <w:tcW w:w="1540" w:type="dxa"/>
            <w:vAlign w:val="bottom"/>
            <w:tcBorders>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6"/>
                <w:szCs w:val="16"/>
                <w:b w:val="1"/>
                <w:bCs w:val="1"/>
                <w:color w:val="auto"/>
              </w:rPr>
              <w:t xml:space="preserve">Interest Payments </w:t>
            </w:r>
            <w:r>
              <w:rPr>
                <w:rFonts w:ascii="Times New Roman" w:cs="Times New Roman" w:eastAsia="Times New Roman" w:hAnsi="Times New Roman"/>
                <w:sz w:val="20"/>
                <w:szCs w:val="20"/>
                <w:b w:val="1"/>
                <w:bCs w:val="1"/>
                <w:color w:val="auto"/>
                <w:vertAlign w:val="superscript"/>
              </w:rPr>
              <w:t>(1)</w:t>
            </w:r>
          </w:p>
        </w:tc>
      </w:tr>
      <w:tr>
        <w:trPr>
          <w:trHeight w:val="217"/>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(April 1 - December 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14,612</w:t>
            </w: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23"/>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17,645</w:t>
            </w:r>
          </w:p>
        </w:tc>
      </w:tr>
      <w:tr>
        <w:trPr>
          <w:trHeight w:val="223"/>
        </w:trPr>
        <w:tc>
          <w:tcPr>
            <w:tcW w:w="3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6,617</w:t>
            </w:r>
          </w:p>
        </w:tc>
      </w:tr>
      <w:tr>
        <w:trPr>
          <w:trHeight w:val="242"/>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56,519</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 Interest payments are based on interest rate prevailing as of March 31, 2024.</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each of March 31,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and December 31, 2023, the Company had outstanding letters of credit of $461, that were not recognized in the consolidated balance sheets.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Stock Split</w:t>
      </w:r>
    </w:p>
    <w:p>
      <w:pPr>
        <w:spacing w:after="0" w:line="165"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June 20, 2023, the Company’s stockholders approved an amendment to the Company’s Amended and Restated Certificate of Incorporation, which upon filing with the State of Delaware on August 1, 2023, and effectiveness thereof, effected a 5-for-1 forward stock split of the Company’s common stock (the “2023 Stock Split”) and an increase in the number of authorized shares of the Company’s common stock from 100,000,000 shares to 400,000,000 shares. The par value of each share of common stock, $0.001, remained unchanged.</w:t>
      </w:r>
    </w:p>
    <w:p>
      <w:pPr>
        <w:spacing w:after="0" w:line="130"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Pursuant to the 2023 Stock Split, each stockholder of record on July 25, 2023 holding shares of the Company’s common stock received four additional shares of the Company’s common stock for every one share held. The additional shares were distributed after the close of business on August 1, 2023. The common shares began trading on the Nasdaq Global Select Market on a post-split basis on August 2, 2023.</w:t>
      </w:r>
    </w:p>
    <w:p>
      <w:pPr>
        <w:spacing w:after="0" w:line="126"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All share count and per share amounts in the unaudited consolidated financial statements have been retrospectively adjusted from January 1, 2023 to reflect the 2023 Stock Split as if it occurred at the beginning of the earliest period presented. An amount equal to the par value of the increased shares resulting from the 2023 Stock Split was reclassified from “Additional paid-in capital” to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52"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from certain employees in connection with withholding tax payments related to the vesting of restricted stock units and performance-based restricted stock units, as below:</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6"/>
                <w:szCs w:val="16"/>
                <w:color w:val="auto"/>
              </w:rPr>
            </w:pPr>
          </w:p>
        </w:tc>
        <w:tc>
          <w:tcPr>
            <w:tcW w:w="1580" w:type="dxa"/>
            <w:vAlign w:val="bottom"/>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0" w:type="dxa"/>
            <w:vAlign w:val="bottom"/>
          </w:tcPr>
          <w:p>
            <w:pPr>
              <w:spacing w:after="0"/>
              <w:rPr>
                <w:sz w:val="1"/>
                <w:szCs w:val="1"/>
                <w:color w:val="auto"/>
              </w:rPr>
            </w:pPr>
          </w:p>
        </w:tc>
      </w:tr>
      <w:tr>
        <w:trPr>
          <w:trHeight w:val="158"/>
        </w:trPr>
        <w:tc>
          <w:tcPr>
            <w:tcW w:w="526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178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purchase price per share</w:t>
            </w:r>
          </w:p>
        </w:tc>
        <w:tc>
          <w:tcPr>
            <w:tcW w:w="0" w:type="dxa"/>
            <w:vAlign w:val="bottom"/>
          </w:tcPr>
          <w:p>
            <w:pPr>
              <w:spacing w:after="0"/>
              <w:rPr>
                <w:sz w:val="1"/>
                <w:szCs w:val="1"/>
                <w:color w:val="auto"/>
              </w:rPr>
            </w:pPr>
          </w:p>
        </w:tc>
      </w:tr>
      <w:tr>
        <w:trPr>
          <w:trHeight w:val="133"/>
        </w:trPr>
        <w:tc>
          <w:tcPr>
            <w:tcW w:w="52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tcPr>
          <w:p>
            <w:pPr>
              <w:jc w:val="center"/>
              <w:ind w:right="144"/>
              <w:spacing w:after="0"/>
              <w:rPr>
                <w:sz w:val="20"/>
                <w:szCs w:val="20"/>
                <w:color w:val="auto"/>
              </w:rPr>
            </w:pP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4"/>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200,402</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191,780</w:t>
            </w:r>
          </w:p>
        </w:tc>
        <w:tc>
          <w:tcPr>
            <w:tcW w:w="80" w:type="dxa"/>
            <w:vAlign w:val="bottom"/>
          </w:tcPr>
          <w:p>
            <w:pPr>
              <w:spacing w:after="0"/>
              <w:rPr>
                <w:sz w:val="19"/>
                <w:szCs w:val="19"/>
                <w:color w:val="auto"/>
              </w:rPr>
            </w:pPr>
          </w:p>
        </w:tc>
        <w:tc>
          <w:tcPr>
            <w:tcW w:w="52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firstLine="439"/>
        <w:spacing w:after="0" w:line="271" w:lineRule="auto"/>
        <w:tabs>
          <w:tab w:leader="none" w:pos="595"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 weighted average purchase price per share is based on the closing price of the Company’s common stock on the Nasdaq Global Select Market on the trading day prior to the applicable vesting date of the shares of restricted stock.</w:t>
      </w:r>
    </w:p>
    <w:p>
      <w:pPr>
        <w:spacing w:after="0" w:line="150"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On October 5, 2021, the Company’s board of directors authorized a $300,000 (excluding excise tax) common stock repurchase program beginning January 1, 2022 (the “2022 Repurchase Program”).</w:t>
      </w:r>
    </w:p>
    <w:p>
      <w:pPr>
        <w:spacing w:after="0" w:line="208"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On February 26, 2024, the Company’s board of directors authorized a $500,000 (excluding excise tax) common stock repurchase program beginning March 1, 2024 (the “2024 Repurchase Program”), and terminated the 2022 Repurchase Program on February 29, 2024.</w:t>
      </w:r>
    </w:p>
    <w:p>
      <w:pPr>
        <w:spacing w:after="0" w:line="182" w:lineRule="exact"/>
        <w:rPr>
          <w:sz w:val="20"/>
          <w:szCs w:val="20"/>
          <w:color w:val="auto"/>
        </w:rPr>
      </w:pPr>
    </w:p>
    <w:p>
      <w:pPr>
        <w:jc w:val="both"/>
        <w:ind w:firstLine="434"/>
        <w:spacing w:after="0" w:line="230" w:lineRule="auto"/>
        <w:rPr>
          <w:sz w:val="20"/>
          <w:szCs w:val="20"/>
          <w:color w:val="auto"/>
        </w:rPr>
      </w:pPr>
      <w:r>
        <w:rPr>
          <w:rFonts w:ascii="Times New Roman" w:cs="Times New Roman" w:eastAsia="Times New Roman" w:hAnsi="Times New Roman"/>
          <w:sz w:val="18"/>
          <w:szCs w:val="18"/>
          <w:color w:val="auto"/>
        </w:rPr>
        <w:t>On March 15, 2024, the Company entered into a 2024 ASR Agreement with Citibank to repurchase shares of its common stock for an aggregate purchase price of $125,000, as part of the Company’s 2024 Repurchase Program. Upon payment of the aggregate purchase price of $125,000, the Company received an initial delivery of 3,350,084 shares of its common stock at an initial price of $29.85 per share, representing 80% of the aggregate purchase price. The Company funded the repurchase with available cash on hand and borrowing from its revolving credit facility. The 2024 ASR Agreement is accounted for as a treasury stock transaction and forward stock purchase agreement indexed to the Company’s common stock. The forward stock purchase agreement is classified as an equity instrument under ASC 815-40, Contracts in Entity's Own Equity ("ASC 815- 40") and deemed to have a fair value of zero at the effective date. Under the terms of the 2024 ASR Agreement, the ultimate number of shares of Common Stock that the Company will repurchase, will be based on the average of the daily volume-weighted average prices of the Common Stock during the term of the 2024 ASR Agreement, less a discount and subject to adjustments pursuant to the terms and conditions of the 2024 ASR Agreement. At final settlement, Citibank may be required to deliver additional shares of Common Stock to the Company, or, under certain circumstances, the Company may be required to make a cash payment or deliver shares of Common Stock, at its election, to Citibank. The final settlement of the 2024 ASR Agreement is expected to be completed on July 18, 2024, subject to acceleration at Citibank’s discretion, which could be completed as early as June 17, 2024.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Under the Company’s two repurchase programs, shares may be purchased by the Company from time to time from the open market and through private transactions, or otherwise, as determined by the Company’s management as market conditions warrant. Repurchases may be discontinued at any time by the management.</w:t>
      </w:r>
    </w:p>
    <w:p>
      <w:pPr>
        <w:spacing w:after="0" w:line="207"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The Company purchased shares of its common stock, for a total consideration including commissions and excluding excise tax, under its two repurchase programs, as below:</w:t>
      </w:r>
    </w:p>
    <w:p>
      <w:pPr>
        <w:spacing w:after="0" w:line="147" w:lineRule="exact"/>
        <w:rPr>
          <w:sz w:val="20"/>
          <w:szCs w:val="20"/>
          <w:color w:val="auto"/>
        </w:rPr>
      </w:pPr>
    </w:p>
    <w:tbl>
      <w:tblPr>
        <w:tblLayout w:type="fixed"/>
        <w:tblInd w:w="440" w:type="dxa"/>
        <w:tblCellMar>
          <w:top w:w="0" w:type="dxa"/>
          <w:left w:w="0" w:type="dxa"/>
          <w:bottom w:w="0" w:type="dxa"/>
          <w:right w:w="0" w:type="dxa"/>
        </w:tblCellMar>
      </w:tblPr>
      <w:tr>
        <w:trPr>
          <w:trHeight w:val="184"/>
        </w:trPr>
        <w:tc>
          <w:tcPr>
            <w:tcW w:w="5260" w:type="dxa"/>
            <w:vAlign w:val="bottom"/>
          </w:tcPr>
          <w:p>
            <w:pPr>
              <w:spacing w:after="0"/>
              <w:rPr>
                <w:sz w:val="16"/>
                <w:szCs w:val="16"/>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Shares repurchased</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200" w:type="dxa"/>
            <w:vAlign w:val="bottom"/>
          </w:tcPr>
          <w:p>
            <w:pPr>
              <w:spacing w:after="0"/>
              <w:rPr>
                <w:sz w:val="16"/>
                <w:szCs w:val="16"/>
                <w:color w:val="auto"/>
              </w:rPr>
            </w:pPr>
          </w:p>
        </w:tc>
        <w:tc>
          <w:tcPr>
            <w:tcW w:w="158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26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purchase price per share</w:t>
            </w:r>
          </w:p>
        </w:tc>
        <w:tc>
          <w:tcPr>
            <w:tcW w:w="0" w:type="dxa"/>
            <w:vAlign w:val="bottom"/>
          </w:tcPr>
          <w:p>
            <w:pPr>
              <w:spacing w:after="0"/>
              <w:rPr>
                <w:sz w:val="1"/>
                <w:szCs w:val="1"/>
                <w:color w:val="auto"/>
              </w:rPr>
            </w:pPr>
          </w:p>
        </w:tc>
      </w:tr>
      <w:tr>
        <w:trPr>
          <w:trHeight w:val="83"/>
        </w:trPr>
        <w:tc>
          <w:tcPr>
            <w:tcW w:w="5260" w:type="dxa"/>
            <w:vAlign w:val="bottom"/>
            <w:tcBorders>
              <w:bottom w:val="single" w:sz="8" w:color="CCEEFF"/>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3,976,818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28"/>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1,105,125</w:t>
            </w:r>
          </w:p>
        </w:tc>
        <w:tc>
          <w:tcPr>
            <w:tcW w:w="80" w:type="dxa"/>
            <w:vAlign w:val="bottom"/>
          </w:tcPr>
          <w:p>
            <w:pPr>
              <w:spacing w:after="0"/>
              <w:rPr>
                <w:sz w:val="19"/>
                <w:szCs w:val="19"/>
                <w:color w:val="auto"/>
              </w:rPr>
            </w:pPr>
          </w:p>
        </w:tc>
        <w:tc>
          <w:tcPr>
            <w:tcW w:w="44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35,834</w:t>
            </w:r>
          </w:p>
        </w:tc>
        <w:tc>
          <w:tcPr>
            <w:tcW w:w="10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Company’s board of directors designates that these shares be retired or used for other purposes.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Pursuant to the Inflation Reduction Act, effective January 1, 2023, the Company is required to pay a 1% excise tax on the fair market value of each share of common stock repurchased, net of stock issuances. The Company recognized excise tax of $544 on repurchase of common stock as a part of cost of such repurchases for the three months ended March 31, 2024.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150"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The Company’s Gratuity Plan in India (the “India Plan”) provides for a lump sum payment to vested employees on retirement or upon termination of employment in an amount based on the respective employee’s salary and years of employment with the Company. 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Liabilities with regard to the India Plan and the Philippines Plan are determined by actuarial valuation using the projected unit credit method. Current service costs for these plans are accrued in the year to which they relate. Actuarial gains or losses or prior service costs, if any, resulting from amendments to the plans are recognized and amortized over the remaining period of service of the employees.</w:t>
      </w:r>
    </w:p>
    <w:p>
      <w:pPr>
        <w:spacing w:after="0" w:line="289"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India Plan is partially funded whereas the Philippines Plan is unfunded. The Company makes annual contributions to the India Plan established with insurance companies. Fund managers manage these funds and calculate the annual contribution required to be made by the Company and manage the India Plan, including any required payouts. These funds are managed on a cash accumulation basis, inclusive of interest which is declared periodically. The Company expects to earn a return of approximately 7.0% per annum on the India Plan for the year ending on December 31, 2024.</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as of January 1, 2024</w:t>
            </w:r>
          </w:p>
        </w:tc>
        <w:tc>
          <w:tcPr>
            <w:tcW w:w="7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r>
      <w:tr>
        <w:trPr>
          <w:trHeight w:val="223"/>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Actual return</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7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Employer contribution</w:t>
            </w:r>
          </w:p>
        </w:tc>
        <w:tc>
          <w:tcPr>
            <w:tcW w:w="7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Benefits paid</w:t>
            </w:r>
          </w:p>
        </w:tc>
        <w:tc>
          <w:tcPr>
            <w:tcW w:w="7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7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as of March 31, 2024</w:t>
            </w:r>
          </w:p>
        </w:tc>
        <w:tc>
          <w:tcPr>
            <w:tcW w:w="740" w:type="dxa"/>
            <w:vAlign w:val="bottom"/>
            <w:tcBorders>
              <w:bottom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Components of net periodic benefit costs recognized in unaudited consolidated statements of income and actuarial (gain)/loss reclassified from AOCI, were as follows:</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219"/>
        </w:trPr>
        <w:tc>
          <w:tcPr>
            <w:tcW w:w="5460" w:type="dxa"/>
            <w:vAlign w:val="bottom"/>
          </w:tcPr>
          <w:p>
            <w:pPr>
              <w:spacing w:after="0"/>
              <w:rPr>
                <w:sz w:val="19"/>
                <w:szCs w:val="19"/>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9"/>
                <w:szCs w:val="19"/>
                <w:color w:val="auto"/>
              </w:rPr>
            </w:pPr>
          </w:p>
        </w:tc>
      </w:tr>
      <w:tr>
        <w:trPr>
          <w:trHeight w:val="209"/>
        </w:trPr>
        <w:tc>
          <w:tcPr>
            <w:tcW w:w="54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1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2"/>
        </w:trPr>
        <w:tc>
          <w:tcPr>
            <w:tcW w:w="5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gratuity cost</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23"/>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(gain)/loss, gross of tax</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effects on above</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actuarial (gain)/loss, net of tax</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26"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as amended (the “Code”), covering all eligible employees, as defined in the Code as a defined social security contribution plan. The Company may make discretionary contributions of up to a maximum of 3.0% of employee compensation within certain limits.</w:t>
      </w:r>
    </w:p>
    <w:p>
      <w:pPr>
        <w:spacing w:after="0" w:line="1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accrual for contributions to the 401(k) Plans was as follows:</w:t>
      </w:r>
    </w:p>
    <w:p>
      <w:pPr>
        <w:spacing w:after="0" w:line="16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18415</wp:posOffset>
            </wp:positionV>
            <wp:extent cx="21450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9" w:lineRule="exact"/>
        <w:rPr>
          <w:sz w:val="20"/>
          <w:szCs w:val="20"/>
          <w:color w:val="auto"/>
        </w:rPr>
      </w:pPr>
    </w:p>
    <w:p>
      <w:pPr>
        <w:ind w:left="7260"/>
        <w:spacing w:after="0"/>
        <w:tabs>
          <w:tab w:leader="none" w:pos="89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5" w:lineRule="exact"/>
        <w:rPr>
          <w:sz w:val="20"/>
          <w:szCs w:val="20"/>
          <w:color w:val="auto"/>
        </w:rPr>
      </w:pPr>
    </w:p>
    <w:p>
      <w:pPr>
        <w:ind w:left="460"/>
        <w:spacing w:after="0"/>
        <w:tabs>
          <w:tab w:leader="none" w:pos="6600" w:val="left"/>
          <w:tab w:leader="none" w:pos="7760" w:val="left"/>
          <w:tab w:leader="none" w:pos="8340" w:val="left"/>
          <w:tab w:leader="none" w:pos="9500" w:val="left"/>
        </w:tabs>
        <w:rPr>
          <w:sz w:val="20"/>
          <w:szCs w:val="20"/>
          <w:color w:val="auto"/>
        </w:rPr>
      </w:pPr>
      <w:r>
        <w:rPr>
          <w:rFonts w:ascii="Times New Roman" w:cs="Times New Roman" w:eastAsia="Times New Roman" w:hAnsi="Times New Roman"/>
          <w:sz w:val="18"/>
          <w:szCs w:val="18"/>
          <w:color w:val="auto"/>
        </w:rPr>
        <w:t>Contribution to the 401(k) Plans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2,443</w:t>
        <w:tab/>
        <w:t>$</w:t>
      </w:r>
      <w:r>
        <w:rPr>
          <w:sz w:val="20"/>
          <w:szCs w:val="20"/>
          <w:color w:val="auto"/>
        </w:rPr>
        <w:tab/>
      </w:r>
      <w:r>
        <w:rPr>
          <w:rFonts w:ascii="Times New Roman" w:cs="Times New Roman" w:eastAsia="Times New Roman" w:hAnsi="Times New Roman"/>
          <w:sz w:val="16"/>
          <w:szCs w:val="16"/>
          <w:color w:val="auto"/>
        </w:rPr>
        <w:t>2,386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-127635</wp:posOffset>
            </wp:positionV>
            <wp:extent cx="6059170" cy="150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9170" cy="150495"/>
                    </a:xfrm>
                    <a:prstGeom prst="rect">
                      <a:avLst/>
                    </a:prstGeom>
                    <a:noFill/>
                  </pic:spPr>
                </pic:pic>
              </a:graphicData>
            </a:graphic>
          </wp:anchor>
        </w:drawing>
      </w:r>
    </w:p>
    <w:p>
      <w:pPr>
        <w:spacing w:after="0" w:line="246"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Company’s contribution for various defined social security contribution plans on behalf of employees in foreign subsidiaries of the Company was as follows:</w:t>
      </w:r>
    </w:p>
    <w:p>
      <w:pPr>
        <w:spacing w:after="0" w:line="158"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4192905</wp:posOffset>
            </wp:positionH>
            <wp:positionV relativeFrom="paragraph">
              <wp:posOffset>18415</wp:posOffset>
            </wp:positionV>
            <wp:extent cx="21450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9" w:lineRule="exact"/>
        <w:rPr>
          <w:sz w:val="20"/>
          <w:szCs w:val="20"/>
          <w:color w:val="auto"/>
        </w:rPr>
      </w:pPr>
    </w:p>
    <w:p>
      <w:pPr>
        <w:ind w:left="7260"/>
        <w:spacing w:after="0"/>
        <w:tabs>
          <w:tab w:leader="none" w:pos="8980" w:val="left"/>
        </w:tabs>
        <w:rPr>
          <w:sz w:val="20"/>
          <w:szCs w:val="20"/>
          <w:color w:val="auto"/>
        </w:rPr>
      </w:pPr>
      <w:r>
        <w:rPr>
          <w:rFonts w:ascii="Times New Roman" w:cs="Times New Roman" w:eastAsia="Times New Roman" w:hAnsi="Times New Roman"/>
          <w:sz w:val="16"/>
          <w:szCs w:val="16"/>
          <w:b w:val="1"/>
          <w:bCs w:val="1"/>
          <w:color w:val="auto"/>
        </w:rPr>
        <w:t>2024</w:t>
      </w:r>
      <w:r>
        <w:rPr>
          <w:sz w:val="20"/>
          <w:szCs w:val="20"/>
          <w:color w:val="auto"/>
        </w:rPr>
        <w:tab/>
      </w:r>
      <w:r>
        <w:rPr>
          <w:rFonts w:ascii="Times New Roman" w:cs="Times New Roman" w:eastAsia="Times New Roman" w:hAnsi="Times New Roman"/>
          <w:sz w:val="16"/>
          <w:szCs w:val="16"/>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18415</wp:posOffset>
            </wp:positionV>
            <wp:extent cx="6059170" cy="150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9170" cy="150495"/>
                    </a:xfrm>
                    <a:prstGeom prst="rect">
                      <a:avLst/>
                    </a:prstGeom>
                    <a:noFill/>
                  </pic:spPr>
                </pic:pic>
              </a:graphicData>
            </a:graphic>
          </wp:anchor>
        </w:drawing>
      </w:r>
    </w:p>
    <w:p>
      <w:pPr>
        <w:spacing w:after="0" w:line="17" w:lineRule="exact"/>
        <w:rPr>
          <w:sz w:val="20"/>
          <w:szCs w:val="20"/>
          <w:color w:val="auto"/>
        </w:rPr>
      </w:pPr>
    </w:p>
    <w:p>
      <w:pPr>
        <w:ind w:left="460"/>
        <w:spacing w:after="0"/>
        <w:tabs>
          <w:tab w:leader="none" w:pos="6600" w:val="left"/>
          <w:tab w:leader="none" w:pos="7760" w:val="left"/>
          <w:tab w:leader="none" w:pos="8340" w:val="left"/>
          <w:tab w:leader="none" w:pos="9500" w:val="left"/>
        </w:tabs>
        <w:rPr>
          <w:sz w:val="20"/>
          <w:szCs w:val="20"/>
          <w:color w:val="auto"/>
        </w:rPr>
      </w:pPr>
      <w:r>
        <w:rPr>
          <w:rFonts w:ascii="Times New Roman" w:cs="Times New Roman" w:eastAsia="Times New Roman" w:hAnsi="Times New Roman"/>
          <w:sz w:val="18"/>
          <w:szCs w:val="18"/>
          <w:color w:val="auto"/>
        </w:rPr>
        <w:t>Contributions to the defined social security contribution plans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6,749</w:t>
        <w:tab/>
        <w:t>$</w:t>
      </w:r>
      <w:r>
        <w:rPr>
          <w:sz w:val="20"/>
          <w:szCs w:val="20"/>
          <w:color w:val="auto"/>
        </w:rPr>
        <w:tab/>
      </w:r>
      <w:r>
        <w:rPr>
          <w:rFonts w:ascii="Times New Roman" w:cs="Times New Roman" w:eastAsia="Times New Roman" w:hAnsi="Times New Roman"/>
          <w:sz w:val="16"/>
          <w:szCs w:val="16"/>
          <w:color w:val="auto"/>
        </w:rPr>
        <w:t>5,392</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 The lease agreements do not contain any covenants to impose any restrictions except for market-standard practice for similar lease arrangements.</w:t>
      </w:r>
    </w:p>
    <w:p>
      <w:pPr>
        <w:spacing w:after="0" w:line="111"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color w:val="auto"/>
        </w:rPr>
        <w:t xml:space="preserve">The Company had performed an evaluation of its contracts with suppliers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 had determined that, except for leases for office facilities, motor vehicles and other equipment as described above, none of the Company’s contracts contain a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73" w:lineRule="exact"/>
        <w:rPr>
          <w:sz w:val="20"/>
          <w:szCs w:val="20"/>
          <w:color w:val="auto"/>
        </w:rPr>
      </w:pPr>
    </w:p>
    <w:tbl>
      <w:tblPr>
        <w:tblLayout w:type="fixed"/>
        <w:tblInd w:w="440" w:type="dxa"/>
        <w:tblCellMar>
          <w:top w:w="0" w:type="dxa"/>
          <w:left w:w="0" w:type="dxa"/>
          <w:bottom w:w="0" w:type="dxa"/>
          <w:right w:w="0" w:type="dxa"/>
        </w:tblCellMar>
      </w:tblPr>
      <w:tr>
        <w:trPr>
          <w:trHeight w:val="211"/>
        </w:trPr>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80" w:type="dxa"/>
            <w:vAlign w:val="bottom"/>
            <w:tcBorders>
              <w:bottom w:val="single" w:sz="8" w:color="auto"/>
            </w:tcBorders>
          </w:tcPr>
          <w:p>
            <w:pPr>
              <w:spacing w:after="0"/>
              <w:rPr>
                <w:sz w:val="18"/>
                <w:szCs w:val="18"/>
                <w:color w:val="auto"/>
              </w:rPr>
            </w:pPr>
          </w:p>
        </w:tc>
      </w:tr>
      <w:tr>
        <w:trPr>
          <w:trHeight w:val="205"/>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20" w:type="dxa"/>
            <w:vAlign w:val="bottom"/>
          </w:tcPr>
          <w:p>
            <w:pPr>
              <w:spacing w:after="0"/>
              <w:rPr>
                <w:sz w:val="17"/>
                <w:szCs w:val="17"/>
                <w:color w:val="auto"/>
              </w:rPr>
            </w:pPr>
          </w:p>
        </w:tc>
        <w:tc>
          <w:tcPr>
            <w:tcW w:w="168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4"/>
        </w:trPr>
        <w:tc>
          <w:tcPr>
            <w:tcW w:w="626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Lease</w:t>
            </w: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64,856</w:t>
            </w:r>
          </w:p>
        </w:tc>
      </w:tr>
      <w:tr>
        <w:trPr>
          <w:trHeight w:val="72"/>
        </w:trPr>
        <w:tc>
          <w:tcPr>
            <w:tcW w:w="6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249"/>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13,486</w:t>
            </w:r>
          </w:p>
        </w:tc>
        <w:tc>
          <w:tcPr>
            <w:tcW w:w="100" w:type="dxa"/>
            <w:vAlign w:val="bottom"/>
          </w:tcPr>
          <w:p>
            <w:pPr>
              <w:spacing w:after="0"/>
              <w:rPr>
                <w:sz w:val="21"/>
                <w:szCs w:val="21"/>
                <w:color w:val="auto"/>
              </w:rPr>
            </w:pP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12,780</w:t>
            </w:r>
          </w:p>
        </w:tc>
      </w:tr>
      <w:tr>
        <w:trPr>
          <w:trHeight w:val="224"/>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58,175</w:t>
            </w:r>
          </w:p>
        </w:tc>
      </w:tr>
      <w:tr>
        <w:trPr>
          <w:trHeight w:val="217"/>
        </w:trPr>
        <w:tc>
          <w:tcPr>
            <w:tcW w:w="6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70,955</w:t>
            </w:r>
          </w:p>
        </w:tc>
      </w:tr>
      <w:tr>
        <w:trPr>
          <w:trHeight w:val="72"/>
        </w:trPr>
        <w:tc>
          <w:tcPr>
            <w:tcW w:w="62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80" w:type="dxa"/>
            <w:vAlign w:val="bottom"/>
            <w:shd w:val="clear" w:color="auto" w:fill="CCEEFF"/>
          </w:tcPr>
          <w:p>
            <w:pPr>
              <w:spacing w:after="0"/>
              <w:rPr>
                <w:sz w:val="6"/>
                <w:szCs w:val="6"/>
                <w:color w:val="auto"/>
              </w:rPr>
            </w:pPr>
          </w:p>
        </w:tc>
      </w:tr>
      <w:tr>
        <w:trPr>
          <w:trHeight w:val="22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r>
      <w:tr>
        <w:trPr>
          <w:trHeight w:val="217"/>
        </w:trPr>
        <w:tc>
          <w:tcPr>
            <w:tcW w:w="6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72"/>
        </w:trPr>
        <w:tc>
          <w:tcPr>
            <w:tcW w:w="6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80" w:type="dxa"/>
            <w:vAlign w:val="bottom"/>
          </w:tcPr>
          <w:p>
            <w:pPr>
              <w:spacing w:after="0"/>
              <w:rPr>
                <w:sz w:val="6"/>
                <w:szCs w:val="6"/>
                <w:color w:val="auto"/>
              </w:rPr>
            </w:pPr>
          </w:p>
        </w:tc>
      </w:tr>
      <w:tr>
        <w:trPr>
          <w:trHeight w:val="25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42"/>
        </w:trPr>
        <w:tc>
          <w:tcPr>
            <w:tcW w:w="6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finance lease liabilities</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11"/>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Lease cost</w:t>
            </w:r>
          </w:p>
        </w:tc>
        <w:tc>
          <w:tcPr>
            <w:tcW w:w="5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99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205"/>
        </w:trPr>
        <w:tc>
          <w:tcPr>
            <w:tcW w:w="570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1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Finance lease:</w:t>
            </w:r>
          </w:p>
        </w:tc>
        <w:tc>
          <w:tcPr>
            <w:tcW w:w="5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on underlying ROU assets</w:t>
            </w:r>
          </w:p>
        </w:tc>
        <w:tc>
          <w:tcPr>
            <w:tcW w:w="5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7"/>
        </w:trPr>
        <w:tc>
          <w:tcPr>
            <w:tcW w:w="5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Operating lease </w:t>
            </w:r>
            <w:r>
              <w:rPr>
                <w:rFonts w:ascii="Times New Roman" w:cs="Times New Roman" w:eastAsia="Times New Roman" w:hAnsi="Times New Roman"/>
                <w:sz w:val="22"/>
                <w:szCs w:val="22"/>
                <w:b w:val="1"/>
                <w:bCs w:val="1"/>
                <w:color w:val="auto"/>
                <w:vertAlign w:val="superscript"/>
              </w:rPr>
              <w:t>(1)</w:t>
            </w:r>
          </w:p>
        </w:tc>
        <w:tc>
          <w:tcPr>
            <w:tcW w:w="5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0" w:type="dxa"/>
            <w:vAlign w:val="bottom"/>
          </w:tcPr>
          <w:p>
            <w:pPr>
              <w:spacing w:after="0"/>
              <w:rPr>
                <w:sz w:val="1"/>
                <w:szCs w:val="1"/>
                <w:color w:val="auto"/>
              </w:rPr>
            </w:pP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Variable lease costs</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17"/>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Includes short-term leases, which are immaterial.</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20"/>
          </w:cols>
          <w:pgMar w:left="320" w:top="119" w:right="9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211"/>
        </w:trPr>
        <w:tc>
          <w:tcPr>
            <w:tcW w:w="676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780" w:type="dxa"/>
            <w:vAlign w:val="bottom"/>
            <w:tcBorders>
              <w:bottom w:val="single" w:sz="8" w:color="auto"/>
            </w:tcBorders>
          </w:tcPr>
          <w:p>
            <w:pPr>
              <w:spacing w:after="0"/>
              <w:rPr>
                <w:sz w:val="18"/>
                <w:szCs w:val="18"/>
                <w:color w:val="auto"/>
              </w:rPr>
            </w:pPr>
          </w:p>
        </w:tc>
      </w:tr>
      <w:tr>
        <w:trPr>
          <w:trHeight w:val="205"/>
        </w:trPr>
        <w:tc>
          <w:tcPr>
            <w:tcW w:w="67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7"/>
                <w:szCs w:val="17"/>
                <w:color w:val="auto"/>
              </w:rPr>
            </w:pPr>
          </w:p>
        </w:tc>
      </w:tr>
      <w:tr>
        <w:trPr>
          <w:trHeight w:val="204"/>
        </w:trPr>
        <w:tc>
          <w:tcPr>
            <w:tcW w:w="676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color w:val="auto"/>
              </w:rPr>
              <w:t>Cash payments for amounts included in the measurement of lease liabilities :</w:t>
            </w:r>
          </w:p>
        </w:tc>
        <w:tc>
          <w:tcPr>
            <w:tcW w:w="1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23"/>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cash outflows for operating leases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8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5,453</w:t>
            </w:r>
          </w:p>
        </w:tc>
      </w:tr>
      <w:tr>
        <w:trPr>
          <w:trHeight w:val="22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cash outflows for finance leases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Financing cash outflows for finance leases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12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new finance lease liabilities</w:t>
            </w:r>
          </w:p>
        </w:tc>
        <w:tc>
          <w:tcPr>
            <w:tcW w:w="1120" w:type="dxa"/>
            <w:vAlign w:val="bottom"/>
          </w:tcPr>
          <w:p>
            <w:pPr>
              <w:jc w:val="right"/>
              <w:ind w:right="93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3"/>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lease</w:t>
            </w:r>
          </w:p>
        </w:tc>
        <w:tc>
          <w:tcPr>
            <w:tcW w:w="112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 years</w:t>
            </w:r>
          </w:p>
        </w:tc>
        <w:tc>
          <w:tcPr>
            <w:tcW w:w="11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8"/>
              </w:rPr>
              <w:t>2.9 years</w:t>
            </w:r>
          </w:p>
        </w:tc>
      </w:tr>
      <w:tr>
        <w:trPr>
          <w:trHeight w:val="22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Operating lease</w:t>
            </w:r>
          </w:p>
        </w:tc>
        <w:tc>
          <w:tcPr>
            <w:tcW w:w="1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 years</w:t>
            </w: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98"/>
              </w:rPr>
              <w:t>5.8 years</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3"/>
        </w:trPr>
        <w:tc>
          <w:tcPr>
            <w:tcW w:w="6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Finance lease</w:t>
            </w:r>
          </w:p>
        </w:tc>
        <w:tc>
          <w:tcPr>
            <w:tcW w:w="1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14.0%</w:t>
            </w:r>
          </w:p>
        </w:tc>
      </w:tr>
      <w:tr>
        <w:trPr>
          <w:trHeight w:val="228"/>
        </w:trPr>
        <w:tc>
          <w:tcPr>
            <w:tcW w:w="6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w:t>
            </w:r>
          </w:p>
        </w:tc>
        <w:tc>
          <w:tcPr>
            <w:tcW w:w="112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r>
    </w:tbl>
    <w:p>
      <w:pPr>
        <w:spacing w:after="0" w:line="122" w:lineRule="exact"/>
        <w:rPr>
          <w:sz w:val="20"/>
          <w:szCs w:val="20"/>
          <w:color w:val="auto"/>
        </w:rPr>
      </w:pPr>
    </w:p>
    <w:p>
      <w:pPr>
        <w:jc w:val="both"/>
        <w:ind w:firstLine="434"/>
        <w:spacing w:after="0" w:line="237" w:lineRule="auto"/>
        <w:rPr>
          <w:sz w:val="20"/>
          <w:szCs w:val="20"/>
          <w:color w:val="auto"/>
        </w:rPr>
      </w:pPr>
      <w:r>
        <w:rPr>
          <w:rFonts w:ascii="Times New Roman" w:cs="Times New Roman" w:eastAsia="Times New Roman" w:hAnsi="Times New Roman"/>
          <w:sz w:val="18"/>
          <w:szCs w:val="18"/>
          <w:color w:val="auto"/>
        </w:rPr>
        <w:t>As part of the Company’s efforts to optimize its existing network of operations centers, the Company continued to evaluate its office facilities to determine where it can exit or consolidate its use of office space. The Company modified certain of its operating leases, resulting in an increase of its lease liabilities by $3,228 during the three months ended March 31, 2024 and a decrease of its lease liabilities by $3,094 during the three months ended March 31, 2023, with a corresponding adjustment to ROU assets.</w:t>
      </w:r>
    </w:p>
    <w:p>
      <w:pPr>
        <w:spacing w:after="0" w:line="142"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As of March 31, 2024 and December 31, 2023, the Company did not have any significant leases that have not yet commenced but that create significant rights and obligations for the Company.</w:t>
      </w:r>
    </w:p>
    <w:p>
      <w:pPr>
        <w:spacing w:after="0" w:line="1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March 31, 2024 were as follows:</w:t>
      </w: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1"/>
        </w:trPr>
        <w:tc>
          <w:tcPr>
            <w:tcW w:w="6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300" w:type="dxa"/>
            <w:vAlign w:val="bottom"/>
          </w:tcPr>
          <w:p>
            <w:pPr>
              <w:spacing w:after="0"/>
              <w:rPr>
                <w:sz w:val="18"/>
                <w:szCs w:val="18"/>
                <w:color w:val="auto"/>
              </w:rPr>
            </w:pPr>
          </w:p>
        </w:tc>
        <w:tc>
          <w:tcPr>
            <w:tcW w:w="16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9"/>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(April 1 - December 31)</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23"/>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23"/>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42"/>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Maturities of lease liabilities as of December 31, 2023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80" w:type="dxa"/>
            <w:vAlign w:val="bottom"/>
          </w:tcPr>
          <w:p>
            <w:pPr>
              <w:spacing w:after="0"/>
              <w:rPr>
                <w:sz w:val="18"/>
                <w:szCs w:val="18"/>
                <w:color w:val="auto"/>
              </w:rPr>
            </w:pPr>
          </w:p>
        </w:tc>
        <w:tc>
          <w:tcPr>
            <w:tcW w:w="170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 and thereafter</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2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4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70,955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63"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Each quarter, the Company updates its estimate of annual effective tax rate, and if its estimated tax rate changes, the Company makes a cumulative adjustment.</w:t>
      </w:r>
    </w:p>
    <w:p>
      <w:pPr>
        <w:spacing w:after="0" w:line="103"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effective tax rate increased from 13.6% during the three months ended March 31, 2023 to 22.0% during the three months ended March 31, 2024. The Company recorded income tax expense of $13,753 and $8,058 for the three months ended March 31, 2024 and 2023, respectively. The increase in income tax expense was primarily as a result of higher profit during the three months ended March 31, 2024, compared to the three months ended March 31, 2023, and lower excess tax benefits related to stock-based compensation during the three months ended March 31, 2024, compared to the three months ended March 31, 2023.</w:t>
      </w:r>
    </w:p>
    <w:p>
      <w:pPr>
        <w:spacing w:after="0" w:line="209" w:lineRule="exact"/>
        <w:rPr>
          <w:sz w:val="20"/>
          <w:szCs w:val="20"/>
          <w:color w:val="auto"/>
        </w:rPr>
      </w:pPr>
    </w:p>
    <w:p>
      <w:pPr>
        <w:jc w:val="both"/>
        <w:ind w:firstLine="394"/>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one of the Company’s subsidiaries in India repatriated $18,255 (net of $996 withholding taxes) to the United States.</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Deferred income taxes recognized in OCI were as follows:</w:t>
      </w:r>
    </w:p>
    <w:p>
      <w:pPr>
        <w:spacing w:after="0" w:line="203" w:lineRule="exact"/>
        <w:rPr>
          <w:sz w:val="20"/>
          <w:szCs w:val="20"/>
          <w:color w:val="auto"/>
        </w:rPr>
      </w:pPr>
    </w:p>
    <w:tbl>
      <w:tblPr>
        <w:tblLayout w:type="fixed"/>
        <w:tblInd w:w="1040" w:type="dxa"/>
        <w:tblCellMar>
          <w:top w:w="0" w:type="dxa"/>
          <w:left w:w="0" w:type="dxa"/>
          <w:bottom w:w="0" w:type="dxa"/>
          <w:right w:w="0" w:type="dxa"/>
        </w:tblCellMar>
      </w:tblPr>
      <w:tr>
        <w:trPr>
          <w:trHeight w:val="211"/>
        </w:trPr>
        <w:tc>
          <w:tcPr>
            <w:tcW w:w="5920" w:type="dxa"/>
            <w:vAlign w:val="bottom"/>
          </w:tcPr>
          <w:p>
            <w:pPr>
              <w:spacing w:after="0"/>
              <w:rPr>
                <w:sz w:val="18"/>
                <w:szCs w:val="18"/>
                <w:color w:val="auto"/>
              </w:rPr>
            </w:pPr>
          </w:p>
        </w:tc>
        <w:tc>
          <w:tcPr>
            <w:tcW w:w="300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05"/>
        </w:trPr>
        <w:tc>
          <w:tcPr>
            <w:tcW w:w="59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r>
      <w:tr>
        <w:trPr>
          <w:trHeight w:val="204"/>
        </w:trPr>
        <w:tc>
          <w:tcPr>
            <w:tcW w:w="59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Deferred taxes benefit / (expense) recognized on:</w:t>
            </w: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w:t>
            </w:r>
          </w:p>
        </w:tc>
        <w:tc>
          <w:tcPr>
            <w:tcW w:w="1200" w:type="dxa"/>
            <w:vAlign w:val="bottom"/>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19"/>
                <w:szCs w:val="19"/>
                <w:color w:val="auto"/>
              </w:rPr>
            </w:pPr>
          </w:p>
        </w:tc>
        <w:tc>
          <w:tcPr>
            <w:tcW w:w="1140" w:type="dxa"/>
            <w:vAlign w:val="bottom"/>
          </w:tcPr>
          <w:p>
            <w:pPr>
              <w:jc w:val="right"/>
              <w:ind w:right="955"/>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cash flow hedges</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retirement benefits</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2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17"/>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tcPr>
          <w:p>
            <w:pPr>
              <w:jc w:val="right"/>
              <w:ind w:right="10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(2,991)</w:t>
            </w:r>
          </w:p>
        </w:tc>
      </w:tr>
      <w:tr>
        <w:trPr>
          <w:trHeight w:val="20"/>
        </w:trPr>
        <w:tc>
          <w:tcPr>
            <w:tcW w:w="5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Stock-based compensation expense by nature of function, as below, are included in the unaudited consolidated statements of income:</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546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8"/>
                <w:szCs w:val="18"/>
                <w:color w:val="auto"/>
              </w:rPr>
            </w:pPr>
          </w:p>
        </w:tc>
      </w:tr>
      <w:tr>
        <w:trPr>
          <w:trHeight w:val="205"/>
        </w:trPr>
        <w:tc>
          <w:tcPr>
            <w:tcW w:w="54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7"/>
                <w:szCs w:val="17"/>
                <w:color w:val="auto"/>
              </w:rPr>
            </w:pPr>
          </w:p>
        </w:tc>
      </w:tr>
      <w:tr>
        <w:trPr>
          <w:trHeight w:val="217"/>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w:t>
            </w:r>
          </w:p>
        </w:tc>
      </w:tr>
      <w:tr>
        <w:trPr>
          <w:trHeight w:val="22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17"/>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14,407</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6"/>
        </w:trPr>
        <w:tc>
          <w:tcPr>
            <w:tcW w:w="5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30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Income tax benefit related to stock-based compensation </w:t>
            </w:r>
            <w:r>
              <w:rPr>
                <w:rFonts w:ascii="Times New Roman" w:cs="Times New Roman" w:eastAsia="Times New Roman" w:hAnsi="Times New Roman"/>
                <w:sz w:val="22"/>
                <w:szCs w:val="22"/>
                <w:color w:val="auto"/>
                <w:vertAlign w:val="superscript"/>
              </w:rPr>
              <w:t>(1)</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Pr>
          <w:p>
            <w:pPr>
              <w:spacing w:after="0"/>
              <w:rPr>
                <w:sz w:val="24"/>
                <w:szCs w:val="24"/>
                <w:color w:val="auto"/>
              </w:rPr>
            </w:pP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9,830</w:t>
            </w:r>
          </w:p>
        </w:tc>
      </w:tr>
    </w:tbl>
    <w:p>
      <w:pPr>
        <w:spacing w:after="0" w:line="221" w:lineRule="exact"/>
        <w:rPr>
          <w:sz w:val="20"/>
          <w:szCs w:val="20"/>
          <w:color w:val="auto"/>
        </w:rPr>
      </w:pPr>
    </w:p>
    <w:p>
      <w:pPr>
        <w:ind w:firstLine="439"/>
        <w:spacing w:after="0" w:line="253" w:lineRule="auto"/>
        <w:tabs>
          <w:tab w:leader="none" w:pos="6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$7,523 and $12,520 during the three months ended March 31, 2024 and 2023, respectively, related to discrete benefits recognized in income tax expense in accordance with ASU No. 2016-09, Compensation - Stock Compensation.</w:t>
      </w:r>
    </w:p>
    <w:p>
      <w:pPr>
        <w:spacing w:after="0" w:line="181" w:lineRule="exact"/>
        <w:rPr>
          <w:sz w:val="20"/>
          <w:szCs w:val="20"/>
          <w:color w:val="auto"/>
        </w:rPr>
      </w:pPr>
    </w:p>
    <w:p>
      <w:pPr>
        <w:jc w:val="both"/>
        <w:ind w:firstLine="434"/>
        <w:spacing w:after="0" w:line="253" w:lineRule="auto"/>
        <w:rPr>
          <w:sz w:val="20"/>
          <w:szCs w:val="20"/>
          <w:color w:val="auto"/>
        </w:rPr>
      </w:pPr>
      <w:r>
        <w:rPr>
          <w:rFonts w:ascii="Times New Roman" w:cs="Times New Roman" w:eastAsia="Times New Roman" w:hAnsi="Times New Roman"/>
          <w:sz w:val="18"/>
          <w:szCs w:val="18"/>
          <w:color w:val="auto"/>
        </w:rPr>
        <w:t>As of March 31, 2024 and December 31, 2023, the Company had 537,304 and 3,249,875 shares, respectively, available for grant under the 2018 Omnibus Incentive Plan.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and 2023, there was no stock option activity under the Company’s stock-based compensation plans. The number of stock options that were unvested as of each of March 31, 2024 and December 31, 2023 were 1,790,695 units. The number of stock options that were vested and exercisable as of each of March 31, 2024 and December 31, 2023 were nil units.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2024, unrecognized compensation cost of $17,378 is expected to be expensed over a weighted average period of 3.3 years.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Matching Program</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Under the Company’s 2018 Omnibus Incentive Plan (the “2018 Plan”), the Company established a share matching program (“SMP”) for executive officers and other specified employees. Under the SMP, the Company agreed to issue a number of restricted stock units equal to the number of newly acquired shares of the Company's common stock.</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unit activity under the SMP is shown below:</w:t>
      </w: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Restricted Stock Units (SMP)</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40" w:type="dxa"/>
            <w:vAlign w:val="bottom"/>
          </w:tcPr>
          <w:p>
            <w:pPr>
              <w:spacing w:after="0"/>
              <w:rPr>
                <w:sz w:val="13"/>
                <w:szCs w:val="13"/>
                <w:color w:val="auto"/>
              </w:rPr>
            </w:pPr>
          </w:p>
        </w:tc>
        <w:tc>
          <w:tcPr>
            <w:tcW w:w="1780" w:type="dxa"/>
            <w:vAlign w:val="bottom"/>
          </w:tcPr>
          <w:p>
            <w:pPr>
              <w:jc w:val="right"/>
              <w:ind w:right="315"/>
              <w:spacing w:after="0" w:line="153"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vMerge w:val="restart"/>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83"/>
        </w:trPr>
        <w:tc>
          <w:tcPr>
            <w:tcW w:w="5240" w:type="dxa"/>
            <w:vAlign w:val="bottom"/>
            <w:tcBorders>
              <w:bottom w:val="single" w:sz="8" w:color="CCEEFF"/>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3"/>
        </w:trPr>
        <w:tc>
          <w:tcPr>
            <w:tcW w:w="5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53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ind w:firstLine="399"/>
        <w:spacing w:after="0" w:line="253" w:lineRule="auto"/>
        <w:tabs>
          <w:tab w:leader="none" w:pos="51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March 31, 2024 and December 31, 2023 restricted stock units vested for which the underlying common stock is yet to be issued are 72,385 and nil, respectively.</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March 31, 2024, unrecognized compensation cost of $1,805 is expected to be expensed over a weighted average period of 1.0 year.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ind w:left="10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Restricted stock unit activity under the Company’s stock-based compensation plans is shown below:</w:t>
      </w:r>
    </w:p>
    <w:p>
      <w:pPr>
        <w:spacing w:after="0" w:line="203" w:lineRule="exact"/>
        <w:rPr>
          <w:sz w:val="20"/>
          <w:szCs w:val="20"/>
          <w:color w:val="auto"/>
        </w:rPr>
      </w:pPr>
    </w:p>
    <w:tbl>
      <w:tblPr>
        <w:tblLayout w:type="fixed"/>
        <w:tblInd w:w="1100" w:type="dxa"/>
        <w:tblCellMar>
          <w:top w:w="0" w:type="dxa"/>
          <w:left w:w="0" w:type="dxa"/>
          <w:bottom w:w="0" w:type="dxa"/>
          <w:right w:w="0" w:type="dxa"/>
        </w:tblCellMar>
      </w:tblPr>
      <w:tr>
        <w:trPr>
          <w:trHeight w:val="211"/>
        </w:trPr>
        <w:tc>
          <w:tcPr>
            <w:tcW w:w="5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Restricted Stock Units</w:t>
            </w:r>
          </w:p>
        </w:tc>
        <w:tc>
          <w:tcPr>
            <w:tcW w:w="0" w:type="dxa"/>
            <w:vAlign w:val="bottom"/>
          </w:tcPr>
          <w:p>
            <w:pPr>
              <w:spacing w:after="0"/>
              <w:rPr>
                <w:sz w:val="1"/>
                <w:szCs w:val="1"/>
                <w:color w:val="auto"/>
              </w:rPr>
            </w:pPr>
          </w:p>
        </w:tc>
      </w:tr>
      <w:tr>
        <w:trPr>
          <w:trHeight w:val="153"/>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60" w:type="dxa"/>
            <w:vAlign w:val="bottom"/>
          </w:tcPr>
          <w:p>
            <w:pPr>
              <w:spacing w:after="0"/>
              <w:rPr>
                <w:sz w:val="13"/>
                <w:szCs w:val="13"/>
                <w:color w:val="auto"/>
              </w:rPr>
            </w:pPr>
          </w:p>
        </w:tc>
        <w:tc>
          <w:tcPr>
            <w:tcW w:w="1760" w:type="dxa"/>
            <w:vAlign w:val="bottom"/>
          </w:tcPr>
          <w:p>
            <w:pPr>
              <w:jc w:val="right"/>
              <w:ind w:right="315"/>
              <w:spacing w:after="0" w:line="153"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27"/>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vMerge w:val="restart"/>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83"/>
        </w:trPr>
        <w:tc>
          <w:tcPr>
            <w:tcW w:w="524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5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3,731,512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0" w:type="dxa"/>
            <w:vAlign w:val="bottom"/>
          </w:tcPr>
          <w:p>
            <w:pPr>
              <w:spacing w:after="0"/>
              <w:rPr>
                <w:sz w:val="1"/>
                <w:szCs w:val="1"/>
                <w:color w:val="auto"/>
              </w:rPr>
            </w:pPr>
          </w:p>
        </w:tc>
      </w:tr>
      <w:tr>
        <w:trPr>
          <w:trHeight w:val="223"/>
        </w:trPr>
        <w:tc>
          <w:tcPr>
            <w:tcW w:w="53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1,410,824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0" w:type="dxa"/>
            <w:vAlign w:val="bottom"/>
          </w:tcPr>
          <w:p>
            <w:pPr>
              <w:spacing w:after="0"/>
              <w:rPr>
                <w:sz w:val="1"/>
                <w:szCs w:val="1"/>
                <w:color w:val="auto"/>
              </w:rPr>
            </w:pPr>
          </w:p>
        </w:tc>
      </w:tr>
      <w:tr>
        <w:trPr>
          <w:trHeight w:val="223"/>
        </w:trPr>
        <w:tc>
          <w:tcPr>
            <w:tcW w:w="53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gridSpan w:val="2"/>
          </w:tcPr>
          <w:p>
            <w:pPr>
              <w:ind w:left="4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0" w:type="dxa"/>
            <w:vAlign w:val="bottom"/>
          </w:tcPr>
          <w:p>
            <w:pPr>
              <w:spacing w:after="0"/>
              <w:rPr>
                <w:sz w:val="1"/>
                <w:szCs w:val="1"/>
                <w:color w:val="auto"/>
              </w:rPr>
            </w:pPr>
          </w:p>
        </w:tc>
      </w:tr>
      <w:tr>
        <w:trPr>
          <w:trHeight w:val="242"/>
        </w:trPr>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3,855,981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center"/>
              <w:ind w:right="5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100" w:firstLine="399"/>
        <w:spacing w:after="0" w:line="253" w:lineRule="auto"/>
        <w:tabs>
          <w:tab w:leader="none" w:pos="61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As of March 31, 2024 and December 31, 2023 restricted stock units vested for which the underlying common stock is yet to be issued are 326,590 and 324,125, respectively.</w:t>
      </w:r>
    </w:p>
    <w:p>
      <w:pPr>
        <w:spacing w:after="0" w:line="129" w:lineRule="exact"/>
        <w:rPr>
          <w:sz w:val="20"/>
          <w:szCs w:val="20"/>
          <w:color w:val="auto"/>
        </w:rPr>
      </w:pPr>
    </w:p>
    <w:p>
      <w:pPr>
        <w:ind w:left="100" w:right="1020" w:firstLine="434"/>
        <w:spacing w:after="0" w:line="419" w:lineRule="auto"/>
        <w:rPr>
          <w:sz w:val="20"/>
          <w:szCs w:val="20"/>
          <w:color w:val="auto"/>
        </w:rPr>
      </w:pPr>
      <w:r>
        <w:rPr>
          <w:rFonts w:ascii="Times New Roman" w:cs="Times New Roman" w:eastAsia="Times New Roman" w:hAnsi="Times New Roman"/>
          <w:sz w:val="18"/>
          <w:szCs w:val="18"/>
          <w:color w:val="auto"/>
        </w:rPr>
        <w:t xml:space="preserve">As of March 31, 2024, unrecognized compensation cost of $91,761 is expected to be expensed over a weighted average period of 3.0 years. </w:t>
      </w:r>
      <w:r>
        <w:rPr>
          <w:rFonts w:ascii="Times New Roman" w:cs="Times New Roman" w:eastAsia="Times New Roman" w:hAnsi="Times New Roman"/>
          <w:sz w:val="18"/>
          <w:szCs w:val="18"/>
          <w:b w:val="1"/>
          <w:bCs w:val="1"/>
          <w:color w:val="auto"/>
        </w:rPr>
        <w:t>Performance-Based Stock Awards</w:t>
      </w:r>
    </w:p>
    <w:p>
      <w:pPr>
        <w:jc w:val="both"/>
        <w:ind w:left="100" w:firstLine="394"/>
        <w:spacing w:after="0" w:line="235" w:lineRule="auto"/>
        <w:rPr>
          <w:sz w:val="20"/>
          <w:szCs w:val="20"/>
          <w:color w:val="auto"/>
        </w:rPr>
      </w:pPr>
      <w:r>
        <w:rPr>
          <w:rFonts w:ascii="Times New Roman" w:cs="Times New Roman" w:eastAsia="Times New Roman" w:hAnsi="Times New Roman"/>
          <w:sz w:val="18"/>
          <w:szCs w:val="18"/>
          <w:color w:val="auto"/>
        </w:rPr>
        <w:t>Under the 2018 Plan, the Company grants performance-based restricted stock units (“PRSUs”) to executive officers and other specified employees. During the three months ended March 31, 2024, the Company granted 40% of each award recipient’s equity grants in the form of PRSUs that cliff vest at the end of a three-year period based on an aggregated revenue target for a three-year period (“PU”). The remaining 60% of each award recipient’s equity grants are PRSUs that are based on market conditions, contingent on the Company's meeting a total shareholder return relative to a group of peer companies specified under the 2018 Plan, and are measured over a three-year performance period (“MU”).</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PRSU activity under the Company’s stock plans is shown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40" w:type="dxa"/>
            <w:vAlign w:val="bottom"/>
          </w:tcPr>
          <w:p>
            <w:pPr>
              <w:spacing w:after="0"/>
              <w:rPr>
                <w:sz w:val="18"/>
                <w:szCs w:val="18"/>
                <w:color w:val="auto"/>
              </w:rPr>
            </w:pPr>
          </w:p>
        </w:tc>
        <w:tc>
          <w:tcPr>
            <w:tcW w:w="3260" w:type="dxa"/>
            <w:vAlign w:val="bottom"/>
            <w:gridSpan w:val="5"/>
          </w:tcPr>
          <w:p>
            <w:pPr>
              <w:ind w:left="800"/>
              <w:spacing w:after="0"/>
              <w:rPr>
                <w:sz w:val="20"/>
                <w:szCs w:val="20"/>
                <w:color w:val="auto"/>
              </w:rPr>
            </w:pPr>
            <w:r>
              <w:rPr>
                <w:rFonts w:ascii="Times New Roman" w:cs="Times New Roman" w:eastAsia="Times New Roman" w:hAnsi="Times New Roman"/>
                <w:sz w:val="16"/>
                <w:szCs w:val="16"/>
                <w:b w:val="1"/>
                <w:bCs w:val="1"/>
                <w:color w:val="auto"/>
              </w:rPr>
              <w:t>Revenue Based PRSUs</w:t>
            </w:r>
          </w:p>
        </w:tc>
        <w:tc>
          <w:tcPr>
            <w:tcW w:w="3220" w:type="dxa"/>
            <w:vAlign w:val="bottom"/>
            <w:gridSpan w:val="4"/>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Market Condition Based PRSUs</w:t>
            </w: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420" w:type="dxa"/>
            <w:vAlign w:val="bottom"/>
            <w:tcBorders>
              <w:top w:val="single" w:sz="8" w:color="auto"/>
            </w:tcBorders>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center"/>
              <w:ind w:right="95"/>
              <w:spacing w:after="0" w:line="153" w:lineRule="exact"/>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120" w:type="dxa"/>
            <w:vAlign w:val="bottom"/>
          </w:tcPr>
          <w:p>
            <w:pPr>
              <w:spacing w:after="0"/>
              <w:rPr>
                <w:sz w:val="13"/>
                <w:szCs w:val="13"/>
                <w:color w:val="auto"/>
              </w:rPr>
            </w:pPr>
          </w:p>
        </w:tc>
        <w:tc>
          <w:tcPr>
            <w:tcW w:w="1480" w:type="dxa"/>
            <w:vAlign w:val="bottom"/>
            <w:tcBorders>
              <w:top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175"/>
              <w:spacing w:after="0" w:line="153"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09"/>
        </w:trPr>
        <w:tc>
          <w:tcPr>
            <w:tcW w:w="42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7"/>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utstanding as of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ested</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42"/>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utstanding as of March 31, 2024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1,170,177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ind w:left="100" w:right="1020" w:firstLine="434"/>
        <w:spacing w:after="0" w:line="426" w:lineRule="auto"/>
        <w:rPr>
          <w:sz w:val="20"/>
          <w:szCs w:val="20"/>
          <w:color w:val="auto"/>
        </w:rPr>
      </w:pPr>
      <w:r>
        <w:rPr>
          <w:rFonts w:ascii="Times New Roman" w:cs="Times New Roman" w:eastAsia="Times New Roman" w:hAnsi="Times New Roman"/>
          <w:sz w:val="18"/>
          <w:szCs w:val="18"/>
          <w:color w:val="auto"/>
        </w:rPr>
        <w:t xml:space="preserve">As of March 31, 2024, unrecognized compensation cost of $55,900 is expected to be expensed over a weighted average period of 2.4 years. </w:t>
      </w:r>
      <w:r>
        <w:rPr>
          <w:rFonts w:ascii="Times New Roman" w:cs="Times New Roman" w:eastAsia="Times New Roman" w:hAnsi="Times New Roman"/>
          <w:sz w:val="18"/>
          <w:szCs w:val="18"/>
          <w:b w:val="1"/>
          <w:bCs w:val="1"/>
          <w:color w:val="auto"/>
        </w:rPr>
        <w:t>Employee Stock Purchase Plan</w:t>
      </w:r>
    </w:p>
    <w:p>
      <w:pPr>
        <w:spacing w:after="0" w:line="1" w:lineRule="exact"/>
        <w:rPr>
          <w:sz w:val="20"/>
          <w:szCs w:val="20"/>
          <w:color w:val="auto"/>
        </w:rPr>
      </w:pPr>
    </w:p>
    <w:p>
      <w:pPr>
        <w:jc w:val="both"/>
        <w:ind w:left="100" w:firstLine="434"/>
        <w:spacing w:after="0" w:line="268" w:lineRule="auto"/>
        <w:rPr>
          <w:sz w:val="20"/>
          <w:szCs w:val="20"/>
          <w:color w:val="auto"/>
        </w:rPr>
      </w:pPr>
      <w:r>
        <w:rPr>
          <w:rFonts w:ascii="Times New Roman" w:cs="Times New Roman" w:eastAsia="Times New Roman" w:hAnsi="Times New Roman"/>
          <w:sz w:val="18"/>
          <w:szCs w:val="18"/>
          <w:color w:val="auto"/>
        </w:rPr>
        <w:t>On June 21, 2022, at the annual meeting of stockholders of the Company, the Company’s stockholders approved the ExlService Holdings, Inc. 2022 Employee Stock Purchase Plan (the “2022 ESPP”).</w:t>
      </w:r>
    </w:p>
    <w:p>
      <w:pPr>
        <w:spacing w:after="0" w:line="116" w:lineRule="exact"/>
        <w:rPr>
          <w:sz w:val="20"/>
          <w:szCs w:val="20"/>
          <w:color w:val="auto"/>
        </w:rPr>
      </w:pPr>
    </w:p>
    <w:p>
      <w:pPr>
        <w:jc w:val="both"/>
        <w:ind w:left="100" w:firstLine="394"/>
        <w:spacing w:after="0" w:line="249" w:lineRule="auto"/>
        <w:rPr>
          <w:sz w:val="20"/>
          <w:szCs w:val="20"/>
          <w:color w:val="auto"/>
        </w:rPr>
      </w:pPr>
      <w:r>
        <w:rPr>
          <w:rFonts w:ascii="Times New Roman" w:cs="Times New Roman" w:eastAsia="Times New Roman" w:hAnsi="Times New Roman"/>
          <w:sz w:val="18"/>
          <w:szCs w:val="18"/>
          <w:color w:val="auto"/>
        </w:rPr>
        <w:t>The 2022 ESPP allows eligible employees to purchase the Company’s shares of common stock through payroll deductions at a pre-specified discount to the lower of closing price of the Company’s common shares on the date of offering or the last business day of each purchase interval. The dollar amount of shares of common stock that can be purchased under the 2022 ESPP must not exceed 15% of the participating employee’s compensation during the offering period, subject to a cap of $25 per employee per calendar year. The Company has reserved 4,000,000 shares of common stock for issuance under the 2022 ESPP.</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67945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2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fourth offering period under the 2022 ESPP commenced on January 1, 2024 with a term of six months.</w:t>
      </w: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Activity under the Company’s 2022 ESPP is shown below:</w:t>
      </w:r>
    </w:p>
    <w:p>
      <w:pPr>
        <w:spacing w:after="0" w:line="265" w:lineRule="exact"/>
        <w:rPr>
          <w:sz w:val="20"/>
          <w:szCs w:val="20"/>
          <w:color w:val="auto"/>
        </w:rPr>
      </w:pPr>
    </w:p>
    <w:tbl>
      <w:tblPr>
        <w:tblLayout w:type="fixed"/>
        <w:tblInd w:w="560" w:type="dxa"/>
        <w:tblCellMar>
          <w:top w:w="0" w:type="dxa"/>
          <w:left w:w="0" w:type="dxa"/>
          <w:bottom w:w="0" w:type="dxa"/>
          <w:right w:w="0" w:type="dxa"/>
        </w:tblCellMar>
      </w:tblPr>
      <w:tr>
        <w:trPr>
          <w:trHeight w:val="204"/>
        </w:trPr>
        <w:tc>
          <w:tcPr>
            <w:tcW w:w="684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Total Proceeds Received</w:t>
            </w:r>
          </w:p>
        </w:tc>
      </w:tr>
      <w:tr>
        <w:trPr>
          <w:trHeight w:val="223"/>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December 31, 2023</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3,831,325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23"/>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related to the third offering period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71,645</w:t>
            </w:r>
          </w:p>
        </w:tc>
        <w:tc>
          <w:tcPr>
            <w:tcW w:w="26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1,948</w:t>
            </w:r>
          </w:p>
        </w:tc>
      </w:tr>
      <w:tr>
        <w:trPr>
          <w:trHeight w:val="21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issuance as of March 31,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3,759,680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Contributions received for the fourth offering period up to March 31, 2024</w:t>
            </w:r>
          </w:p>
        </w:tc>
        <w:tc>
          <w:tcPr>
            <w:tcW w:w="150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Related Party Disclosures</w:t>
      </w:r>
    </w:p>
    <w:p>
      <w:pPr>
        <w:spacing w:after="0" w:line="150" w:lineRule="exact"/>
        <w:rPr>
          <w:sz w:val="20"/>
          <w:szCs w:val="20"/>
          <w:color w:val="auto"/>
        </w:rPr>
      </w:pPr>
    </w:p>
    <w:p>
      <w:pPr>
        <w:jc w:val="both"/>
        <w:ind w:firstLine="434"/>
        <w:spacing w:after="0" w:line="241" w:lineRule="auto"/>
        <w:rPr>
          <w:sz w:val="20"/>
          <w:szCs w:val="20"/>
          <w:color w:val="auto"/>
        </w:rPr>
      </w:pPr>
      <w:r>
        <w:rPr>
          <w:rFonts w:ascii="Times New Roman" w:cs="Times New Roman" w:eastAsia="Times New Roman" w:hAnsi="Times New Roman"/>
          <w:sz w:val="18"/>
          <w:szCs w:val="18"/>
          <w:color w:val="auto"/>
        </w:rPr>
        <w:t>In April 2022, the Company entered into a service contract for providing analytics services to The Vanguard Group Inc., which reported that it beneficially owns more than 10% of the Company’s common stock as of December 31, 2023. During the three months ended March 31, 2024 and 2023, the Company recognized revenues, net of $166 and $951, respectively, related to this service contract. The Company had outstanding accounts receivable, net of $nil and $209, related to this service contract as of March 31, 2024 and December 31, 2023, respectively.</w:t>
      </w:r>
    </w:p>
    <w:p>
      <w:pPr>
        <w:spacing w:after="0" w:line="194"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In February 2024, the Company entered into a service contract for providing analytics services to Corridor Platforms, Inc., which is an equity affiliate of the Company. During the three months ended March 31, 2024, the Company recognized revenues, net of $151 related to this service contract. The Company had outstanding accounts receivable, net of $151 related to this service contract as of March 31, 2024.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165"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As of March 31, 2024, the Company had committed to spend approximately $9,000 under agreements to purchase property and equipment. This amount is net of capital advances paid which are recognized in unaudited consolidated balance sheets as “Capital work in progress” under “Property and equipment.”</w:t>
      </w:r>
    </w:p>
    <w:p>
      <w:pPr>
        <w:spacing w:after="0" w:line="71"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On June 15, 2023, the Company, along with other limited partners, entered into a limited partnership agreement with the general partner, PNP Financial Services Fund GP I, LLC and initial limited partner and outgoing partner, to form a partnership with the name Plug and Play Financial Services Fund I, L.P. (the “Partnership”) for the primary purpose of making investments in growth-stage technology companies. The Company is committed under the Partnership to make further investments up to an amount of $3,400.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52"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or Special Economic Zone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 believes, however, that these units have in the past satisfied, and will continue to satisfy, the required conditions.</w:t>
      </w:r>
    </w:p>
    <w:p>
      <w:pPr>
        <w:spacing w:after="0" w:line="209" w:lineRule="exact"/>
        <w:rPr>
          <w:sz w:val="20"/>
          <w:szCs w:val="20"/>
          <w:color w:val="auto"/>
        </w:rPr>
      </w:pPr>
    </w:p>
    <w:p>
      <w:pPr>
        <w:jc w:val="both"/>
        <w:ind w:firstLine="434"/>
        <w:spacing w:after="0" w:line="277" w:lineRule="auto"/>
        <w:rPr>
          <w:sz w:val="20"/>
          <w:szCs w:val="20"/>
          <w:color w:val="auto"/>
        </w:rPr>
      </w:pPr>
      <w:r>
        <w:rPr>
          <w:rFonts w:ascii="Times New Roman" w:cs="Times New Roman" w:eastAsia="Times New Roman" w:hAnsi="Times New Roman"/>
          <w:sz w:val="16"/>
          <w:szCs w:val="16"/>
          <w:color w:val="auto"/>
        </w:rPr>
        <w:t>The Company’s operations centers in the Philippines are registered as qualified Philippines Economic Zone Authority units, which provides the Company fiscal incentives on the import of capital goods and local purchase of services and materials. The Company is required to meet certain requirements to retain the incentives. The Company has complied, and intends to continue compliance with the requirements to avail itself of the incentives.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65"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The transfer pricing regulations in the countries where the Company operates require that controlled intercompany transactions be at arm’s-length. Accordingly, the Company determines and documents pricing for controlled intercompany transactions based on an economic analysis as prescribed in the respective regulations. The tax authorities have jurisdiction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 and share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review the Company’s transfer pricing. If the Company’s transfer pricing is challenged by the authorities, they could assess additional tax, interest and penalties, thereby impacting the Company’s profitability and cash flows.</w:t>
      </w:r>
    </w:p>
    <w:p>
      <w:pPr>
        <w:spacing w:after="0" w:line="116"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The Company is currently involved in transfer pricing and related income tax disputes with Indian tax authorities. The aggregate amount demanded by Indian tax authorities (net of advance payments) as of March 31, 2024 and December 31, 2023 is $36,109 and $36,694, respectively. The Company has made payments and/or provided bank guarantees against these demands in the amounts of $7,213 and $7,227, as of March 31, 2024 and December 31, 2023, respectively. The Company believes that its positions will more likely than not be sustained upon final examination by the tax authorities, and accordingly has not accrued any liabilities with respect to these matters in its consolidated financial statements.</w:t>
      </w:r>
    </w:p>
    <w:p>
      <w:pPr>
        <w:spacing w:after="0" w:line="122"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India’s Value Added Tax (“VAT”) regime ended in June 2017 and was replaced by the current Goods and Service Tax (“GST”) regime. Pursuant to reviewing the Company’s annual VAT filings, the Indian tax authorities raised aggregate VAT demands for tax years 2015 and 2017, in the amounts of $5,481 and $5,493, as of March 31, 2024 and December 31, 2023, respectively. The Company has provided bank guarantees against these demands in the amounts of $4,559 and $4,570, as of March 31, 2024 and December 31, 2023, respectively. The GST authorities rejected the Company’s refunds claims in the amounts of $4,737 and $4,748 as of March 31, 2024 and December 31, 2023, respectively. The Company has filed appeals against these matters and believes that it is more likely than not that upon final examination its position will be sustained based on its technical merits. Accordingly, no provision was recognized as of March 31, 2024 and December 31, 2023, respectively.</w:t>
      </w:r>
    </w:p>
    <w:p>
      <w:pPr>
        <w:spacing w:after="0" w:line="197" w:lineRule="exact"/>
        <w:rPr>
          <w:sz w:val="20"/>
          <w:szCs w:val="20"/>
          <w:color w:val="auto"/>
        </w:rPr>
      </w:pPr>
    </w:p>
    <w:p>
      <w:pPr>
        <w:jc w:val="both"/>
        <w:ind w:firstLine="434"/>
        <w:spacing w:after="0" w:line="231" w:lineRule="auto"/>
        <w:rPr>
          <w:sz w:val="20"/>
          <w:szCs w:val="20"/>
          <w:color w:val="auto"/>
        </w:rPr>
      </w:pPr>
      <w:r>
        <w:rPr>
          <w:rFonts w:ascii="Times New Roman" w:cs="Times New Roman" w:eastAsia="Times New Roman" w:hAnsi="Times New Roman"/>
          <w:sz w:val="18"/>
          <w:szCs w:val="18"/>
          <w:color w:val="auto"/>
        </w:rPr>
        <w:t>One of the Company’s subsidiaries in India has undergone an assessment with the statutory authority with respect to defined social security contribution plan. Except for some components of the assessment for which the Company has recognized a provision in the financial statements, the Company believes that the amount demanded by such authority is not a meaningful indicator of the potential liabilities of the Company, and that the matter is without merit. The Company is defending against the assessment order and has accordingly instituted an appeal against the order before the relevant tribunal while also making a payment under protest of the amount demanded. As of the reporting date, the Company’s management does not believe that the ultimate assessment will have a material adverse effect on the Company’s consolidated financial condition, results of operations or cash flows. The Company will continue to monitor and evaluate its position based on future events and developments in this matter.</w:t>
      </w:r>
    </w:p>
    <w:p>
      <w:pPr>
        <w:spacing w:after="0" w:line="143"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From time to time, the Company, its subsidiaries, and/or their present officers or directors,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claimed are without merit, and the Company intends to vigorously defend them. The Company will continuously monitor developments on these matters to assess potential impacts to the financial statements.</w:t>
      </w:r>
    </w:p>
    <w:p>
      <w:pPr>
        <w:spacing w:after="0" w:line="13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 The Company will continuously monitor these matters to assess potential impacts to the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w:t>
      </w:r>
    </w:p>
    <w:p>
      <w:pPr>
        <w:spacing w:after="0" w:line="137" w:lineRule="exact"/>
        <w:rPr>
          <w:sz w:val="20"/>
          <w:szCs w:val="20"/>
          <w:color w:val="auto"/>
        </w:rPr>
      </w:pPr>
    </w:p>
    <w:p>
      <w:pPr>
        <w:jc w:val="both"/>
        <w:ind w:firstLine="434"/>
        <w:spacing w:after="0" w:line="235" w:lineRule="auto"/>
        <w:rPr>
          <w:sz w:val="20"/>
          <w:szCs w:val="20"/>
          <w:color w:val="auto"/>
        </w:rPr>
      </w:pPr>
      <w:r>
        <w:rPr>
          <w:rFonts w:ascii="Times New Roman" w:cs="Times New Roman" w:eastAsia="Times New Roman" w:hAnsi="Times New Roman"/>
          <w:sz w:val="18"/>
          <w:szCs w:val="18"/>
          <w:color w:val="auto"/>
        </w:rPr>
        <w:t>In April 2024, the Company initiated a restructuring plan to align its workforce with market opportunities, business strategies and evolving customer needs. As part of this plan, the Company expects a reduction in its workforce impacting less than 2% of its global workforce and to record employee severance and related charges. The Company expects the plan to be substantially completed by the end of the second quarter ending June 30, 2024. The Company’s management does not believe that the restructuring plan will have a material adverse impact on its unaudited consolidated financial statements, results of operations or cash flows.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61"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2023. Some of the statements in the following discussion are forward 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63" w:lineRule="exact"/>
        <w:rPr>
          <w:sz w:val="20"/>
          <w:szCs w:val="20"/>
          <w:color w:val="auto"/>
        </w:rPr>
      </w:pPr>
    </w:p>
    <w:p>
      <w:pPr>
        <w:jc w:val="both"/>
        <w:ind w:firstLine="394"/>
        <w:spacing w:after="0" w:line="281" w:lineRule="auto"/>
        <w:rPr>
          <w:sz w:val="20"/>
          <w:szCs w:val="20"/>
          <w:color w:val="auto"/>
        </w:rPr>
      </w:pPr>
      <w:r>
        <w:rPr>
          <w:rFonts w:ascii="Times New Roman" w:cs="Times New Roman" w:eastAsia="Times New Roman" w:hAnsi="Times New Roman"/>
          <w:sz w:val="16"/>
          <w:szCs w:val="16"/>
          <w:color w:val="auto"/>
        </w:rPr>
        <w:t>This Quarterly Report on Form 10-Q contains forward-looking statements within the meaning of the United States Private Securities Litigation Reform Act of 1995.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112" w:lineRule="exact"/>
        <w:rPr>
          <w:sz w:val="20"/>
          <w:szCs w:val="20"/>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client demand for our services and solutions, including anticipating and incorporating the latest technologies, for instance, artificial intelligence (“AI”), including generative AI into our offerings;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on client demand by the selling cycle and terms of our client contracts;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 or any changes in the senior management team;</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costs;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pricing terms or effectively manage our asset utilization levels to meet the changing demands of our clients and potential clients;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employee data;</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deliver services and infrastructure for client critical services;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wage increases;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 and our ability to withstand the loss of a significant client;</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 including the impact from the impairment of goodwill and other intangible assets, if any;</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and third party contracts;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 or breaches, natural or other disasters, medical epidemics or pandemics, such as COVID-19, or acts of violence or war;</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operational and information security failures arising as a result of remote work solutions adopted due to COVID-19;</w:t>
      </w:r>
    </w:p>
    <w:p>
      <w:pPr>
        <w:spacing w:after="0" w:line="160"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tax authorities in the geographies where we operate;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or unfavorable tax legislation, including legal restrictions on repatriation of funds held abroad;</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currency exchange rate fluctuations in the various currencies in which we do business including the potential effects of Russian-Ukraine and Israel-Hamas conflicts, rising inflation, high interest rates and economic recessionary trends on currency exchange rates;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our ability to adhere to regulations or accreditation or licensing standards that govern our business;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debt or obtain additional financing on favorable terms. Inception of interest rate swaps to hedge interest rate risk;</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political and economic conditions globally, particularly in the geographies where we operate;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estimates and assumptions in connection with the preparation of our consolidated financial statements;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 fluctuations in the market values of our investment and derivatives portfolios;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sustainability-related goals and targets.</w:t>
      </w:r>
    </w:p>
    <w:p>
      <w:pPr>
        <w:spacing w:after="0" w:line="161" w:lineRule="exact"/>
        <w:rPr>
          <w:sz w:val="20"/>
          <w:szCs w:val="20"/>
          <w:color w:val="auto"/>
        </w:rPr>
      </w:pPr>
    </w:p>
    <w:p>
      <w:pPr>
        <w:jc w:val="both"/>
        <w:ind w:firstLine="434"/>
        <w:spacing w:after="0" w:line="268"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2023. These and other risks could cause actual results to differ materially from those implied by forward-looking statements in this Quarterly Report on Form 10-Q.</w:t>
      </w:r>
    </w:p>
    <w:p>
      <w:pPr>
        <w:spacing w:after="0" w:line="116"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may occur from time to time, and it is impossible for us to predict those events or how they may affect us. We have no obligation to update any forward-looking statements in this Quarterly Report on Form 10-Q after the date of this Quarterly Report on Form 10-Q, except as required by federal securities laws.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63"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We are a leading data analytics and digital operations and solutions company. We partner with clients using a data and AI-led approach to reinvent business models, drive better business outcomes and unlock growth with speed. We harness the power of data, analytics, AI, and deep industry knowledge to transform operations for the world’s leading corporations in industries including insurance, healthcare, banking and financial services, media and retail, among others.</w:t>
      </w:r>
    </w:p>
    <w:p>
      <w:pPr>
        <w:spacing w:after="0" w:line="130" w:lineRule="exact"/>
        <w:rPr>
          <w:sz w:val="20"/>
          <w:szCs w:val="20"/>
          <w:color w:val="auto"/>
        </w:rPr>
      </w:pPr>
    </w:p>
    <w:p>
      <w:pPr>
        <w:jc w:val="both"/>
        <w:ind w:firstLine="394"/>
        <w:spacing w:after="0" w:line="303" w:lineRule="auto"/>
        <w:rPr>
          <w:sz w:val="20"/>
          <w:szCs w:val="20"/>
          <w:color w:val="auto"/>
        </w:rPr>
      </w:pPr>
      <w:r>
        <w:rPr>
          <w:rFonts w:ascii="Times New Roman" w:cs="Times New Roman" w:eastAsia="Times New Roman" w:hAnsi="Times New Roman"/>
          <w:sz w:val="16"/>
          <w:szCs w:val="16"/>
          <w:color w:val="auto"/>
        </w:rPr>
        <w:t>We deliver data analytics and digital operations and solutions to our clients, driving enterprise-scale business transformation initiatives that leverage our deep expertise in advanced analytics, AI, generative AI and cloud technology. We manage and report financial information through our four strategic business units: Insurance, Healthcare, Analytics and Emerging Business, which reflects how management reviews financial information and makes operating decisions.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161" w:lineRule="exact"/>
        <w:rPr>
          <w:sz w:val="20"/>
          <w:szCs w:val="20"/>
          <w:color w:val="auto"/>
        </w:rPr>
      </w:pPr>
    </w:p>
    <w:p>
      <w:pPr>
        <w:ind w:left="720" w:hanging="321"/>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61"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161"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161" w:lineRule="exact"/>
        <w:rPr>
          <w:rFonts w:ascii="Times New Roman" w:cs="Times New Roman" w:eastAsia="Times New Roman" w:hAnsi="Times New Roman"/>
          <w:sz w:val="18"/>
          <w:szCs w:val="18"/>
          <w:color w:val="auto"/>
        </w:rPr>
      </w:pPr>
    </w:p>
    <w:p>
      <w:pPr>
        <w:ind w:left="720" w:hanging="321"/>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Business</w:t>
      </w:r>
    </w:p>
    <w:p>
      <w:pPr>
        <w:spacing w:after="0" w:line="161"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Our global delivery network, which includes highly trained industry and process specialists across the United States, the United Kingdom, Latin America, South Africa, Europe and Asia (primarily India and the Philippines), is a key asset. We have operations centers in India, the United States, the Philippines, South Africa, Colombia, Bulgaria, Romania, the United Kingdom, the Czech Republic, Mexico and the Republic of 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6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2024, we generated revenues of $436.5 million compared to revenues of $400.6 million for the three months ended March 31, 2023, an increase of $35.9 million, or 9.0%.</w:t>
      </w:r>
    </w:p>
    <w:p>
      <w:pPr>
        <w:spacing w:after="0" w:line="116"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serve clients mainly in the United States and the United Kingdom, with these two regions generating 83.0% and 11.5%, respectively, of our total revenues for the three months ended March 31, 2024 and 84.6% and 10.4%, respectively, of our revenues for the three months ended March 31, 2023.</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2024 and 2023, our total revenues from our top ten clients accounted for 33.3% and 34.8% of our total revenues, respectively. Although we continue to develop relationships with new clients to diversify our client base, we believe that the loss of any of our top ten clients could have a material adverse effect on our financial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63"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provide data analytics and digital operations and solutions to our clients. We market our services to our existing and prospective clients through our sales and client management teams, which are aligned by key industry verticals and cross-industry domains such as finance and accounting. Our sales and client management teams operate primarily from the United States, Europe and Australia.</w:t>
      </w:r>
    </w:p>
    <w:p>
      <w:pPr>
        <w:spacing w:after="0" w:line="124" w:lineRule="exact"/>
        <w:rPr>
          <w:sz w:val="20"/>
          <w:szCs w:val="20"/>
          <w:color w:val="auto"/>
        </w:rPr>
      </w:pPr>
    </w:p>
    <w:p>
      <w:pPr>
        <w:jc w:val="both"/>
        <w:ind w:firstLine="394"/>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Digital Operations and Solutions: </w:t>
      </w:r>
      <w:r>
        <w:rPr>
          <w:rFonts w:ascii="Times New Roman" w:cs="Times New Roman" w:eastAsia="Times New Roman" w:hAnsi="Times New Roman"/>
          <w:sz w:val="18"/>
          <w:szCs w:val="18"/>
          <w:color w:val="auto"/>
        </w:rPr>
        <w:t>We provide our clients with a range of data and AI-led digital operations and solutions from our Insurance,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Emerging Business strategic business units, which are focused on solving complex industry challenges, which include: a) multi-modal data ingestion using AI, and converting unstructured content into curated and usable data, b) real-time and comprehensive data insights including end-to-end data management and building a 360-degree view of our clients’ customers, c) omni-channel and frictionless customer experience including self-service, conversational AI and smart agent assist, d) intelligent and AI-powered redesign and automation of transaction processing and e) automated quality, compliance and audit. Some of our clients’ operations that we have transformed using the above solutions include underwriting operations, claims processing, accounts payables processing, utilization management, member and provider contact center services and collections and accounts receivable. We either manage and digitally transform these operations for our clients by deploying our solutions through a software-as-a-service model via our partners’ cloud network or a client’s on-cloud deployment model, to digitally transform their retained operations. For a portion of our digital operations and solutions,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 We also provide consulting services related to digital operations and solutions that include industry-specific digital transformational services as well as cross-industry finance and accounting services as part of the Emerging Business strategic business unit.</w:t>
      </w:r>
    </w:p>
    <w:p>
      <w:pPr>
        <w:spacing w:after="0" w:line="136"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provide our services under contracts with our clients, which typically have terms of three or more years, with some being contracts with no end dates. These contracts provide us with a relatively predictable revenue base for a substantial portion of our digital operations and solutions business. However, our clients can typically terminate these contracts with or without cause and with short notice periods.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36" w:lineRule="exact"/>
        <w:rPr>
          <w:sz w:val="20"/>
          <w:szCs w:val="20"/>
          <w:color w:val="auto"/>
        </w:rPr>
      </w:pPr>
    </w:p>
    <w:p>
      <w:pPr>
        <w:jc w:val="both"/>
        <w:ind w:firstLine="394"/>
        <w:spacing w:after="0" w:line="238" w:lineRule="auto"/>
        <w:rPr>
          <w:sz w:val="20"/>
          <w:szCs w:val="20"/>
          <w:color w:val="auto"/>
        </w:rPr>
      </w:pPr>
      <w:r>
        <w:rPr>
          <w:rFonts w:ascii="Times New Roman" w:cs="Times New Roman" w:eastAsia="Times New Roman" w:hAnsi="Times New Roman"/>
          <w:sz w:val="18"/>
          <w:szCs w:val="18"/>
          <w:color w:val="auto"/>
        </w:rPr>
        <w:t>We charge for our services using various pricing models like time-and-material pricing, full-time-equivalent pricing, transaction-based pricing, outcome-based pricing, subscription-based pricing and other alternative pricing models. Outcome-based pricing arrangements are examples of non-linear pricing models where clients link revenues from platforms and solutions and the services we provide to usage or savings rather than the efforts deployed to provide these services. We continue to observe a shift in the industry pricing models toward transaction-based pricing, outcome-based pricing and other alternative pricing models. We believe this trend will continue and we use such alternative pricing models with some of our current clients and are seeking to move certain other clients from a full-time-equivalent pricing model to a transaction-based or other alternative pricing model. These alternative pricing models place the focus on operating efficiency in order to maintain or improve our gross margins.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color w:val="auto"/>
        </w:rPr>
        <w:t>We have also observed that prospective larger clients are entering into multi-vendor relationships with regard to their digital operations and solutions needs to seek more favorable contract terms and diversification of the risk of concentration on a few vendors.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21" w:lineRule="exact"/>
        <w:rPr>
          <w:sz w:val="20"/>
          <w:szCs w:val="20"/>
          <w:color w:val="auto"/>
        </w:rPr>
      </w:pPr>
    </w:p>
    <w:p>
      <w:pPr>
        <w:jc w:val="both"/>
        <w:ind w:firstLine="394"/>
        <w:spacing w:after="0" w:line="260" w:lineRule="auto"/>
        <w:rPr>
          <w:sz w:val="20"/>
          <w:szCs w:val="20"/>
          <w:color w:val="auto"/>
        </w:rPr>
      </w:pPr>
      <w:r>
        <w:rPr>
          <w:rFonts w:ascii="Times New Roman" w:cs="Times New Roman" w:eastAsia="Times New Roman" w:hAnsi="Times New Roman"/>
          <w:sz w:val="16"/>
          <w:szCs w:val="16"/>
          <w:i w:val="1"/>
          <w:iCs w:val="1"/>
          <w:color w:val="auto"/>
        </w:rPr>
        <w:t xml:space="preserve">Analytics: </w:t>
      </w:r>
      <w:r>
        <w:rPr>
          <w:rFonts w:ascii="Times New Roman" w:cs="Times New Roman" w:eastAsia="Times New Roman" w:hAnsi="Times New Roman"/>
          <w:sz w:val="16"/>
          <w:szCs w:val="16"/>
          <w:color w:val="auto"/>
        </w:rPr>
        <w:t>Our analytics services aim to drive better business outcomes for our clients by unlocking deep insights from data and creating data and AI-led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solutions across all parts of our clients’ business. We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Analytics teams deliver predictive and prescriptive analytics in the areas of customer acquisition and life cycle management, risk underwriting and pricing, operational effectiveness, credit and operational risk monitoring and governance, regulatory reporting and data management. We enhance, modernize and enrich structured and unstructured data and use a spectrum of advanced analytical tools and techniques, including our in-house and third-party AI, generative AI, and ML capabilities and proprietary solutions to create insights, improve decision making for our clients and address a range of complex industry-wide priorities. We actively cross-sell and, where appropriate, integrate our analytics services with other digital operations and solutions as part of a comprehensive offering for our clients. Our project-based analytics services are cyclical and can be significantly affected by variations in business cycles. In addition, our project-based analytics services are documented in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fluctuations and uncertainties in the revenues generated from providing analytics services.</w:t>
      </w:r>
    </w:p>
    <w:p>
      <w:pPr>
        <w:spacing w:after="0" w:line="331"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3" w:lineRule="exact"/>
        <w:rPr>
          <w:sz w:val="20"/>
          <w:szCs w:val="20"/>
          <w:color w:val="auto"/>
        </w:rPr>
      </w:pPr>
    </w:p>
    <w:p>
      <w:pPr>
        <w:jc w:val="both"/>
        <w:ind w:firstLine="394"/>
        <w:spacing w:after="0" w:line="249" w:lineRule="auto"/>
        <w:rPr>
          <w:sz w:val="20"/>
          <w:szCs w:val="20"/>
          <w:color w:val="auto"/>
        </w:rPr>
      </w:pPr>
      <w:r>
        <w:rPr>
          <w:rFonts w:ascii="Times New Roman" w:cs="Times New Roman" w:eastAsia="Times New Roman" w:hAnsi="Times New Roman"/>
          <w:sz w:val="18"/>
          <w:szCs w:val="18"/>
          <w:color w:val="auto"/>
        </w:rPr>
        <w:t>The Organization for Economic Cooperation and Development, issued a Pillar II model for implementing a 15% global minimum tax effective January 1, 2024. The application of the rules relating to Pillar II continue to evolve, and there are countries that are still in the process of issuing attendant rules and regulations, including available transitional safe harbor rules. The two countries where we operate but do not meet the available safe harbor rules are the Republic of Ireland and the Philippines. The Pillar II impacts for the Republic of Ireland and the Philippines are not significant and have been properly reflected in our financial statements. We will continue to monitor Pillar II developments and assess any future impacts.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3"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There have been no significant changes in our critical accounting policies and estimates during the three months ended March 31, 2024, as compared to the critical accounting policies and estimates referred in Part II, Item 7, “Management’s Discussion and Analysis of Financial Condition and Results of Operations” under “Critical Accounting Policies and Estimates” and Note 2 - Summary of Significant Accounting Policies to our consolidated financial statements included in our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w:t>
      </w:r>
    </w:p>
    <w:p>
      <w:pPr>
        <w:spacing w:after="0" w:line="194"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0" w:type="dxa"/>
            <w:vAlign w:val="bottom"/>
          </w:tcPr>
          <w:p>
            <w:pPr>
              <w:spacing w:after="0"/>
              <w:rPr>
                <w:sz w:val="1"/>
                <w:szCs w:val="1"/>
                <w:color w:val="auto"/>
              </w:rPr>
            </w:pPr>
          </w:p>
        </w:tc>
      </w:tr>
      <w:tr>
        <w:trPr>
          <w:trHeight w:val="275"/>
        </w:trPr>
        <w:tc>
          <w:tcPr>
            <w:tcW w:w="3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ended March</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ended March</w:t>
            </w: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31, 2024</w:t>
            </w:r>
          </w:p>
        </w:tc>
        <w:tc>
          <w:tcPr>
            <w:tcW w:w="80" w:type="dxa"/>
            <w:vAlign w:val="bottom"/>
          </w:tcPr>
          <w:p>
            <w:pPr>
              <w:spacing w:after="0"/>
              <w:rPr>
                <w:sz w:val="19"/>
                <w:szCs w:val="19"/>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(B)</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Revenues, net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vMerge w:val="restart"/>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(C=A-B)</w:t>
            </w:r>
          </w:p>
        </w:tc>
        <w:tc>
          <w:tcPr>
            <w:tcW w:w="100" w:type="dxa"/>
            <w:vAlign w:val="bottom"/>
          </w:tcPr>
          <w:p>
            <w:pPr>
              <w:spacing w:after="0"/>
              <w:rPr>
                <w:sz w:val="16"/>
                <w:szCs w:val="16"/>
                <w:color w:val="auto"/>
              </w:rPr>
            </w:pPr>
          </w:p>
        </w:tc>
        <w:tc>
          <w:tcPr>
            <w:tcW w:w="96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3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32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436.5</w:t>
            </w: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Cost of revenues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273.4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shd w:val="clear" w:color="auto" w:fill="CCEEFF"/>
          </w:tcPr>
          <w:p>
            <w:pPr>
              <w:ind w:left="20"/>
              <w:spacing w:after="0" w:line="204" w:lineRule="exact"/>
              <w:rPr>
                <w:sz w:val="20"/>
                <w:szCs w:val="20"/>
                <w:color w:val="auto"/>
              </w:rPr>
            </w:pPr>
            <w:r>
              <w:rPr>
                <w:rFonts w:ascii="Times New Roman" w:cs="Times New Roman" w:eastAsia="Times New Roman" w:hAnsi="Times New Roman"/>
                <w:sz w:val="16"/>
                <w:szCs w:val="16"/>
                <w:b w:val="1"/>
                <w:bCs w:val="1"/>
                <w:color w:val="auto"/>
              </w:rPr>
              <w:t>Gross profit</w:t>
            </w:r>
            <w:r>
              <w:rPr>
                <w:rFonts w:ascii="Times New Roman" w:cs="Times New Roman" w:eastAsia="Times New Roman" w:hAnsi="Times New Roman"/>
                <w:sz w:val="20"/>
                <w:szCs w:val="20"/>
                <w:b w:val="1"/>
                <w:bCs w:val="1"/>
                <w:color w:val="auto"/>
                <w:vertAlign w:val="superscript"/>
              </w:rPr>
              <w:t>(1)</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163.1</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149.1</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37.2 %</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9.3 %</w:t>
            </w: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53.2</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0" w:type="dxa"/>
            <w:vAlign w:val="bottom"/>
          </w:tcPr>
          <w:p>
            <w:pPr>
              <w:spacing w:after="0"/>
              <w:rPr>
                <w:sz w:val="1"/>
                <w:szCs w:val="1"/>
                <w:color w:val="auto"/>
              </w:rPr>
            </w:pPr>
          </w:p>
        </w:tc>
      </w:tr>
      <w:tr>
        <w:trPr>
          <w:trHeight w:val="202"/>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101.6</w:t>
            </w:r>
          </w:p>
        </w:tc>
        <w:tc>
          <w:tcPr>
            <w:tcW w:w="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operations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61.5</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59.4</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3.5 %</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exchange gain, net</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8"/>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40"/>
        </w:trPr>
        <w:tc>
          <w:tcPr>
            <w:tcW w:w="32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Income before income tax expense and</w:t>
            </w: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62.6</w:t>
            </w:r>
          </w:p>
        </w:tc>
        <w:tc>
          <w:tcPr>
            <w:tcW w:w="8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14.3 %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59.3</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14.8 %</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5.4 %</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equity affiliates</w:t>
            </w: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4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0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earnings from equity affiliates</w:t>
            </w: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48.8</w:t>
            </w:r>
          </w:p>
        </w:tc>
        <w:tc>
          <w:tcPr>
            <w:tcW w:w="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51.2</w:t>
            </w: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12.8 %</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0" w:type="dxa"/>
            <w:vAlign w:val="bottom"/>
          </w:tcPr>
          <w:p>
            <w:pPr>
              <w:spacing w:after="0"/>
              <w:rPr>
                <w:sz w:val="1"/>
                <w:szCs w:val="1"/>
                <w:color w:val="auto"/>
              </w:rPr>
            </w:pPr>
          </w:p>
        </w:tc>
      </w:tr>
      <w:tr>
        <w:trPr>
          <w:trHeight w:val="208"/>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 from equity-method investment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(142.4) %</w:t>
            </w:r>
          </w:p>
        </w:tc>
        <w:tc>
          <w:tcPr>
            <w:tcW w:w="0" w:type="dxa"/>
            <w:vAlign w:val="bottom"/>
          </w:tcPr>
          <w:p>
            <w:pPr>
              <w:spacing w:after="0"/>
              <w:rPr>
                <w:sz w:val="1"/>
                <w:szCs w:val="1"/>
                <w:color w:val="auto"/>
              </w:rPr>
            </w:pPr>
          </w:p>
        </w:tc>
      </w:tr>
      <w:tr>
        <w:trPr>
          <w:trHeight w:val="140"/>
        </w:trPr>
        <w:tc>
          <w:tcPr>
            <w:tcW w:w="324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b w:val="1"/>
                <w:bCs w:val="1"/>
                <w:color w:val="auto"/>
              </w:rPr>
              <w:t>Net income attributable to ExlService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48.8</w:t>
            </w:r>
          </w:p>
        </w:tc>
        <w:tc>
          <w:tcPr>
            <w:tcW w:w="8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11.2 %</w:t>
            </w:r>
          </w:p>
        </w:tc>
        <w:tc>
          <w:tcPr>
            <w:tcW w:w="8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51.3</w:t>
            </w:r>
          </w:p>
        </w:tc>
        <w:tc>
          <w:tcPr>
            <w:tcW w:w="100" w:type="dxa"/>
            <w:vAlign w:val="bottom"/>
            <w:shd w:val="clear" w:color="auto" w:fill="CCEEFF"/>
          </w:tcPr>
          <w:p>
            <w:pPr>
              <w:spacing w:after="0"/>
              <w:rPr>
                <w:sz w:val="12"/>
                <w:szCs w:val="12"/>
                <w:color w:val="auto"/>
              </w:rPr>
            </w:pPr>
          </w:p>
        </w:tc>
        <w:tc>
          <w:tcPr>
            <w:tcW w:w="13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12.8 %</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w:t>
            </w:r>
          </w:p>
        </w:tc>
        <w:tc>
          <w:tcPr>
            <w:tcW w:w="1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0" w:type="dxa"/>
            <w:vAlign w:val="bottom"/>
          </w:tcPr>
          <w:p>
            <w:pPr>
              <w:spacing w:after="0"/>
              <w:rPr>
                <w:sz w:val="1"/>
                <w:szCs w:val="1"/>
                <w:color w:val="auto"/>
              </w:rPr>
            </w:pPr>
          </w:p>
        </w:tc>
      </w:tr>
      <w:tr>
        <w:trPr>
          <w:trHeight w:val="204"/>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Holdings, Inc. stockholders</w:t>
            </w:r>
          </w:p>
        </w:tc>
        <w:tc>
          <w:tcPr>
            <w:tcW w:w="1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40" w:type="dxa"/>
            <w:vAlign w:val="bottom"/>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(1) Exclusive of depreciation and amortization expense.</w:t>
      </w:r>
    </w:p>
    <w:p>
      <w:pPr>
        <w:spacing w:after="0" w:line="161" w:lineRule="exact"/>
        <w:rPr>
          <w:sz w:val="20"/>
          <w:szCs w:val="20"/>
          <w:color w:val="auto"/>
        </w:rPr>
      </w:pPr>
    </w:p>
    <w:p>
      <w:pPr>
        <w:ind w:left="480"/>
        <w:spacing w:after="0" w:line="270" w:lineRule="auto"/>
        <w:rPr>
          <w:sz w:val="20"/>
          <w:szCs w:val="20"/>
          <w:color w:val="auto"/>
        </w:rPr>
      </w:pPr>
      <w:r>
        <w:rPr>
          <w:rFonts w:ascii="Times New Roman" w:cs="Times New Roman" w:eastAsia="Times New Roman" w:hAnsi="Times New Roman"/>
          <w:sz w:val="18"/>
          <w:szCs w:val="18"/>
          <w:i w:val="1"/>
          <w:iCs w:val="1"/>
          <w:color w:val="auto"/>
        </w:rPr>
        <w:t>Due to rounding, the numbers presented in the tables included in this Part I, Item 2, “Management’s Discussion and Analysis of Financial Condition and Results of Operations” may not add up precisely to the totals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 Compared to Three Months Ended March 31, 2023</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w:t>
      </w:r>
    </w:p>
    <w:p>
      <w:pPr>
        <w:spacing w:after="0" w:line="21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760" w:type="dxa"/>
            <w:vAlign w:val="bottom"/>
            <w:gridSpan w:val="6"/>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 Total Revenues for the three</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276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880" w:type="dxa"/>
            <w:vAlign w:val="bottom"/>
            <w:gridSpan w:val="3"/>
          </w:tcPr>
          <w:p>
            <w:pPr>
              <w:jc w:val="center"/>
              <w:ind w:left="799"/>
              <w:spacing w:after="0"/>
              <w:rPr>
                <w:sz w:val="20"/>
                <w:szCs w:val="20"/>
                <w:color w:val="auto"/>
              </w:rPr>
            </w:pPr>
            <w:r>
              <w:rPr>
                <w:rFonts w:ascii="Times New Roman" w:cs="Times New Roman" w:eastAsia="Times New Roman" w:hAnsi="Times New Roman"/>
                <w:sz w:val="14"/>
                <w:szCs w:val="14"/>
                <w:b w:val="1"/>
                <w:bCs w:val="1"/>
                <w:color w:val="auto"/>
              </w:rPr>
              <w:t>months ended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3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2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23"/>
        </w:trPr>
        <w:tc>
          <w:tcPr>
            <w:tcW w:w="2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190.7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43.7 %</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45.4 %</w:t>
            </w:r>
          </w:p>
        </w:tc>
        <w:tc>
          <w:tcPr>
            <w:tcW w:w="0" w:type="dxa"/>
            <w:vAlign w:val="bottom"/>
          </w:tcPr>
          <w:p>
            <w:pPr>
              <w:spacing w:after="0"/>
              <w:rPr>
                <w:sz w:val="1"/>
                <w:szCs w:val="1"/>
                <w:color w:val="auto"/>
              </w:rPr>
            </w:pPr>
          </w:p>
        </w:tc>
      </w:tr>
      <w:tr>
        <w:trPr>
          <w:trHeight w:val="242"/>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436.5</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Revenues for the three months ended March 31, 2024 were up by $35.9 million, or 9.0%, compared to the three months ended March 31, 2023, driven primarily by revenue growth from our new and existing clients in the Insurance, Emerging Business and Analytics reportable segments.</w:t>
      </w:r>
    </w:p>
    <w:p>
      <w:pPr>
        <w:spacing w:after="0" w:line="11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Insurance of $19.2 million was primarily driven by expansion of business from our new and existing clients of $19.6 million. This was partially offset by a loss of $0.4 million, mainly attributable to the depreciation of the Australian dollar against the U.S. dollar during the three months ended March 31, 2024, compared to the three months ended March 31, 2023.</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decline in Healthcare of $0.4 million was primarily driven by the ramp-down in certain existing clients of $1.3 million. This was partially offset by expansion of business from our existing clients of $0.9 million during the three months ended March 31, 2024, compared to the three months ended March 31, 2023.</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Emerging Business of $8.2 million was primarily driven by expansion of business from our new and existing clients of $7.9 million and an increase in revenues of $0.3 million, mainly attributable to the appreciation of the U.K. pound sterling against the U.S. dollar during the three months ended March 31, 2024, compared to the three months ended March 31, 2023.</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Revenue growth in Analytics of $8.9 million was primarily driven by higher volumes in our annuity and project-based engagements from our new and existing clients of $8.4 million and an increase in revenues of $0.5 million, mainly attributable to the appreciation of the U.K. pound sterling against the U.S. dollar during the three months ended March 31, 2024, compared to the three months ended March 31, 2023.</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 (%)</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Dollar</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27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00" w:type="dxa"/>
            <w:vAlign w:val="bottom"/>
            <w:vMerge w:val="restart"/>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52"/>
        </w:trPr>
        <w:tc>
          <w:tcPr>
            <w:tcW w:w="26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00" w:type="dxa"/>
            <w:vAlign w:val="bottom"/>
            <w:tcBorders>
              <w:top w:val="single" w:sz="8" w:color="auto"/>
            </w:tcBorders>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60" w:type="dxa"/>
            <w:vAlign w:val="bottom"/>
            <w:tcBorders>
              <w:top w:val="single" w:sz="8" w:color="auto"/>
            </w:tcBorders>
            <w:vMerge w:val="restart"/>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60" w:type="dxa"/>
            <w:vAlign w:val="bottom"/>
            <w:tcBorders>
              <w:top w:val="single" w:sz="8" w:color="auto"/>
            </w:tcBorders>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60" w:type="dxa"/>
            <w:vAlign w:val="bottom"/>
            <w:tcBorders>
              <w:top w:val="single" w:sz="8" w:color="auto"/>
            </w:tcBorders>
            <w:gridSpan w:val="2"/>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126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2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Emerging Business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45.6 %</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37.1 %</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2"/>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Cost of revenues for the three months ended March 31, 2024 increased by $21.9 million, or 8.7% compared to the three months ended March 31, 2023. The increase in cost of revenues was primarily due to increases in employee-related costs and technology costs, partially offset by foreign exchange gain, net of hedging. Our gross margin for the three months ended March 31, 2024 was 37.4% compared to 37.2% for the three months ended March 31, 2023, an increase of 20 basis points (“bps”)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primarily driven by higher revenues and operational efficiencies, partially offset by increases in employee-related costs during the three months ended March 31, 2024, compared to the three months ended March 31, 2023.</w:t>
      </w:r>
    </w:p>
    <w:p>
      <w:pPr>
        <w:spacing w:after="0" w:line="103" w:lineRule="exact"/>
        <w:rPr>
          <w:sz w:val="20"/>
          <w:szCs w:val="20"/>
          <w:color w:val="auto"/>
        </w:rPr>
      </w:pPr>
    </w:p>
    <w:p>
      <w:pPr>
        <w:jc w:val="both"/>
        <w:ind w:firstLine="394"/>
        <w:spacing w:after="0" w:line="234" w:lineRule="auto"/>
        <w:rPr>
          <w:sz w:val="20"/>
          <w:szCs w:val="20"/>
          <w:color w:val="auto"/>
        </w:rPr>
      </w:pPr>
      <w:r>
        <w:rPr>
          <w:rFonts w:ascii="Times New Roman" w:cs="Times New Roman" w:eastAsia="Times New Roman" w:hAnsi="Times New Roman"/>
          <w:sz w:val="18"/>
          <w:szCs w:val="18"/>
          <w:color w:val="auto"/>
        </w:rPr>
        <w:t>The increase in cost of revenues in Insurance of $10.0 million for the three months ended March 31, 2024 was primarily due to increases in employee-related costs of $8.8 million on account of higher headcount and wage inflation, higher technology costs of $1.3 million on account of increased subscription to cloud-based software licenses and use of the hybrid working model and higher other operating costs of $1.4 million, partially offset by foreign exchange gain, net of hedging of $1.5 million. Gross margin in Insurance increased by 180 bps during the three months ended March 31, 2024, compared to the three months ended March 31, 2023, primarily due to higher revenues and operational efficiencies during the three months ended March 31, 2024, compared to the three months ended March 31, 2023.</w:t>
      </w:r>
    </w:p>
    <w:p>
      <w:pPr>
        <w:spacing w:after="0" w:line="130"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color w:val="auto"/>
        </w:rPr>
        <w:t>The decrease in cost of revenues in Healthcare of $1.5 million for the three months ended March 31, 2024 was primarily due to lower facilities costs of $0.5 million resulting from optimization of office space, lower other operating costs of $0.7 million and foreign exchange gain, net of hedging of $0.3 million. Gross margin in Healthcare increased by 440 bps during the three months ended March 31, 2024, compared to the three months ended March 31, 2023, primarily due to operational efficiencies during the three months ended March 31, 2024, compared to the three months ended March 31, 2023.</w:t>
      </w:r>
    </w:p>
    <w:p>
      <w:pPr>
        <w:spacing w:after="0" w:line="208" w:lineRule="exact"/>
        <w:rPr>
          <w:sz w:val="20"/>
          <w:szCs w:val="20"/>
          <w:color w:val="auto"/>
        </w:rPr>
      </w:pPr>
    </w:p>
    <w:p>
      <w:pPr>
        <w:jc w:val="both"/>
        <w:ind w:firstLine="394"/>
        <w:spacing w:after="0" w:line="235" w:lineRule="auto"/>
        <w:rPr>
          <w:sz w:val="20"/>
          <w:szCs w:val="20"/>
          <w:color w:val="auto"/>
        </w:rPr>
      </w:pPr>
      <w:r>
        <w:rPr>
          <w:rFonts w:ascii="Times New Roman" w:cs="Times New Roman" w:eastAsia="Times New Roman" w:hAnsi="Times New Roman"/>
          <w:sz w:val="18"/>
          <w:szCs w:val="18"/>
          <w:color w:val="auto"/>
        </w:rPr>
        <w:t>The increase in cost of revenues in Emerging Business of $5.0 million for the three months ended March 31, 2024 was primarily due to increases in employee-related costs of $5.1 million on account of higher headcount and wage inflation and higher other operating costs $0.6 million, partially offset by foreign exchange gain, net of hedging of $0.7 million. Gross margin in Emerging Business decreased by 70 bps during the three months ended March 31, 2024, compared to the three months ended March 31, 2023, primarily due to lower margins associated with higher costs during ramp-ups in certain existing and new clients during the three months ended March 31, 2024, compared to the three months ended March 31, 2023.</w:t>
      </w:r>
    </w:p>
    <w:p>
      <w:pPr>
        <w:spacing w:after="0" w:line="209" w:lineRule="exact"/>
        <w:rPr>
          <w:sz w:val="20"/>
          <w:szCs w:val="20"/>
          <w:color w:val="auto"/>
        </w:rPr>
      </w:pPr>
    </w:p>
    <w:p>
      <w:pPr>
        <w:jc w:val="both"/>
        <w:ind w:firstLine="394"/>
        <w:spacing w:after="0" w:line="232" w:lineRule="auto"/>
        <w:rPr>
          <w:sz w:val="20"/>
          <w:szCs w:val="20"/>
          <w:color w:val="auto"/>
        </w:rPr>
      </w:pPr>
      <w:r>
        <w:rPr>
          <w:rFonts w:ascii="Times New Roman" w:cs="Times New Roman" w:eastAsia="Times New Roman" w:hAnsi="Times New Roman"/>
          <w:sz w:val="18"/>
          <w:szCs w:val="18"/>
          <w:color w:val="auto"/>
        </w:rPr>
        <w:t>The increase in cost of revenues in Analytics of $8.4 million for the three months ended March 31, 2024 was primarily due to increases in employee-related costs of $8.6 million on account of higher headcount and wage inflation and higher technology costs of $1.7 million on account of increased subscription to cloud-based software licenses and use of the hybrid working model, partially offset by lower other operating costs of $1.1 million and foreign exchange gain, net of hedging of $0.8 million. Gross margin in Analytics decreased by 150 bps during the three months ended March 31, 2024, compared to the three months ended March 31, 2023, primarily due to increases in employee-related costs, partially offset by higher revenues during the three months ended March 31, 2024, compared to the three months ended March 31, 2023.</w:t>
      </w:r>
    </w:p>
    <w:p>
      <w:pPr>
        <w:spacing w:after="0" w:line="200" w:lineRule="exact"/>
        <w:rPr>
          <w:sz w:val="20"/>
          <w:szCs w:val="20"/>
          <w:color w:val="auto"/>
        </w:rPr>
      </w:pPr>
    </w:p>
    <w:p>
      <w:pPr>
        <w:spacing w:after="0" w:line="2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211"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4"/>
        </w:trPr>
        <w:tc>
          <w:tcPr>
            <w:tcW w:w="4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29.5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76.2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The increase in SG&amp;A expenses of $13.0 million was primarily due to increases in employee-related costs of $7.9 million on account of higher headcount and wage inflation, higher investments in digital and generative AI capabilities of $3.9 million, higher sales and marketing spend of $0.5 million and higher other operating costs of $1.1 million. This was partially offset by foreign exchange gain, net of hedging of $0.4 million, during the three months ended March 31, 2024, compared to the three months ended March 31, 2023.</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5"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2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63"/>
        </w:trPr>
        <w:tc>
          <w:tcPr>
            <w:tcW w:w="4620" w:type="dxa"/>
            <w:vAlign w:val="bottom"/>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r>
      <w:tr>
        <w:trPr>
          <w:trHeight w:val="219"/>
        </w:trPr>
        <w:tc>
          <w:tcPr>
            <w:tcW w:w="4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0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4"/>
        </w:trPr>
        <w:tc>
          <w:tcPr>
            <w:tcW w:w="46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84"/>
        </w:trPr>
        <w:tc>
          <w:tcPr>
            <w:tcW w:w="4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20" w:type="dxa"/>
            <w:vAlign w:val="bottom"/>
            <w:tcBorders>
              <w:bottom w:val="single" w:sz="8" w:color="auto"/>
            </w:tcBorders>
            <w:shd w:val="clear" w:color="auto" w:fill="CCEEFF"/>
          </w:tcPr>
          <w:p>
            <w:pPr>
              <w:jc w:val="right"/>
              <w:ind w:right="64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The depreciation expense remained flat at $9.3 million during the three months ended March 31, 2024, compared to the three months ended March 31, 2023. The decrease in intangibles amortization expense of $1.1 million during the three months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March 31, 2024, compared to the three months ended March 31, 2023, was primarily due to end of useful lives for certain intangible assets.</w:t>
      </w:r>
    </w:p>
    <w:p>
      <w:pPr>
        <w:spacing w:after="0" w:line="144"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$2.1 million, or 3.5%, from $59.4 million for the three months ended March 31, 2023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$61.5 million for the three months ended March 31, 2024, primarily due to higher revenues and higher gross margins, partially offset by higher SG&amp;A expenses during the three months ended March 31, 2024.</w:t>
      </w:r>
    </w:p>
    <w:p>
      <w:pPr>
        <w:spacing w:after="0" w:line="134" w:lineRule="exact"/>
        <w:rPr>
          <w:sz w:val="20"/>
          <w:szCs w:val="20"/>
          <w:color w:val="auto"/>
        </w:rPr>
      </w:pPr>
    </w:p>
    <w:p>
      <w:pPr>
        <w:jc w:val="both"/>
        <w:ind w:firstLine="394"/>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 net. </w:t>
      </w:r>
      <w:r>
        <w:rPr>
          <w:rFonts w:ascii="Times New Roman" w:cs="Times New Roman" w:eastAsia="Times New Roman" w:hAnsi="Times New Roman"/>
          <w:sz w:val="18"/>
          <w:szCs w:val="18"/>
          <w:color w:val="auto"/>
        </w:rPr>
        <w:t>Foreign exchange gains and losses are primarily attributable to the movement of the U.S. dollar against the Indian rupee,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Philippine peso, the U.K. pound sterling and the South African rand during the three months ended March 31, 2024, compared to the three months ended March 31, 2023. The average exchange rate of the U.S. dollar against the Indian rupee increased from 82.25 during the three months ended March 31, 2023 to 83.12 during the three months ended March 31, 2024. The average exchange rate of the U.S. dollar against the Philippine peso increased from 54.78 during the three months ended March 31, 2023 to 56.24 during the three months ended March 31, 2024. The average exchange rate of the U.K. pound sterling against the U.S. dollar increased from 1.23 during the three months ended March 31, 2023 to 1.27 during the three months ended March 31, 2024. The average exchange rate of the U.S. dollar against the South African rand increased from 17.90 during the three months ended March 31, 2023 to 18.96 during the three months ended March 31, 2024.</w:t>
      </w:r>
    </w:p>
    <w:p>
      <w:pPr>
        <w:spacing w:after="0" w:line="133" w:lineRule="exact"/>
        <w:rPr>
          <w:sz w:val="20"/>
          <w:szCs w:val="20"/>
          <w:color w:val="auto"/>
        </w:rPr>
      </w:pPr>
    </w:p>
    <w:p>
      <w:pPr>
        <w:jc w:val="both"/>
        <w:ind w:firstLine="394"/>
        <w:spacing w:after="0" w:line="268" w:lineRule="auto"/>
        <w:rPr>
          <w:sz w:val="20"/>
          <w:szCs w:val="20"/>
          <w:color w:val="auto"/>
        </w:rPr>
      </w:pPr>
      <w:r>
        <w:rPr>
          <w:rFonts w:ascii="Times New Roman" w:cs="Times New Roman" w:eastAsia="Times New Roman" w:hAnsi="Times New Roman"/>
          <w:sz w:val="18"/>
          <w:szCs w:val="18"/>
          <w:color w:val="auto"/>
        </w:rPr>
        <w:t>We recorded a foreign exchange gain, net of $0.1 million for the three months ended March 31, 2023 compared to a foreign exchange gain, net of $0.4 million for the three months ended March 31, 2024.</w:t>
      </w:r>
    </w:p>
    <w:p>
      <w:pPr>
        <w:spacing w:after="0" w:line="99" w:lineRule="exact"/>
        <w:rPr>
          <w:sz w:val="20"/>
          <w:szCs w:val="20"/>
          <w:color w:val="auto"/>
        </w:rPr>
      </w:pPr>
    </w:p>
    <w:p>
      <w:pPr>
        <w:jc w:val="both"/>
        <w:ind w:firstLine="394"/>
        <w:spacing w:after="0" w:line="238"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color w:val="auto"/>
        </w:rPr>
        <w:t>. Interest expense decreased from $3.4 million for the three months ended March 31, 2023 to $3.3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2024, primarily due to a lower average outstanding balance under our revolving credit facility during the three months ended March 31, 2024, compared to the three months ended March 31, 2023, partially offset by a higher effective interest rate of 6.7% during the three months ended March 31, 2024, compared to 5.9% during the three months ended March 31, 2023.</w:t>
      </w:r>
    </w:p>
    <w:p>
      <w:pPr>
        <w:spacing w:after="0" w:line="1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000" w:type="dxa"/>
            <w:vAlign w:val="bottom"/>
            <w:gridSpan w:val="7"/>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89"/>
        </w:trPr>
        <w:tc>
          <w:tcPr>
            <w:tcW w:w="49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31,</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192"/>
        </w:trPr>
        <w:tc>
          <w:tcPr>
            <w:tcW w:w="49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34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89"/>
        </w:trPr>
        <w:tc>
          <w:tcPr>
            <w:tcW w:w="49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fair value mark-to-market on investments</w:t>
            </w: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3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w w:val="98"/>
              </w:rPr>
              <w:t>(0.7)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center"/>
              <w:ind w:left="655"/>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changes of contingent consideration</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7"/>
              </w:rPr>
              <w:t>0.6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 net</w:t>
            </w: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0.1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55"/>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2"/>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tcBorders>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4.0</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655"/>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394"/>
        <w:spacing w:after="0" w:line="252" w:lineRule="auto"/>
        <w:rPr>
          <w:sz w:val="20"/>
          <w:szCs w:val="20"/>
          <w:color w:val="auto"/>
        </w:rPr>
      </w:pPr>
      <w:r>
        <w:rPr>
          <w:rFonts w:ascii="Times New Roman" w:cs="Times New Roman" w:eastAsia="Times New Roman" w:hAnsi="Times New Roman"/>
          <w:sz w:val="18"/>
          <w:szCs w:val="18"/>
          <w:color w:val="auto"/>
        </w:rPr>
        <w:t>Other income, net increased by $0.8 million, from $3.2 million for the three months ended March 31, 2023 to $4.0 million for the three months ended March 31, 2024. The increase is primarily due to a decrease of $0.6 million in contingent consideration liability related to our June 2022 acquisition of Inbound Media Group, LLC as a result of fair value adjustment and lower other expenses of $0.3 million during the three months ended March 31, 2024, compared to the three months ended March 31, 2023.</w:t>
      </w:r>
    </w:p>
    <w:p>
      <w:pPr>
        <w:spacing w:after="0" w:line="112" w:lineRule="exact"/>
        <w:rPr>
          <w:sz w:val="20"/>
          <w:szCs w:val="20"/>
          <w:color w:val="auto"/>
        </w:rPr>
      </w:pPr>
    </w:p>
    <w:p>
      <w:pPr>
        <w:jc w:val="both"/>
        <w:ind w:firstLine="394"/>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effective tax rate increased from 13.6% during the three months ended March 31, 2023 to 22.0% during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March 31, 2024. We recorded income tax expense of $13.8 million and $8.1 million for the three months ended March 31, 2024 and 2023, respectively. The increase in income tax expense was primarily as a result of higher profit during the three months ended March 31, 2024, compared to the three months ended March 31, 2023, and lower excess tax benefits related to stock-based compensation during the three months ended March 31, 2024, compared to the three months ended March 31, 2023.</w:t>
      </w:r>
    </w:p>
    <w:p>
      <w:pPr>
        <w:spacing w:after="0" w:line="205" w:lineRule="exact"/>
        <w:rPr>
          <w:sz w:val="20"/>
          <w:szCs w:val="20"/>
          <w:color w:val="auto"/>
        </w:rPr>
      </w:pPr>
    </w:p>
    <w:p>
      <w:pPr>
        <w:jc w:val="both"/>
        <w:ind w:firstLine="394"/>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decreased from $51.3 million for the three months ended March 31, 2023 to $48.8 million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primarily due to higher income tax expense of $5.7 million, partially offset by an increase in income from operations of $2.1 million, higher other income, net of $0.8 million, higher foreign exchange gain, net of $0.3 million and lower interest expense of $0.1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11" w:lineRule="exact"/>
        <w:rPr>
          <w:sz w:val="20"/>
          <w:szCs w:val="20"/>
          <w:color w:val="auto"/>
        </w:rPr>
      </w:pPr>
    </w:p>
    <w:tbl>
      <w:tblPr>
        <w:tblLayout w:type="fixed"/>
        <w:tblInd w:w="44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76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44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4"/>
        </w:trPr>
        <w:tc>
          <w:tcPr>
            <w:tcW w:w="5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80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for)/provided by operating activities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1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8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117.2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firstLine="434"/>
        <w:spacing w:after="0" w:line="248" w:lineRule="auto"/>
        <w:rPr>
          <w:sz w:val="20"/>
          <w:szCs w:val="20"/>
          <w:color w:val="auto"/>
        </w:rPr>
      </w:pPr>
      <w:r>
        <w:rPr>
          <w:rFonts w:ascii="Times New Roman" w:cs="Times New Roman" w:eastAsia="Times New Roman" w:hAnsi="Times New Roman"/>
          <w:sz w:val="18"/>
          <w:szCs w:val="18"/>
          <w:color w:val="auto"/>
        </w:rPr>
        <w:t>As of March 31, 2024 and 2023, we had $246.2 million and $203.8 million, respectively, in cash, cash equivalents and short-term investments, of which $213.7 million and $177.5 million, respectively, is located in foreign jurisdictions that upon distribution may be subject to withholding and other taxes. We periodically evaluate opportunities to distribute cash among our group entities to fund our operations, expand our business and make strategic acquisitions in the United States and other geographies, and as and when we decide to distribute, we may have to accrue additional taxes in accordance with local tax laws, rules and regulations in the relevant foreign jurisdictions. During the three months ended March 31, 2024, one of our subsidiaries in India repatriated $18.3 million (net of $1.0 million withholding taxes) to the United States.</w:t>
      </w:r>
    </w:p>
    <w:p>
      <w:pPr>
        <w:spacing w:after="0" w:line="134" w:lineRule="exact"/>
        <w:rPr>
          <w:sz w:val="20"/>
          <w:szCs w:val="20"/>
          <w:color w:val="auto"/>
        </w:rPr>
      </w:pPr>
    </w:p>
    <w:p>
      <w:pPr>
        <w:jc w:val="both"/>
        <w:ind w:firstLine="39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used for operating activities was $21.9 million during the three months ended March 31, 2024, compared to net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by operating activities of $16.0 million during the three months ended March 31, 2023, reflecting higher working capital needs and lower cash earnings. The major drivers contributing to the decrease of $37.9 million year-over-year included the following:</w:t>
      </w:r>
    </w:p>
    <w:p>
      <w:pPr>
        <w:spacing w:after="0" w:line="165" w:lineRule="exact"/>
        <w:rPr>
          <w:sz w:val="20"/>
          <w:szCs w:val="20"/>
          <w:color w:val="auto"/>
        </w:rPr>
      </w:pPr>
    </w:p>
    <w:p>
      <w:pPr>
        <w:jc w:val="both"/>
        <w:ind w:left="640" w:hanging="319"/>
        <w:spacing w:after="0" w:line="239" w:lineRule="auto"/>
        <w:tabs>
          <w:tab w:leader="none" w:pos="635" w:val="left"/>
        </w:tabs>
        <w:numPr>
          <w:ilvl w:val="0"/>
          <w:numId w:val="1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Decrease in cash earnings including adjustments for non-cash and other items contributed lower cash flow of $12.2 million during the three months ended March 31, 2024, compared to the three months ended March 31, 2023. These adjustments include fair value mark-to-market of investments, unrealized foreign currency exchange (gain)/loss, net, stock-based compensation expense, depreciation and amortization of long-lived assets and intangibles acquired in business combination, among others.</w:t>
      </w:r>
    </w:p>
    <w:p>
      <w:pPr>
        <w:spacing w:after="0" w:line="179" w:lineRule="exact"/>
        <w:rPr>
          <w:rFonts w:ascii="Times New Roman" w:cs="Times New Roman" w:eastAsia="Times New Roman" w:hAnsi="Times New Roman"/>
          <w:sz w:val="21"/>
          <w:szCs w:val="21"/>
          <w:b w:val="1"/>
          <w:bCs w:val="1"/>
          <w:i w:val="1"/>
          <w:iCs w:val="1"/>
          <w:color w:val="auto"/>
        </w:rPr>
      </w:pPr>
    </w:p>
    <w:p>
      <w:pPr>
        <w:jc w:val="both"/>
        <w:ind w:left="640" w:hanging="319"/>
        <w:spacing w:after="0" w:line="239" w:lineRule="auto"/>
        <w:tabs>
          <w:tab w:leader="none" w:pos="635" w:val="left"/>
        </w:tabs>
        <w:numPr>
          <w:ilvl w:val="0"/>
          <w:numId w:val="1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Changes in accounts receivable, including advance billings, contributed higher cash flow of $6.7 million during the three months ended March 31, 2024, compared to the three months ended March 31, 2023. Collections in accounts receivable, including advance billings was driven by revenue growth for the three months ended March 31, 2024. This was partially offset by increase in our days sales outstanding, which was 66 days as of March 31, 2024, compared to 65 days as of March 31, 2023.</w:t>
      </w:r>
    </w:p>
    <w:p>
      <w:pPr>
        <w:spacing w:after="0" w:line="179" w:lineRule="exact"/>
        <w:rPr>
          <w:rFonts w:ascii="Times New Roman" w:cs="Times New Roman" w:eastAsia="Times New Roman" w:hAnsi="Times New Roman"/>
          <w:sz w:val="21"/>
          <w:szCs w:val="21"/>
          <w:b w:val="1"/>
          <w:bCs w:val="1"/>
          <w:i w:val="1"/>
          <w:iCs w:val="1"/>
          <w:color w:val="auto"/>
        </w:rPr>
      </w:pPr>
    </w:p>
    <w:p>
      <w:pPr>
        <w:ind w:left="640" w:hanging="319"/>
        <w:spacing w:after="0" w:line="243" w:lineRule="auto"/>
        <w:tabs>
          <w:tab w:leader="none" w:pos="635" w:val="left"/>
        </w:tabs>
        <w:numPr>
          <w:ilvl w:val="0"/>
          <w:numId w:val="1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Payment of contingent consideration related to our December 2021 acquisition of Clairvoyant AI, Inc. (“Clairvoyant”) contributed to a higher cash payout of $11.0 million for the three months ended March 31, 2024, compared to the three months ended March 31, 2023.</w:t>
      </w:r>
    </w:p>
    <w:p>
      <w:pPr>
        <w:spacing w:after="0" w:line="176" w:lineRule="exact"/>
        <w:rPr>
          <w:rFonts w:ascii="Times New Roman" w:cs="Times New Roman" w:eastAsia="Times New Roman" w:hAnsi="Times New Roman"/>
          <w:sz w:val="21"/>
          <w:szCs w:val="21"/>
          <w:b w:val="1"/>
          <w:bCs w:val="1"/>
          <w:i w:val="1"/>
          <w:iCs w:val="1"/>
          <w:color w:val="auto"/>
        </w:rPr>
      </w:pPr>
    </w:p>
    <w:p>
      <w:pPr>
        <w:ind w:left="640" w:hanging="319"/>
        <w:spacing w:after="0" w:line="255" w:lineRule="auto"/>
        <w:tabs>
          <w:tab w:leader="none" w:pos="635" w:val="left"/>
        </w:tabs>
        <w:numPr>
          <w:ilvl w:val="0"/>
          <w:numId w:val="1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17"/>
          <w:szCs w:val="17"/>
          <w:color w:val="auto"/>
        </w:rPr>
        <w:t>Higher income tax payments, net of refunds, contributed higher cash payouts of $4.4 million, partially offset by provision for income tax and changes in deferred tax assets and liabilities of $7.9 million for the three months ended March 31, 2024, compared to the three months ended March 31, 2023.</w:t>
      </w:r>
    </w:p>
    <w:p>
      <w:pPr>
        <w:spacing w:after="0" w:line="152" w:lineRule="exact"/>
        <w:rPr>
          <w:rFonts w:ascii="Times New Roman" w:cs="Times New Roman" w:eastAsia="Times New Roman" w:hAnsi="Times New Roman"/>
          <w:sz w:val="20"/>
          <w:szCs w:val="20"/>
          <w:b w:val="1"/>
          <w:bCs w:val="1"/>
          <w:i w:val="1"/>
          <w:iCs w:val="1"/>
          <w:color w:val="auto"/>
        </w:rPr>
      </w:pPr>
    </w:p>
    <w:p>
      <w:pPr>
        <w:ind w:left="640" w:hanging="319"/>
        <w:spacing w:after="0" w:line="227" w:lineRule="auto"/>
        <w:tabs>
          <w:tab w:leader="none" w:pos="635" w:val="left"/>
        </w:tabs>
        <w:numPr>
          <w:ilvl w:val="0"/>
          <w:numId w:val="19"/>
        </w:numPr>
        <w:rPr>
          <w:rFonts w:ascii="Times New Roman" w:cs="Times New Roman" w:eastAsia="Times New Roman" w:hAnsi="Times New Roman"/>
          <w:sz w:val="21"/>
          <w:szCs w:val="21"/>
          <w:b w:val="1"/>
          <w:bCs w:val="1"/>
          <w:i w:val="1"/>
          <w:iCs w:val="1"/>
          <w:color w:val="auto"/>
        </w:rPr>
      </w:pPr>
      <w:r>
        <w:rPr>
          <w:rFonts w:ascii="Times New Roman" w:cs="Times New Roman" w:eastAsia="Times New Roman" w:hAnsi="Times New Roman"/>
          <w:sz w:val="18"/>
          <w:szCs w:val="18"/>
          <w:color w:val="auto"/>
        </w:rPr>
        <w:t>Changes in other assets, accounts payables including other liabilities contributed to a higher cash payouts of $24.9 million for the three months ended March 31, 2024, compared to the three months ended March 31, 2023.</w:t>
      </w:r>
    </w:p>
    <w:p>
      <w:pPr>
        <w:spacing w:after="0" w:line="126" w:lineRule="exact"/>
        <w:rPr>
          <w:sz w:val="20"/>
          <w:szCs w:val="20"/>
          <w:color w:val="auto"/>
        </w:rPr>
      </w:pPr>
    </w:p>
    <w:p>
      <w:pPr>
        <w:jc w:val="both"/>
        <w:ind w:firstLine="394"/>
        <w:spacing w:after="0" w:line="233"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provided by investing activities were $4.7 million for the three months ended March 31, 2024, compared to $43.3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The decrease of $38.6 million was primarily due to lower net redemption of investments of $15.9 million during the three months ended March 31, 2024, compared to $55.3 million during the three months ended March 31, 2023. This was partially offset by lower cash paid for purchase of long-lived assets, including investments in infrastructure, technology assets, software and product developments of $1.2 million during the three months ended March 31, 2024, compared to the three months ended March 31, 2023.</w:t>
      </w:r>
    </w:p>
    <w:p>
      <w:pPr>
        <w:spacing w:after="0" w:line="204" w:lineRule="exact"/>
        <w:rPr>
          <w:sz w:val="20"/>
          <w:szCs w:val="20"/>
          <w:color w:val="auto"/>
        </w:rPr>
      </w:pPr>
    </w:p>
    <w:p>
      <w:pPr>
        <w:jc w:val="both"/>
        <w:ind w:firstLine="39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used for financing activities were $9.8 million during the three months ended March 31, 2024, compared to $91.3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2023. The decrease of $81.5 million was primarily due to</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7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net proceeds of our borrowings under our revolving credit facility of $145.0 million during the three months ended March 31, 2024, compared to net repayment of $50.0 million during the three months ended March 31, 2023. This was partially offset by higher purchases of treasury stock of $109.9 million under our share repurchase programs and payment of contingent consideration related to our December 2021 acquisition of Clairvoyant of $4.0 million for the three months ended March 31, 2024, compared to the three months ended March 31, 2023.</w:t>
      </w:r>
    </w:p>
    <w:p>
      <w:pPr>
        <w:spacing w:after="0" w:line="142"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building new digital capabilities, including generative AI and purchase telecommunications equipment and computer hardware and software in connection with managing client operations.</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We incurred $11.3 million of capital expenditures during the three months ended March 31, 2024. We expect to incur total capital expenditures of between $50.0 million to $55.0 million in fiscal 2024, primarily to meet our growth requirements, including additions to our facilities as well as investments in technology applications, product development, digital technology, advanced automation, robotics and infrastructure.</w:t>
      </w:r>
    </w:p>
    <w:p>
      <w:pPr>
        <w:spacing w:after="0" w:line="126" w:lineRule="exact"/>
        <w:rPr>
          <w:sz w:val="20"/>
          <w:szCs w:val="20"/>
          <w:color w:val="auto"/>
        </w:rPr>
      </w:pPr>
    </w:p>
    <w:p>
      <w:pPr>
        <w:jc w:val="both"/>
        <w:ind w:firstLine="394"/>
        <w:spacing w:after="0" w:line="256"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the relevant authorities with respect to such assessment orders. See Note 25 - Commitments and Contingencies to our unaudited consolidated financial statements under Part I, Item 1, “Financial Statements” for further details.</w:t>
      </w:r>
    </w:p>
    <w:p>
      <w:pPr>
        <w:spacing w:after="0" w:line="113" w:lineRule="exact"/>
        <w:rPr>
          <w:sz w:val="20"/>
          <w:szCs w:val="20"/>
          <w:color w:val="auto"/>
        </w:rPr>
      </w:pPr>
    </w:p>
    <w:p>
      <w:pPr>
        <w:jc w:val="both"/>
        <w:ind w:firstLine="434"/>
        <w:spacing w:after="0" w:line="265" w:lineRule="auto"/>
        <w:rPr>
          <w:sz w:val="20"/>
          <w:szCs w:val="20"/>
          <w:color w:val="auto"/>
        </w:rPr>
      </w:pPr>
      <w:r>
        <w:rPr>
          <w:rFonts w:ascii="Times New Roman" w:cs="Times New Roman" w:eastAsia="Times New Roman" w:hAnsi="Times New Roman"/>
          <w:sz w:val="16"/>
          <w:szCs w:val="16"/>
          <w:color w:val="auto"/>
        </w:rPr>
        <w:t>We believe that our existing cash, cash equivalents and short-term investments and sources of liquidity will be sufficient to satisfy our cash requirements over the next 12 months. Our future cash requirements will depend on many factors, including our rate of revenue growth, our investments in strategic initiatives, applications or technologies, operation centers and acquisition of complementary businesses, continued stock repurchases under our board-authorized stock repurchase program, which may require the use of significant cash resources and/or additional financing. We anticipate that we will continue to rely upon cash from operating activities to finance most of our above-mentioned requirements, although if we have significant growth through acquisitions or significant stock repurchases, including any shares purchased under an accelerated stock repurchase program, we may need to obtain additional financing.</w:t>
      </w:r>
    </w:p>
    <w:p>
      <w:pPr>
        <w:spacing w:after="0" w:line="187" w:lineRule="exact"/>
        <w:rPr>
          <w:sz w:val="20"/>
          <w:szCs w:val="20"/>
          <w:color w:val="auto"/>
        </w:rPr>
      </w:pPr>
    </w:p>
    <w:p>
      <w:pPr>
        <w:jc w:val="both"/>
        <w:ind w:firstLine="434"/>
        <w:spacing w:after="0" w:line="233" w:lineRule="auto"/>
        <w:rPr>
          <w:sz w:val="20"/>
          <w:szCs w:val="20"/>
          <w:color w:val="auto"/>
        </w:rPr>
      </w:pPr>
      <w:r>
        <w:rPr>
          <w:rFonts w:ascii="Times New Roman" w:cs="Times New Roman" w:eastAsia="Times New Roman" w:hAnsi="Times New Roman"/>
          <w:sz w:val="18"/>
          <w:szCs w:val="18"/>
          <w:color w:val="auto"/>
        </w:rPr>
        <w:t>In the ordinary course of business, we enter into contracts and commitments that obligate us to make payments in the future. These obligations include borrowings, including interest obligations, purchase commitments, operating and finance lease commitments, employee benefit payments under gratuity plans, payments for contingent consideration and uncertain tax positions. See Note 16 - Fair Value Measurements - Fair Value of Contingent Consideration, Note 18 - Borrowings, Note 21 - Leases and Note 25 - Commitments and Contingencies to our unaudited consolidated financial statements under Part I, Item 1, “Financial Statements” for further information on material cash requirements from known contractual and other obligations.</w:t>
      </w:r>
    </w:p>
    <w:p>
      <w:pPr>
        <w:spacing w:after="0" w:line="1" w:lineRule="exact"/>
        <w:rPr>
          <w:sz w:val="20"/>
          <w:szCs w:val="20"/>
          <w:color w:val="auto"/>
        </w:rPr>
      </w:pPr>
    </w:p>
    <w:p>
      <w:pPr>
        <w:jc w:val="both"/>
        <w:ind w:firstLine="394"/>
        <w:spacing w:after="0" w:line="231"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March 31, 2024 and December 31, 2023, we had outstanding letters of credit of $0.5 million, each, that were not recognized in our consolidated balance sheets. These are unlikely to have, a current or future material effect on our financial condition, revenues or expenses, results of operations, liquidity, capital expenditures or capital resources. We had no other off-balance sheet arrangements or obligations.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w:t>
      </w:r>
    </w:p>
    <w:p>
      <w:pPr>
        <w:spacing w:after="0" w:line="2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debt position:</w:t>
      </w:r>
    </w:p>
    <w:p>
      <w:pPr>
        <w:spacing w:after="0" w:line="234"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220" w:type="dxa"/>
            <w:vAlign w:val="bottom"/>
          </w:tcPr>
          <w:p>
            <w:pPr>
              <w:spacing w:after="0"/>
              <w:rPr>
                <w:sz w:val="16"/>
                <w:szCs w:val="16"/>
                <w:color w:val="auto"/>
              </w:rPr>
            </w:pPr>
          </w:p>
        </w:tc>
        <w:tc>
          <w:tcPr>
            <w:tcW w:w="188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184"/>
        </w:trPr>
        <w:tc>
          <w:tcPr>
            <w:tcW w:w="4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4"/>
          </w:tcPr>
          <w:p>
            <w:pPr>
              <w:jc w:val="right"/>
              <w:ind w:right="1437"/>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170"/>
        </w:trPr>
        <w:tc>
          <w:tcPr>
            <w:tcW w:w="4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4"/>
          </w:tcPr>
          <w:p>
            <w:pPr>
              <w:jc w:val="right"/>
              <w:ind w:right="1337"/>
              <w:spacing w:after="0"/>
              <w:rPr>
                <w:sz w:val="20"/>
                <w:szCs w:val="20"/>
                <w:color w:val="auto"/>
              </w:rPr>
            </w:pPr>
            <w:r>
              <w:rPr>
                <w:rFonts w:ascii="Times New Roman" w:cs="Times New Roman" w:eastAsia="Times New Roman" w:hAnsi="Times New Roman"/>
                <w:sz w:val="14"/>
                <w:szCs w:val="14"/>
                <w:b w:val="1"/>
                <w:bCs w:val="1"/>
                <w:color w:val="auto"/>
              </w:rPr>
              <w:t>Revolving credit facility</w:t>
            </w:r>
          </w:p>
        </w:tc>
      </w:tr>
      <w:tr>
        <w:trPr>
          <w:trHeight w:val="217"/>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r>
      <w:tr>
        <w:trPr>
          <w:trHeight w:val="53"/>
        </w:trPr>
        <w:tc>
          <w:tcPr>
            <w:tcW w:w="4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80" w:type="dxa"/>
            <w:vAlign w:val="bottom"/>
          </w:tcPr>
          <w:p>
            <w:pPr>
              <w:spacing w:after="0"/>
              <w:rPr>
                <w:sz w:val="4"/>
                <w:szCs w:val="4"/>
                <w:color w:val="auto"/>
              </w:rPr>
            </w:pPr>
          </w:p>
        </w:tc>
      </w:tr>
      <w:tr>
        <w:trPr>
          <w:trHeight w:val="223"/>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borrowings</w:t>
            </w:r>
          </w:p>
        </w:tc>
        <w:tc>
          <w:tcPr>
            <w:tcW w:w="26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color w:val="auto"/>
              </w:rPr>
              <w:t>280.0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r>
      <w:tr>
        <w:trPr>
          <w:trHeight w:val="190"/>
        </w:trPr>
        <w:tc>
          <w:tcPr>
            <w:tcW w:w="428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Total borrowings</w:t>
            </w:r>
          </w:p>
        </w:tc>
        <w:tc>
          <w:tcPr>
            <w:tcW w:w="260" w:type="dxa"/>
            <w:vAlign w:val="bottom"/>
            <w:tcBorders>
              <w:bottom w:val="single" w:sz="8" w:color="auto"/>
            </w:tcBorders>
          </w:tcPr>
          <w:p>
            <w:pPr>
              <w:ind w:left="20"/>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3"/>
              <w:spacing w:after="0" w:line="190" w:lineRule="exact"/>
              <w:rPr>
                <w:sz w:val="20"/>
                <w:szCs w:val="20"/>
                <w:color w:val="auto"/>
              </w:rPr>
            </w:pPr>
            <w:r>
              <w:rPr>
                <w:rFonts w:ascii="Times New Roman" w:cs="Times New Roman" w:eastAsia="Times New Roman" w:hAnsi="Times New Roman"/>
                <w:sz w:val="18"/>
                <w:szCs w:val="18"/>
                <w:b w:val="1"/>
                <w:bCs w:val="1"/>
                <w:color w:val="auto"/>
              </w:rPr>
              <w:t>345.0</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12"/>
              <w:spacing w:after="0" w:line="190" w:lineRule="exact"/>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b w:val="1"/>
                <w:bCs w:val="1"/>
                <w:color w:val="auto"/>
              </w:rPr>
              <w:t>200.0</w:t>
            </w:r>
          </w:p>
        </w:tc>
      </w:tr>
      <w:tr>
        <w:trPr>
          <w:trHeight w:val="20"/>
        </w:trPr>
        <w:tc>
          <w:tcPr>
            <w:tcW w:w="4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180" w:firstLine="394"/>
        <w:spacing w:after="0" w:line="426" w:lineRule="auto"/>
        <w:rPr>
          <w:sz w:val="20"/>
          <w:szCs w:val="20"/>
          <w:color w:val="auto"/>
        </w:rPr>
      </w:pPr>
      <w:r>
        <w:rPr>
          <w:rFonts w:ascii="Times New Roman" w:cs="Times New Roman" w:eastAsia="Times New Roman" w:hAnsi="Times New Roman"/>
          <w:sz w:val="18"/>
          <w:szCs w:val="18"/>
          <w:color w:val="auto"/>
        </w:rPr>
        <w:t xml:space="preserve">As of March 31, 2024 and December 31, 2023, we were in compliance with all financial and non-financial covenants under the 2022 Credit Agreement. </w:t>
      </w:r>
      <w:r>
        <w:rPr>
          <w:rFonts w:ascii="Times New Roman" w:cs="Times New Roman" w:eastAsia="Times New Roman" w:hAnsi="Times New Roman"/>
          <w:sz w:val="18"/>
          <w:szCs w:val="18"/>
          <w:b w:val="1"/>
          <w:bCs w:val="1"/>
          <w:color w:val="auto"/>
        </w:rPr>
        <w:t>Recent Accounting Pronouncements</w:t>
      </w:r>
    </w:p>
    <w:p>
      <w:pPr>
        <w:spacing w:after="0" w:line="1" w:lineRule="exact"/>
        <w:rPr>
          <w:sz w:val="20"/>
          <w:szCs w:val="20"/>
          <w:color w:val="auto"/>
        </w:rPr>
      </w:pPr>
    </w:p>
    <w:p>
      <w:pPr>
        <w:ind w:firstLine="394"/>
        <w:spacing w:after="0" w:line="268"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2 - Summary of Significant Accounting Policies - Recent Accounting Pronouncements to our unaudited consolidated financial statements under Part I, 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63" w:lineRule="exact"/>
        <w:rPr>
          <w:sz w:val="20"/>
          <w:szCs w:val="20"/>
          <w:color w:val="auto"/>
        </w:rPr>
      </w:pPr>
    </w:p>
    <w:p>
      <w:pPr>
        <w:jc w:val="both"/>
        <w:ind w:firstLine="43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there were no material changes in our market risk exposure. For a discussion of our market risk associated with exchange rate risk and interest rate risk, see Part II, Item 7A “Quantitative and Qualitative Disclosures About Market Risk” in our Annual Report on Form 10-K for the fiscal year ended December 31, 2023.</w:t>
      </w:r>
    </w:p>
    <w:p>
      <w:pPr>
        <w:spacing w:after="0" w:line="124"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65" w:lineRule="exact"/>
        <w:rPr>
          <w:sz w:val="20"/>
          <w:szCs w:val="20"/>
          <w:color w:val="auto"/>
        </w:rPr>
      </w:pPr>
    </w:p>
    <w:p>
      <w:pPr>
        <w:jc w:val="both"/>
        <w:ind w:firstLine="434"/>
        <w:spacing w:after="0" w:line="247"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our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March 31, 2024. Based upon that evaluation, our CEO and CFO have concluded that the Company’s disclosure controls and procedures, as of March 31, 2024, were effective.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5" w:lineRule="exact"/>
        <w:rPr>
          <w:sz w:val="20"/>
          <w:szCs w:val="20"/>
          <w:color w:val="auto"/>
        </w:rPr>
      </w:pPr>
    </w:p>
    <w:p>
      <w:pPr>
        <w:jc w:val="both"/>
        <w:ind w:firstLine="434"/>
        <w:spacing w:after="0" w:line="331" w:lineRule="auto"/>
        <w:rPr>
          <w:sz w:val="20"/>
          <w:szCs w:val="20"/>
          <w:color w:val="auto"/>
        </w:rPr>
      </w:pPr>
      <w:r>
        <w:rPr>
          <w:rFonts w:ascii="Times New Roman" w:cs="Times New Roman" w:eastAsia="Times New Roman" w:hAnsi="Times New Roman"/>
          <w:sz w:val="16"/>
          <w:szCs w:val="16"/>
          <w:color w:val="auto"/>
        </w:rPr>
        <w:t>During the three months ended March 31, 2024,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10" w:lineRule="exact"/>
        <w:rPr>
          <w:sz w:val="20"/>
          <w:szCs w:val="20"/>
          <w:color w:val="auto"/>
        </w:rPr>
      </w:pPr>
    </w:p>
    <w:p>
      <w:pPr>
        <w:jc w:val="both"/>
        <w:ind w:firstLine="434"/>
        <w:spacing w:after="0" w:line="252"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Although there can be no assurance, we believe that the disposition of matters currently instituted or asserted will not have a material adverse effect on our consolidated financial position, results of operations or cash flows. See Note 25 - Commitments and Contingencies to our unaudited consolidated financial statements under Part I, Item 1, “Financial Statements” for details regarding our tax proceedings.</w:t>
      </w:r>
    </w:p>
    <w:p>
      <w:pPr>
        <w:spacing w:after="0" w:line="200" w:lineRule="exact"/>
        <w:rPr>
          <w:sz w:val="20"/>
          <w:szCs w:val="20"/>
          <w:color w:val="auto"/>
        </w:rPr>
      </w:pPr>
    </w:p>
    <w:p>
      <w:pPr>
        <w:spacing w:after="0" w:line="34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0" w:lineRule="exact"/>
        <w:rPr>
          <w:sz w:val="20"/>
          <w:szCs w:val="20"/>
          <w:color w:val="auto"/>
        </w:rPr>
      </w:pPr>
    </w:p>
    <w:p>
      <w:pPr>
        <w:jc w:val="both"/>
        <w:ind w:firstLine="434"/>
        <w:spacing w:after="0" w:line="249"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2023, a number of risks which may materially affect our business, financial condition or results of operations. You should carefully consider those risk factors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3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1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March 31, 2024, purchases of common stock were as follows:</w:t>
      </w:r>
    </w:p>
    <w:p>
      <w:pPr>
        <w:spacing w:after="0" w:line="186" w:lineRule="exact"/>
        <w:rPr>
          <w:sz w:val="20"/>
          <w:szCs w:val="20"/>
          <w:color w:val="auto"/>
        </w:rPr>
      </w:pPr>
    </w:p>
    <w:tbl>
      <w:tblPr>
        <w:tblLayout w:type="fixed"/>
        <w:tblInd w:w="90" w:type="dxa"/>
        <w:tblCellMar>
          <w:top w:w="0" w:type="dxa"/>
          <w:left w:w="0" w:type="dxa"/>
          <w:bottom w:w="0" w:type="dxa"/>
          <w:right w:w="0" w:type="dxa"/>
        </w:tblCellMar>
      </w:tblPr>
      <w:tr>
        <w:trPr>
          <w:trHeight w:val="355"/>
        </w:trPr>
        <w:tc>
          <w:tcPr>
            <w:tcW w:w="23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960" w:type="dxa"/>
            <w:vAlign w:val="bottom"/>
            <w:tcBorders>
              <w:top w:val="single" w:sz="8" w:color="auto"/>
            </w:tcBorders>
            <w:gridSpan w:val="3"/>
          </w:tcPr>
          <w:p>
            <w:pPr>
              <w:jc w:val="center"/>
              <w:ind w:left="438"/>
              <w:spacing w:after="0"/>
              <w:rPr>
                <w:sz w:val="20"/>
                <w:szCs w:val="20"/>
                <w:color w:val="auto"/>
              </w:rPr>
            </w:pPr>
            <w:r>
              <w:rPr>
                <w:rFonts w:ascii="Times New Roman" w:cs="Times New Roman" w:eastAsia="Times New Roman" w:hAnsi="Times New Roman"/>
                <w:sz w:val="16"/>
                <w:szCs w:val="16"/>
                <w:b w:val="1"/>
                <w:bCs w:val="1"/>
                <w:color w:val="auto"/>
                <w:w w:val="98"/>
              </w:rPr>
              <w:t>Shares Purchased</w:t>
            </w:r>
          </w:p>
        </w:tc>
        <w:tc>
          <w:tcPr>
            <w:tcW w:w="600" w:type="dxa"/>
            <w:vAlign w:val="bottom"/>
            <w:tcBorders>
              <w:top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4"/>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7"/>
              </w:rPr>
              <w:t>from Employees in connection with</w:t>
            </w:r>
          </w:p>
        </w:tc>
        <w:tc>
          <w:tcPr>
            <w:tcW w:w="100" w:type="dxa"/>
            <w:vAlign w:val="bottom"/>
            <w:tcBorders>
              <w:right w:val="single" w:sz="8" w:color="auto"/>
            </w:tcBorders>
          </w:tcPr>
          <w:p>
            <w:pPr>
              <w:spacing w:after="0"/>
              <w:rPr>
                <w:sz w:val="13"/>
                <w:szCs w:val="13"/>
                <w:color w:val="auto"/>
              </w:rPr>
            </w:pPr>
          </w:p>
        </w:tc>
        <w:tc>
          <w:tcPr>
            <w:tcW w:w="2780" w:type="dxa"/>
            <w:vAlign w:val="bottom"/>
            <w:tcBorders>
              <w:right w:val="single" w:sz="8" w:color="auto"/>
            </w:tcBorders>
            <w:gridSpan w:val="4"/>
            <w:vMerge w:val="restart"/>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Shares Purchased as Part of Publicly</w:t>
            </w:r>
          </w:p>
        </w:tc>
        <w:tc>
          <w:tcPr>
            <w:tcW w:w="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2560" w:type="dxa"/>
            <w:vAlign w:val="bottom"/>
            <w:tcBorders>
              <w:right w:val="single" w:sz="8" w:color="auto"/>
            </w:tcBorders>
            <w:gridSpan w:val="4"/>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satisfaction of Withholding Tax</w:t>
            </w:r>
          </w:p>
        </w:tc>
        <w:tc>
          <w:tcPr>
            <w:tcW w:w="100" w:type="dxa"/>
            <w:vAlign w:val="bottom"/>
            <w:tcBorders>
              <w:right w:val="single" w:sz="8" w:color="auto"/>
            </w:tcBorders>
          </w:tcPr>
          <w:p>
            <w:pPr>
              <w:spacing w:after="0"/>
              <w:rPr>
                <w:sz w:val="13"/>
                <w:szCs w:val="13"/>
                <w:color w:val="auto"/>
              </w:rPr>
            </w:pPr>
          </w:p>
        </w:tc>
        <w:tc>
          <w:tcPr>
            <w:tcW w:w="2780" w:type="dxa"/>
            <w:vAlign w:val="bottom"/>
            <w:tcBorders>
              <w:right w:val="single" w:sz="8" w:color="auto"/>
            </w:tcBorders>
            <w:gridSpan w:val="4"/>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60" w:type="dxa"/>
            <w:vAlign w:val="bottom"/>
            <w:tcBorders>
              <w:bottom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960" w:type="dxa"/>
            <w:vAlign w:val="bottom"/>
            <w:tcBorders>
              <w:bottom w:val="single" w:sz="8" w:color="auto"/>
            </w:tcBorders>
            <w:gridSpan w:val="3"/>
          </w:tcPr>
          <w:p>
            <w:pPr>
              <w:jc w:val="center"/>
              <w:ind w:left="458"/>
              <w:spacing w:after="0"/>
              <w:rPr>
                <w:sz w:val="20"/>
                <w:szCs w:val="20"/>
                <w:color w:val="auto"/>
              </w:rPr>
            </w:pPr>
            <w:r>
              <w:rPr>
                <w:rFonts w:ascii="Times New Roman" w:cs="Times New Roman" w:eastAsia="Times New Roman" w:hAnsi="Times New Roman"/>
                <w:sz w:val="16"/>
                <w:szCs w:val="16"/>
                <w:b w:val="1"/>
                <w:bCs w:val="1"/>
                <w:color w:val="auto"/>
                <w:w w:val="98"/>
              </w:rPr>
              <w:t>Obligations</w:t>
            </w:r>
          </w:p>
        </w:tc>
        <w:tc>
          <w:tcPr>
            <w:tcW w:w="600" w:type="dxa"/>
            <w:vAlign w:val="bottom"/>
            <w:tcBorders>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Announced Programs</w:t>
            </w:r>
          </w:p>
        </w:tc>
        <w:tc>
          <w:tcPr>
            <w:tcW w:w="580" w:type="dxa"/>
            <w:vAlign w:val="bottom"/>
            <w:tcBorders>
              <w:bottom w:val="single" w:sz="8" w:color="auto"/>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360" w:type="dxa"/>
            <w:vAlign w:val="bottom"/>
            <w:tcBorders>
              <w:left w:val="single" w:sz="8" w:color="auto"/>
              <w:right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00" w:type="dxa"/>
            <w:vAlign w:val="bottom"/>
            <w:tcBorders>
              <w:right w:val="single" w:sz="8" w:color="auto"/>
            </w:tcBorders>
          </w:tcPr>
          <w:p>
            <w:pPr>
              <w:spacing w:after="0"/>
              <w:rPr>
                <w:sz w:val="15"/>
                <w:szCs w:val="15"/>
                <w:color w:val="auto"/>
              </w:rPr>
            </w:pPr>
          </w:p>
        </w:tc>
        <w:tc>
          <w:tcPr>
            <w:tcW w:w="1860" w:type="dxa"/>
            <w:vAlign w:val="bottom"/>
            <w:gridSpan w:val="2"/>
          </w:tcPr>
          <w:p>
            <w:pPr>
              <w:jc w:val="center"/>
              <w:spacing w:after="0" w:line="179" w:lineRule="exact"/>
              <w:rPr>
                <w:sz w:val="20"/>
                <w:szCs w:val="20"/>
                <w:color w:val="auto"/>
              </w:rPr>
            </w:pPr>
            <w:r>
              <w:rPr>
                <w:rFonts w:ascii="Times New Roman" w:cs="Times New Roman" w:eastAsia="Times New Roman" w:hAnsi="Times New Roman"/>
                <w:sz w:val="16"/>
                <w:szCs w:val="16"/>
                <w:b w:val="1"/>
                <w:bCs w:val="1"/>
                <w:color w:val="auto"/>
                <w:w w:val="97"/>
              </w:rPr>
              <w:t>Approximate Dollar Value</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360" w:type="dxa"/>
            <w:vAlign w:val="bottom"/>
            <w:tcBorders>
              <w:left w:val="single" w:sz="8" w:color="auto"/>
              <w:right w:val="single" w:sz="8" w:color="auto"/>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vMerge w:val="restart"/>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0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vMerge w:val="restart"/>
          </w:tcPr>
          <w:p>
            <w:pPr>
              <w:jc w:val="right"/>
              <w:ind w:right="33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gridSpan w:val="2"/>
            <w:vMerge w:val="restart"/>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Average Price</w:t>
            </w:r>
          </w:p>
        </w:tc>
        <w:tc>
          <w:tcPr>
            <w:tcW w:w="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8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of Shares That May Yet Be</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6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4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gridSpan w:val="2"/>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of Shares</w:t>
            </w:r>
          </w:p>
        </w:tc>
        <w:tc>
          <w:tcPr>
            <w:tcW w:w="1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tcPr>
          <w:p>
            <w:pPr>
              <w:jc w:val="center"/>
              <w:ind w:right="95"/>
              <w:spacing w:after="0" w:line="158" w:lineRule="exact"/>
              <w:rPr>
                <w:sz w:val="20"/>
                <w:szCs w:val="20"/>
                <w:color w:val="auto"/>
              </w:rPr>
            </w:pPr>
            <w:r>
              <w:rPr>
                <w:rFonts w:ascii="Times New Roman" w:cs="Times New Roman" w:eastAsia="Times New Roman" w:hAnsi="Times New Roman"/>
                <w:sz w:val="16"/>
                <w:szCs w:val="16"/>
                <w:b w:val="1"/>
                <w:bCs w:val="1"/>
                <w:color w:val="auto"/>
                <w:w w:val="97"/>
              </w:rPr>
              <w:t>Purchased Under the</w:t>
            </w:r>
          </w:p>
        </w:tc>
        <w:tc>
          <w:tcPr>
            <w:tcW w:w="2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140" w:type="dxa"/>
            <w:vAlign w:val="bottom"/>
            <w:tcBorders>
              <w:bottom w:val="single" w:sz="8" w:color="CCEEFF"/>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jc w:val="right"/>
              <w:ind w:right="117"/>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120" w:type="dxa"/>
            <w:vAlign w:val="bottom"/>
            <w:tcBorders>
              <w:bottom w:val="single" w:sz="8" w:color="auto"/>
              <w:right w:val="single" w:sz="8" w:color="auto"/>
            </w:tcBorders>
          </w:tcPr>
          <w:p>
            <w:pPr>
              <w:spacing w:after="0"/>
              <w:rPr>
                <w:sz w:val="18"/>
                <w:szCs w:val="18"/>
                <w:color w:val="auto"/>
              </w:rPr>
            </w:pPr>
          </w:p>
        </w:tc>
        <w:tc>
          <w:tcPr>
            <w:tcW w:w="1100" w:type="dxa"/>
            <w:vAlign w:val="bottom"/>
            <w:tcBorders>
              <w:bottom w:val="single" w:sz="8" w:color="auto"/>
              <w:right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00" w:type="dxa"/>
            <w:vAlign w:val="bottom"/>
            <w:tcBorders>
              <w:bottom w:val="single" w:sz="8" w:color="CCEEFF"/>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Borders>
              <w:bottom w:val="single" w:sz="8" w:color="CCEEFF"/>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8"/>
              </w:rPr>
              <w:t>Plans or Programs</w:t>
            </w: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360" w:type="dxa"/>
            <w:vAlign w:val="bottom"/>
            <w:tcBorders>
              <w:left w:val="single" w:sz="8" w:color="CCEEFF"/>
              <w:right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8"/>
                <w:szCs w:val="18"/>
                <w:color w:val="auto"/>
                <w:w w:val="98"/>
              </w:rPr>
              <w:t>January 1, 2024 through January</w:t>
            </w:r>
          </w:p>
        </w:tc>
        <w:tc>
          <w:tcPr>
            <w:tcW w:w="140" w:type="dxa"/>
            <w:vAlign w:val="bottom"/>
            <w:tcBorders>
              <w:right w:val="single" w:sz="8" w:color="CCEEFF"/>
            </w:tcBorders>
            <w:shd w:val="clear" w:color="auto" w:fill="CCEEFF"/>
          </w:tcPr>
          <w:p>
            <w:pPr>
              <w:spacing w:after="0"/>
              <w:rPr>
                <w:sz w:val="14"/>
                <w:szCs w:val="14"/>
                <w:color w:val="auto"/>
              </w:rPr>
            </w:pPr>
          </w:p>
        </w:tc>
        <w:tc>
          <w:tcPr>
            <w:tcW w:w="1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1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36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w:t>
            </w:r>
          </w:p>
        </w:tc>
        <w:tc>
          <w:tcPr>
            <w:tcW w:w="140" w:type="dxa"/>
            <w:vAlign w:val="bottom"/>
            <w:tcBorders>
              <w:right w:val="single" w:sz="8" w:color="CCEEFF"/>
            </w:tcBorders>
            <w:shd w:val="clear" w:color="auto" w:fill="CCEEFF"/>
          </w:tcPr>
          <w:p>
            <w:pPr>
              <w:spacing w:after="0"/>
              <w:rPr>
                <w:sz w:val="20"/>
                <w:szCs w:val="20"/>
                <w:color w:val="auto"/>
              </w:rPr>
            </w:pPr>
          </w:p>
        </w:tc>
        <w:tc>
          <w:tcPr>
            <w:tcW w:w="1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139,929</w:t>
            </w: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32.29</w:t>
            </w:r>
          </w:p>
        </w:tc>
        <w:tc>
          <w:tcPr>
            <w:tcW w:w="100" w:type="dxa"/>
            <w:vAlign w:val="bottom"/>
            <w:tcBorders>
              <w:right w:val="single" w:sz="8" w:color="CCEEFF"/>
            </w:tcBorders>
            <w:shd w:val="clear" w:color="auto" w:fill="CCEEFF"/>
          </w:tcPr>
          <w:p>
            <w:pPr>
              <w:spacing w:after="0"/>
              <w:rPr>
                <w:sz w:val="20"/>
                <w:szCs w:val="20"/>
                <w:color w:val="auto"/>
              </w:rPr>
            </w:pPr>
          </w:p>
        </w:tc>
        <w:tc>
          <w:tcPr>
            <w:tcW w:w="1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356,025</w:t>
            </w:r>
          </w:p>
        </w:tc>
        <w:tc>
          <w:tcPr>
            <w:tcW w:w="120" w:type="dxa"/>
            <w:vAlign w:val="bottom"/>
            <w:tcBorders>
              <w:right w:val="single" w:sz="8" w:color="CCEEFF"/>
            </w:tcBorders>
            <w:shd w:val="clear" w:color="auto" w:fill="CCEEFF"/>
          </w:tcPr>
          <w:p>
            <w:pPr>
              <w:spacing w:after="0"/>
              <w:rPr>
                <w:sz w:val="20"/>
                <w:szCs w:val="20"/>
                <w:color w:val="auto"/>
              </w:rPr>
            </w:pPr>
          </w:p>
        </w:tc>
        <w:tc>
          <w:tcPr>
            <w:tcW w:w="52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Borders>
              <w:right w:val="single" w:sz="8" w:color="CCEEFF"/>
            </w:tcBorders>
            <w:shd w:val="clear" w:color="auto" w:fill="CCEEFF"/>
          </w:tcPr>
          <w:p>
            <w:pPr>
              <w:spacing w:after="0"/>
              <w:rPr>
                <w:sz w:val="20"/>
                <w:szCs w:val="20"/>
                <w:color w:val="auto"/>
              </w:rPr>
            </w:pPr>
          </w:p>
        </w:tc>
        <w:tc>
          <w:tcPr>
            <w:tcW w:w="1120" w:type="dxa"/>
            <w:vAlign w:val="bottom"/>
            <w:tcBorders>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495,954</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0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February 1, 2024 through</w:t>
            </w: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270,709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tcPr>
          <w:p>
            <w:pPr>
              <w:spacing w:after="0"/>
              <w:rPr>
                <w:sz w:val="20"/>
                <w:szCs w:val="20"/>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327,115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500" w:type="dxa"/>
            <w:vAlign w:val="bottom"/>
            <w:tcBorders>
              <w:left w:val="single" w:sz="8" w:color="CCEEFF"/>
              <w:right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March 1, 2024 through March</w:t>
            </w:r>
          </w:p>
        </w:tc>
        <w:tc>
          <w:tcPr>
            <w:tcW w:w="134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560" w:type="dxa"/>
            <w:vAlign w:val="bottom"/>
            <w:tcBorders>
              <w:right w:val="single" w:sz="8" w:color="CCEEFF"/>
            </w:tcBorders>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12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360" w:type="dxa"/>
            <w:vAlign w:val="bottom"/>
            <w:tcBorders>
              <w:left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w:t>
            </w:r>
          </w:p>
        </w:tc>
        <w:tc>
          <w:tcPr>
            <w:tcW w:w="140" w:type="dxa"/>
            <w:vAlign w:val="bottom"/>
            <w:tcBorders>
              <w:right w:val="single" w:sz="8" w:color="CCEEFF"/>
            </w:tcBorders>
            <w:shd w:val="clear" w:color="auto" w:fill="CCEEFF"/>
          </w:tcPr>
          <w:p>
            <w:pPr>
              <w:spacing w:after="0"/>
              <w:rPr>
                <w:sz w:val="20"/>
                <w:szCs w:val="20"/>
                <w:color w:val="auto"/>
              </w:rPr>
            </w:pPr>
          </w:p>
        </w:tc>
        <w:tc>
          <w:tcPr>
            <w:tcW w:w="13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120" w:type="dxa"/>
            <w:vAlign w:val="bottom"/>
            <w:tcBorders>
              <w:right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right w:val="single" w:sz="8" w:color="CCEEFF"/>
            </w:tcBorders>
            <w:shd w:val="clear" w:color="auto" w:fill="CCEEFF"/>
          </w:tcPr>
          <w:p>
            <w:pPr>
              <w:spacing w:after="0"/>
              <w:rPr>
                <w:sz w:val="20"/>
                <w:szCs w:val="20"/>
                <w:color w:val="auto"/>
              </w:rPr>
            </w:pPr>
          </w:p>
        </w:tc>
        <w:tc>
          <w:tcPr>
            <w:tcW w:w="1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3,350,084</w:t>
            </w:r>
          </w:p>
        </w:tc>
        <w:tc>
          <w:tcPr>
            <w:tcW w:w="120" w:type="dxa"/>
            <w:vAlign w:val="bottom"/>
            <w:tcBorders>
              <w:right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29.85</w:t>
            </w:r>
          </w:p>
        </w:tc>
        <w:tc>
          <w:tcPr>
            <w:tcW w:w="100" w:type="dxa"/>
            <w:vAlign w:val="bottom"/>
            <w:tcBorders>
              <w:right w:val="single" w:sz="8" w:color="CCEEFF"/>
            </w:tcBorders>
            <w:shd w:val="clear" w:color="auto" w:fill="CCEEFF"/>
          </w:tcPr>
          <w:p>
            <w:pPr>
              <w:spacing w:after="0"/>
              <w:rPr>
                <w:sz w:val="20"/>
                <w:szCs w:val="20"/>
                <w:color w:val="auto"/>
              </w:rPr>
            </w:pPr>
          </w:p>
        </w:tc>
        <w:tc>
          <w:tcPr>
            <w:tcW w:w="1120" w:type="dxa"/>
            <w:vAlign w:val="bottom"/>
            <w:tcBorders>
              <w:bottom w:val="single" w:sz="8" w:color="auto"/>
              <w:right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3,354,151</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200,402</w:t>
            </w:r>
          </w:p>
        </w:tc>
        <w:tc>
          <w:tcPr>
            <w:tcW w:w="120" w:type="dxa"/>
            <w:vAlign w:val="bottom"/>
          </w:tcPr>
          <w:p>
            <w:pPr>
              <w:spacing w:after="0"/>
              <w:rPr>
                <w:sz w:val="18"/>
                <w:szCs w:val="18"/>
                <w:color w:val="auto"/>
              </w:rPr>
            </w:pPr>
          </w:p>
        </w:tc>
        <w:tc>
          <w:tcPr>
            <w:tcW w:w="5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31.81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3,976,818</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8"/>
                <w:szCs w:val="18"/>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4,177,220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On October 5, 2021, our board of directors authorized a $300 million (excluding excise tax) common stock repurchase program beginning January 1, 2022 (the “2022 Repurchase Program”).</w:t>
      </w:r>
    </w:p>
    <w:p>
      <w:pPr>
        <w:spacing w:after="0" w:line="102" w:lineRule="exact"/>
        <w:rPr>
          <w:sz w:val="20"/>
          <w:szCs w:val="20"/>
          <w:color w:val="auto"/>
        </w:rPr>
      </w:pPr>
    </w:p>
    <w:p>
      <w:pPr>
        <w:ind w:firstLine="434"/>
        <w:spacing w:after="0" w:line="253" w:lineRule="auto"/>
        <w:rPr>
          <w:sz w:val="20"/>
          <w:szCs w:val="20"/>
          <w:color w:val="auto"/>
        </w:rPr>
      </w:pPr>
      <w:r>
        <w:rPr>
          <w:rFonts w:ascii="Times New Roman" w:cs="Times New Roman" w:eastAsia="Times New Roman" w:hAnsi="Times New Roman"/>
          <w:sz w:val="18"/>
          <w:szCs w:val="18"/>
          <w:color w:val="auto"/>
        </w:rPr>
        <w:t>On February 26, 2024, our board of directors authorized a $500 million (excluding excise tax) common stock repurchase program beginning March 1, 2024 (the “2024 Repurchase Program”), and terminated the 2022 Repurchase Program on February 29, 2024.</w:t>
      </w:r>
    </w:p>
    <w:p>
      <w:pPr>
        <w:spacing w:after="0" w:line="116" w:lineRule="exact"/>
        <w:rPr>
          <w:sz w:val="20"/>
          <w:szCs w:val="20"/>
          <w:color w:val="auto"/>
        </w:rPr>
      </w:pPr>
    </w:p>
    <w:p>
      <w:pPr>
        <w:jc w:val="both"/>
        <w:ind w:firstLine="394"/>
        <w:spacing w:after="0" w:line="237" w:lineRule="auto"/>
        <w:rPr>
          <w:sz w:val="20"/>
          <w:szCs w:val="20"/>
          <w:color w:val="auto"/>
        </w:rPr>
      </w:pPr>
      <w:r>
        <w:rPr>
          <w:rFonts w:ascii="Times New Roman" w:cs="Times New Roman" w:eastAsia="Times New Roman" w:hAnsi="Times New Roman"/>
          <w:sz w:val="18"/>
          <w:szCs w:val="18"/>
          <w:color w:val="auto"/>
        </w:rPr>
        <w:t>On March 15, 2024, we entered into a 2024 ASR Agreement with Citibank to repurchase shares of our common stock for an aggregate purchase price of $125 million, as part of our 2024 Repurchase Program. Upon payment of the aggregate purchase price of $125 million, we received an initial delivery of 3,350,084 shares of our common stock at an initial price of $29.85 per share, representing 80% of the aggregate purchase price. See Note 19 – Capital Structure to our unaudited consolidated financial statements under Part I, Item 1, “Financial Statements” for further details.</w:t>
      </w:r>
    </w:p>
    <w:p>
      <w:pPr>
        <w:spacing w:after="0" w:line="129" w:lineRule="exact"/>
        <w:rPr>
          <w:sz w:val="20"/>
          <w:szCs w:val="20"/>
          <w:color w:val="auto"/>
        </w:rPr>
      </w:pPr>
    </w:p>
    <w:p>
      <w:pPr>
        <w:jc w:val="both"/>
        <w:ind w:firstLine="434"/>
        <w:spacing w:after="0"/>
        <w:rPr>
          <w:sz w:val="20"/>
          <w:szCs w:val="20"/>
          <w:color w:val="auto"/>
        </w:rPr>
      </w:pPr>
      <w:r>
        <w:rPr>
          <w:rFonts w:ascii="Times New Roman" w:cs="Times New Roman" w:eastAsia="Times New Roman" w:hAnsi="Times New Roman"/>
          <w:sz w:val="18"/>
          <w:szCs w:val="18"/>
          <w:color w:val="auto"/>
        </w:rPr>
        <w:t>Under our two repurchase programs, shares may be purchased by us from time to time from the open market and through private transactions, or otherwise, as determined by our management as market conditions warrant. We have structured open market purchases under our two repurchase programs to comply with Rule 10b-18 under the Exchange Act. Repurchases may be discontinued at any time by management.</w:t>
      </w:r>
    </w:p>
    <w:p>
      <w:pPr>
        <w:spacing w:after="0" w:line="200" w:lineRule="exact"/>
        <w:rPr>
          <w:sz w:val="20"/>
          <w:szCs w:val="20"/>
          <w:color w:val="auto"/>
        </w:rPr>
      </w:pPr>
    </w:p>
    <w:p>
      <w:pPr>
        <w:spacing w:after="0" w:line="25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8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231" w:lineRule="exact"/>
        <w:rPr>
          <w:sz w:val="20"/>
          <w:szCs w:val="20"/>
          <w:color w:val="auto"/>
        </w:rPr>
      </w:pPr>
    </w:p>
    <w:p>
      <w:pPr>
        <w:jc w:val="both"/>
        <w:ind w:firstLine="473"/>
        <w:spacing w:after="0" w:line="253" w:lineRule="auto"/>
        <w:rPr>
          <w:sz w:val="20"/>
          <w:szCs w:val="20"/>
          <w:color w:val="auto"/>
        </w:rPr>
      </w:pPr>
      <w:r>
        <w:rPr>
          <w:rFonts w:ascii="Times New Roman" w:cs="Times New Roman" w:eastAsia="Times New Roman" w:hAnsi="Times New Roman"/>
          <w:sz w:val="18"/>
          <w:szCs w:val="18"/>
          <w:color w:val="auto"/>
        </w:rPr>
        <w:t>During the three months ended March 31, 2024, no director or officer of the Company adopted or terminated a “Rule 10b5-1 trading arrangement,” or “non-Rule 10b5-1 trading arrangement,” as each term is defined in Item 408(a) of Regulation S-K, except as described in the table below:</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color w:val="auto"/>
        </w:rPr>
        <w:t>Name and Title</w:t>
      </w:r>
    </w:p>
    <w:p>
      <w:pPr>
        <w:spacing w:after="0" w:line="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Narasimha Kini,</w:t>
      </w:r>
    </w:p>
    <w:p>
      <w:pPr>
        <w:ind w:left="500"/>
        <w:spacing w:after="0" w:line="213" w:lineRule="auto"/>
        <w:rPr>
          <w:sz w:val="20"/>
          <w:szCs w:val="20"/>
          <w:color w:val="auto"/>
        </w:rPr>
      </w:pPr>
      <w:r>
        <w:rPr>
          <w:rFonts w:ascii="Times New Roman" w:cs="Times New Roman" w:eastAsia="Times New Roman" w:hAnsi="Times New Roman"/>
          <w:sz w:val="18"/>
          <w:szCs w:val="18"/>
          <w:color w:val="auto"/>
        </w:rPr>
        <w:t>Executive Vice President and</w:t>
      </w:r>
    </w:p>
    <w:p>
      <w:pPr>
        <w:ind w:left="500" w:right="380"/>
        <w:spacing w:after="0" w:line="219" w:lineRule="auto"/>
        <w:rPr>
          <w:sz w:val="20"/>
          <w:szCs w:val="20"/>
          <w:color w:val="auto"/>
        </w:rPr>
      </w:pPr>
      <w:r>
        <w:rPr>
          <w:rFonts w:ascii="Times New Roman" w:cs="Times New Roman" w:eastAsia="Times New Roman" w:hAnsi="Times New Roman"/>
          <w:sz w:val="18"/>
          <w:szCs w:val="18"/>
          <w:color w:val="auto"/>
        </w:rPr>
        <w:t>Business Head, Emerging Business</w:t>
      </w:r>
    </w:p>
    <w:p>
      <w:pPr>
        <w:ind w:left="500"/>
        <w:spacing w:after="0" w:line="217" w:lineRule="auto"/>
        <w:rPr>
          <w:sz w:val="20"/>
          <w:szCs w:val="20"/>
          <w:color w:val="auto"/>
        </w:rPr>
      </w:pPr>
      <w:r>
        <w:rPr>
          <w:rFonts w:ascii="Times New Roman" w:cs="Times New Roman" w:eastAsia="Times New Roman" w:hAnsi="Times New Roman"/>
          <w:sz w:val="18"/>
          <w:szCs w:val="18"/>
          <w:color w:val="auto"/>
        </w:rPr>
        <w:t>Vivek Jetley,</w:t>
      </w:r>
    </w:p>
    <w:p>
      <w:pPr>
        <w:ind w:left="500"/>
        <w:spacing w:after="0"/>
        <w:rPr>
          <w:sz w:val="20"/>
          <w:szCs w:val="20"/>
          <w:color w:val="auto"/>
        </w:rPr>
      </w:pPr>
      <w:r>
        <w:rPr>
          <w:rFonts w:ascii="Times New Roman" w:cs="Times New Roman" w:eastAsia="Times New Roman" w:hAnsi="Times New Roman"/>
          <w:sz w:val="16"/>
          <w:szCs w:val="16"/>
          <w:color w:val="auto"/>
        </w:rPr>
        <w:t>President of EXL and Business</w:t>
      </w:r>
    </w:p>
    <w:p>
      <w:pPr>
        <w:ind w:left="500"/>
        <w:spacing w:after="0"/>
        <w:rPr>
          <w:sz w:val="20"/>
          <w:szCs w:val="20"/>
          <w:color w:val="auto"/>
        </w:rPr>
      </w:pPr>
      <w:r>
        <w:rPr>
          <w:rFonts w:ascii="Times New Roman" w:cs="Times New Roman" w:eastAsia="Times New Roman" w:hAnsi="Times New Roman"/>
          <w:sz w:val="18"/>
          <w:szCs w:val="18"/>
          <w:color w:val="auto"/>
        </w:rPr>
        <w:t>Head, Analytics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Aggregate Number of Shares</w:t>
            </w:r>
          </w:p>
        </w:tc>
        <w:tc>
          <w:tcPr>
            <w:tcW w:w="0" w:type="dxa"/>
            <w:vAlign w:val="bottom"/>
          </w:tcPr>
          <w:p>
            <w:pPr>
              <w:spacing w:after="0"/>
              <w:rPr>
                <w:sz w:val="1"/>
                <w:szCs w:val="1"/>
                <w:color w:val="auto"/>
              </w:rPr>
            </w:pPr>
          </w:p>
        </w:tc>
      </w:tr>
      <w:tr>
        <w:trPr>
          <w:trHeight w:val="158"/>
        </w:trPr>
        <w:tc>
          <w:tcPr>
            <w:tcW w:w="20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Character of Trading</w:t>
            </w: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8"/>
              </w:rPr>
              <w:t>of Common Stock to be Sold</w:t>
            </w:r>
          </w:p>
        </w:tc>
        <w:tc>
          <w:tcPr>
            <w:tcW w:w="0" w:type="dxa"/>
            <w:vAlign w:val="bottom"/>
          </w:tcPr>
          <w:p>
            <w:pPr>
              <w:spacing w:after="0"/>
              <w:rPr>
                <w:sz w:val="1"/>
                <w:szCs w:val="1"/>
                <w:color w:val="auto"/>
              </w:rPr>
            </w:pPr>
          </w:p>
        </w:tc>
      </w:tr>
      <w:tr>
        <w:trPr>
          <w:trHeight w:val="158"/>
        </w:trPr>
        <w:tc>
          <w:tcPr>
            <w:tcW w:w="2080" w:type="dxa"/>
            <w:vAlign w:val="bottom"/>
            <w:gridSpan w:val="2"/>
            <w:vMerge w:val="continue"/>
          </w:tcPr>
          <w:p>
            <w:pPr>
              <w:spacing w:after="0"/>
              <w:rPr>
                <w:sz w:val="13"/>
                <w:szCs w:val="13"/>
                <w:color w:val="auto"/>
              </w:rPr>
            </w:pPr>
          </w:p>
        </w:tc>
        <w:tc>
          <w:tcPr>
            <w:tcW w:w="16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Date Adopted</w:t>
            </w:r>
          </w:p>
        </w:tc>
        <w:tc>
          <w:tcPr>
            <w:tcW w:w="80" w:type="dxa"/>
            <w:vAlign w:val="bottom"/>
            <w:vMerge w:val="restart"/>
          </w:tcPr>
          <w:p>
            <w:pPr>
              <w:spacing w:after="0"/>
              <w:rPr>
                <w:sz w:val="13"/>
                <w:szCs w:val="13"/>
                <w:color w:val="auto"/>
              </w:rPr>
            </w:pPr>
          </w:p>
        </w:tc>
        <w:tc>
          <w:tcPr>
            <w:tcW w:w="1640" w:type="dxa"/>
            <w:vAlign w:val="bottom"/>
            <w:vMerge w:val="restart"/>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 xml:space="preserve">Duration </w:t>
            </w:r>
            <w:r>
              <w:rPr>
                <w:rFonts w:ascii="Times New Roman" w:cs="Times New Roman" w:eastAsia="Times New Roman" w:hAnsi="Times New Roman"/>
                <w:sz w:val="20"/>
                <w:szCs w:val="20"/>
                <w:b w:val="1"/>
                <w:bCs w:val="1"/>
                <w:color w:val="auto"/>
                <w:vertAlign w:val="superscript"/>
              </w:rPr>
              <w:t>(2)</w:t>
            </w:r>
          </w:p>
        </w:tc>
        <w:tc>
          <w:tcPr>
            <w:tcW w:w="80" w:type="dxa"/>
            <w:vAlign w:val="bottom"/>
            <w:vMerge w:val="restart"/>
          </w:tcPr>
          <w:p>
            <w:pPr>
              <w:spacing w:after="0"/>
              <w:rPr>
                <w:sz w:val="13"/>
                <w:szCs w:val="13"/>
                <w:color w:val="auto"/>
              </w:rPr>
            </w:pPr>
          </w:p>
        </w:tc>
        <w:tc>
          <w:tcPr>
            <w:tcW w:w="21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Pursuant to Trading</w:t>
            </w:r>
          </w:p>
        </w:tc>
        <w:tc>
          <w:tcPr>
            <w:tcW w:w="0" w:type="dxa"/>
            <w:vAlign w:val="bottom"/>
          </w:tcPr>
          <w:p>
            <w:pPr>
              <w:spacing w:after="0"/>
              <w:rPr>
                <w:sz w:val="1"/>
                <w:szCs w:val="1"/>
                <w:color w:val="auto"/>
              </w:rPr>
            </w:pPr>
          </w:p>
        </w:tc>
      </w:tr>
      <w:tr>
        <w:trPr>
          <w:trHeight w:val="210"/>
        </w:trPr>
        <w:tc>
          <w:tcPr>
            <w:tcW w:w="2000" w:type="dxa"/>
            <w:vAlign w:val="bottom"/>
            <w:tcBorders>
              <w:bottom w:val="single" w:sz="8" w:color="auto"/>
            </w:tcBorders>
          </w:tcPr>
          <w:p>
            <w:pPr>
              <w:ind w:left="46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Arrangement </w:t>
            </w:r>
            <w:r>
              <w:rPr>
                <w:rFonts w:ascii="Times New Roman" w:cs="Times New Roman" w:eastAsia="Times New Roman" w:hAnsi="Times New Roman"/>
                <w:sz w:val="20"/>
                <w:szCs w:val="20"/>
                <w:b w:val="1"/>
                <w:bCs w:val="1"/>
                <w:color w:val="auto"/>
                <w:vertAlign w:val="superscript"/>
              </w:rPr>
              <w:t>(1)</w:t>
            </w:r>
          </w:p>
        </w:tc>
        <w:tc>
          <w:tcPr>
            <w:tcW w:w="80" w:type="dxa"/>
            <w:vAlign w:val="bottom"/>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Arrangement</w:t>
            </w:r>
          </w:p>
        </w:tc>
        <w:tc>
          <w:tcPr>
            <w:tcW w:w="0" w:type="dxa"/>
            <w:vAlign w:val="bottom"/>
          </w:tcPr>
          <w:p>
            <w:pPr>
              <w:spacing w:after="0"/>
              <w:rPr>
                <w:sz w:val="1"/>
                <w:szCs w:val="1"/>
                <w:color w:val="auto"/>
              </w:rPr>
            </w:pPr>
          </w:p>
        </w:tc>
      </w:tr>
      <w:tr>
        <w:trPr>
          <w:trHeight w:val="50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Trading Arrangement</w:t>
            </w: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March 13, 2024</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7, 2025</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93,190</w:t>
            </w:r>
          </w:p>
        </w:tc>
        <w:tc>
          <w:tcPr>
            <w:tcW w:w="0" w:type="dxa"/>
            <w:vAlign w:val="bottom"/>
          </w:tcPr>
          <w:p>
            <w:pPr>
              <w:spacing w:after="0"/>
              <w:rPr>
                <w:sz w:val="1"/>
                <w:szCs w:val="1"/>
                <w:color w:val="auto"/>
              </w:rPr>
            </w:pPr>
          </w:p>
        </w:tc>
      </w:tr>
      <w:tr>
        <w:trPr>
          <w:trHeight w:val="342"/>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Rule 10b5-1</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Trading Arrangement</w:t>
            </w:r>
          </w:p>
        </w:tc>
        <w:tc>
          <w:tcPr>
            <w:tcW w:w="17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March 15, 2024</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14, 2025</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-1562735</wp:posOffset>
            </wp:positionH>
            <wp:positionV relativeFrom="paragraph">
              <wp:posOffset>-850265</wp:posOffset>
            </wp:positionV>
            <wp:extent cx="6409690" cy="483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09690" cy="483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260"/>
            <w:col w:w="8300"/>
          </w:cols>
          <w:pgMar w:left="320" w:top="119" w:right="339" w:bottom="1440" w:gutter="0" w:footer="0" w:header="0"/>
        </w:sectPr>
      </w:pPr>
    </w:p>
    <w:p>
      <w:pPr>
        <w:spacing w:after="0" w:line="98" w:lineRule="exact"/>
        <w:rPr>
          <w:sz w:val="20"/>
          <w:szCs w:val="20"/>
          <w:color w:val="auto"/>
        </w:rPr>
      </w:pPr>
    </w:p>
    <w:p>
      <w:pPr>
        <w:ind w:firstLine="478"/>
        <w:spacing w:after="0" w:line="253" w:lineRule="auto"/>
        <w:tabs>
          <w:tab w:leader="none" w:pos="7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marked as a “Rule 10b5-1 Trading Arrangement” is intended to satisfy the affirmative defense of Rule 10b5-1(c), as amended (the “Rule”).</w:t>
      </w:r>
    </w:p>
    <w:p>
      <w:pPr>
        <w:spacing w:after="0" w:line="194" w:lineRule="exact"/>
        <w:rPr>
          <w:rFonts w:ascii="Times New Roman" w:cs="Times New Roman" w:eastAsia="Times New Roman" w:hAnsi="Times New Roman"/>
          <w:sz w:val="18"/>
          <w:szCs w:val="18"/>
          <w:color w:val="auto"/>
        </w:rPr>
      </w:pPr>
    </w:p>
    <w:p>
      <w:pPr>
        <w:jc w:val="both"/>
        <w:ind w:firstLine="478"/>
        <w:spacing w:after="0" w:line="235" w:lineRule="auto"/>
        <w:tabs>
          <w:tab w:leader="none" w:pos="72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permits transactions through and including the earlier to occur of (a) the completion of all sales or (b) the date listed in the table. Each trading arrangement marked as a “Rule 10b5-1 Trading Arrangement” only permits transactions upon expiration of the applicable mandatory cooling-off period under the Rule.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exhibits are being filed as part of this report or incorporated by reference as indicated therein:</w:t>
      </w:r>
    </w:p>
    <w:p>
      <w:pPr>
        <w:spacing w:after="0" w:line="235"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40" w:type="dxa"/>
            <w:vAlign w:val="bottom"/>
            <w:gridSpan w:val="8"/>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Restated Certificate of Incorporation of the Company, as in effect as of the date hereof (incorporated by reference to Exhibit 3.1 of</w:t>
              </w:r>
            </w:hyperlink>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0" w:type="dxa"/>
            <w:vAlign w:val="bottom"/>
            <w:tcBorders>
              <w:top w:val="single" w:sz="8" w:color="0000FF"/>
              <w:bottom w:val="single" w:sz="8" w:color="0000FF"/>
            </w:tcBorders>
            <w:gridSpan w:val="6"/>
          </w:tcPr>
          <w:p>
            <w:pPr>
              <w:spacing w:after="0" w:line="151" w:lineRule="exact"/>
              <w:rPr>
                <w:rFonts w:ascii="Times New Roman" w:cs="Times New Roman" w:eastAsia="Times New Roman" w:hAnsi="Times New Roman"/>
                <w:sz w:val="16"/>
                <w:szCs w:val="16"/>
                <w:color w:val="0000FF"/>
              </w:rPr>
            </w:pPr>
            <w:hyperlink r:id="rId84">
              <w:r>
                <w:rPr>
                  <w:rFonts w:ascii="Times New Roman" w:cs="Times New Roman" w:eastAsia="Times New Roman" w:hAnsi="Times New Roman"/>
                  <w:sz w:val="16"/>
                  <w:szCs w:val="16"/>
                  <w:color w:val="0000FF"/>
                </w:rPr>
                <w:t>Company’s Quarterly Report on Form 10-Q (File No. 1-33089) filed on October 26, 2023).</w:t>
              </w:r>
            </w:hyperlink>
          </w:p>
        </w:tc>
        <w:tc>
          <w:tcPr>
            <w:tcW w:w="34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9840" w:type="dxa"/>
            <w:vAlign w:val="bottom"/>
            <w:gridSpan w:val="8"/>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Sixth Amended and Restated By-laws of the Company, as in effect as of the date hereof (incorporated by reference to Exhibit 3.2 of</w:t>
              </w:r>
            </w:hyperlink>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7"/>
          </w:tcPr>
          <w:p>
            <w:pPr>
              <w:spacing w:after="0" w:line="151" w:lineRule="exact"/>
              <w:rPr>
                <w:rFonts w:ascii="Times New Roman" w:cs="Times New Roman" w:eastAsia="Times New Roman" w:hAnsi="Times New Roman"/>
                <w:sz w:val="16"/>
                <w:szCs w:val="16"/>
                <w:color w:val="0000FF"/>
              </w:rPr>
            </w:pPr>
            <w:hyperlink r:id="rId85">
              <w:r>
                <w:rPr>
                  <w:rFonts w:ascii="Times New Roman" w:cs="Times New Roman" w:eastAsia="Times New Roman" w:hAnsi="Times New Roman"/>
                  <w:sz w:val="16"/>
                  <w:szCs w:val="16"/>
                  <w:color w:val="0000FF"/>
                </w:rPr>
                <w:t>Company’s Current Report on Form 8-K (File No. 1-33089) filed on June 21, 2023).</w:t>
              </w:r>
            </w:hyperlink>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3"/>
                <w:szCs w:val="23"/>
                <w:color w:val="auto"/>
              </w:rPr>
            </w:pPr>
          </w:p>
        </w:tc>
        <w:tc>
          <w:tcPr>
            <w:tcW w:w="9840" w:type="dxa"/>
            <w:vAlign w:val="bottom"/>
            <w:gridSpan w:val="8"/>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Master Confirmation – Variable Tenor Accelerated Stock Repurchase, dated as of March 15, 2024, between ExlService Holdings, Inc.</w:t>
              </w:r>
            </w:hyperlink>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7"/>
          </w:tcPr>
          <w:p>
            <w:pPr>
              <w:spacing w:after="0" w:line="151" w:lineRule="exact"/>
              <w:rPr>
                <w:rFonts w:ascii="Times New Roman" w:cs="Times New Roman" w:eastAsia="Times New Roman" w:hAnsi="Times New Roman"/>
                <w:sz w:val="16"/>
                <w:szCs w:val="16"/>
                <w:color w:val="0000FF"/>
              </w:rPr>
            </w:pPr>
            <w:hyperlink r:id="rId86">
              <w:r>
                <w:rPr>
                  <w:rFonts w:ascii="Times New Roman" w:cs="Times New Roman" w:eastAsia="Times New Roman" w:hAnsi="Times New Roman"/>
                  <w:sz w:val="16"/>
                  <w:szCs w:val="16"/>
                  <w:color w:val="0000FF"/>
                </w:rPr>
                <w:t>Citibank, N.A. (incorporated by reference to Exhibit 10.1 of the Company’s Current Report on Form 8-K (File No. 1-33089) filed on March</w:t>
              </w:r>
            </w:hyperlink>
          </w:p>
        </w:tc>
        <w:tc>
          <w:tcPr>
            <w:tcW w:w="20" w:type="dxa"/>
            <w:vAlign w:val="bottom"/>
          </w:tcPr>
          <w:p>
            <w:pPr>
              <w:spacing w:after="0"/>
              <w:rPr>
                <w:sz w:val="13"/>
                <w:szCs w:val="13"/>
                <w:color w:val="auto"/>
              </w:rPr>
            </w:pPr>
          </w:p>
        </w:tc>
      </w:tr>
      <w:tr>
        <w:trPr>
          <w:trHeight w:val="164"/>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0000FF"/>
            </w:tcBorders>
          </w:tcPr>
          <w:p>
            <w:pPr>
              <w:spacing w:after="0" w:line="164" w:lineRule="exact"/>
              <w:rPr>
                <w:rFonts w:ascii="Times New Roman" w:cs="Times New Roman" w:eastAsia="Times New Roman" w:hAnsi="Times New Roman"/>
                <w:sz w:val="18"/>
                <w:szCs w:val="18"/>
                <w:color w:val="0000FF"/>
                <w:w w:val="94"/>
              </w:rPr>
            </w:pPr>
            <w:hyperlink r:id="rId86">
              <w:r>
                <w:rPr>
                  <w:rFonts w:ascii="Times New Roman" w:cs="Times New Roman" w:eastAsia="Times New Roman" w:hAnsi="Times New Roman"/>
                  <w:sz w:val="18"/>
                  <w:szCs w:val="18"/>
                  <w:color w:val="0000FF"/>
                  <w:w w:val="94"/>
                </w:rPr>
                <w:t>2024).</w:t>
              </w:r>
            </w:hyperlink>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2"/>
                <w:szCs w:val="22"/>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Certification of the Chief Executive Officer of ExlService Holdings, pursuant to Rule 13a-14(a) of the Exchange Act, as adopted pursuant to</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3"/>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3"/>
                <w:szCs w:val="23"/>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80" w:type="dxa"/>
            <w:vAlign w:val="bottom"/>
            <w:tcBorders>
              <w:top w:val="single" w:sz="8" w:color="0000FF"/>
              <w:bottom w:val="single" w:sz="8" w:color="0000FF"/>
            </w:tcBorders>
            <w:gridSpan w:val="3"/>
          </w:tcPr>
          <w:p>
            <w:pPr>
              <w:spacing w:after="0" w:line="151" w:lineRule="exact"/>
              <w:rPr>
                <w:sz w:val="20"/>
                <w:szCs w:val="20"/>
                <w:color w:val="auto"/>
              </w:rPr>
            </w:pPr>
            <w:r>
              <w:rPr>
                <w:rFonts w:ascii="Times New Roman" w:cs="Times New Roman" w:eastAsia="Times New Roman" w:hAnsi="Times New Roman"/>
                <w:sz w:val="16"/>
                <w:szCs w:val="16"/>
                <w:color w:val="0000FF"/>
              </w:rPr>
              <w:t>Section 302 of the Sarbanes-Oxley Act of 2002.</w:t>
            </w:r>
          </w:p>
        </w:tc>
        <w:tc>
          <w:tcPr>
            <w:tcW w:w="644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3"/>
                <w:szCs w:val="23"/>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Rule 13a-14(b) of the Exchange Act and 18 U.S.C. Section 1350, as adopted purs</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7"/>
          </w:tcPr>
          <w:p>
            <w:pPr>
              <w:spacing w:after="0" w:line="151" w:lineRule="exact"/>
              <w:rPr>
                <w:sz w:val="20"/>
                <w:szCs w:val="20"/>
                <w:color w:val="auto"/>
              </w:rPr>
            </w:pPr>
            <w:r>
              <w:rPr>
                <w:rFonts w:ascii="Times New Roman" w:cs="Times New Roman" w:eastAsia="Times New Roman" w:hAnsi="Times New Roman"/>
                <w:sz w:val="16"/>
                <w:szCs w:val="16"/>
                <w:color w:val="0000FF"/>
              </w:rPr>
              <w:t>to Section 906 of the Sarbanes-Oxley Act of 2002.</w:t>
            </w:r>
            <w:r>
              <w:rPr>
                <w:rFonts w:ascii="Times New Roman" w:cs="Times New Roman" w:eastAsia="Times New Roman" w:hAnsi="Times New Roman"/>
                <w:sz w:val="16"/>
                <w:szCs w:val="16"/>
                <w:color w:val="000000"/>
              </w:rPr>
              <w:t>*</w:t>
            </w:r>
          </w:p>
        </w:tc>
        <w:tc>
          <w:tcPr>
            <w:tcW w:w="20" w:type="dxa"/>
            <w:vAlign w:val="bottom"/>
          </w:tcPr>
          <w:p>
            <w:pPr>
              <w:spacing w:after="0"/>
              <w:rPr>
                <w:sz w:val="13"/>
                <w:szCs w:val="13"/>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300" w:type="dxa"/>
            <w:vAlign w:val="bottom"/>
            <w:gridSpan w:val="4"/>
          </w:tcPr>
          <w:p>
            <w:pPr>
              <w:spacing w:after="0" w:line="20" w:lineRule="exact"/>
              <w:rPr>
                <w:sz w:val="1"/>
                <w:szCs w:val="1"/>
                <w:color w:val="auto"/>
              </w:rPr>
            </w:pPr>
          </w:p>
        </w:tc>
      </w:tr>
      <w:tr>
        <w:trPr>
          <w:trHeight w:val="26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3"/>
                <w:szCs w:val="23"/>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7"/>
              </w:rPr>
              <w:t>Certification of the Chief Financial Officer pursuant to Rule 13a-14(b) of the Exchange Act and 18 U.S.C. Section 1350, as adopted pursua</w:t>
            </w:r>
          </w:p>
        </w:tc>
      </w:tr>
      <w:tr>
        <w:trPr>
          <w:trHeight w:val="151"/>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20" w:type="dxa"/>
            <w:vAlign w:val="bottom"/>
            <w:tcBorders>
              <w:top w:val="single" w:sz="8" w:color="0000FF"/>
            </w:tcBorders>
            <w:gridSpan w:val="7"/>
          </w:tcPr>
          <w:p>
            <w:pPr>
              <w:spacing w:after="0" w:line="151" w:lineRule="exact"/>
              <w:rPr>
                <w:sz w:val="20"/>
                <w:szCs w:val="20"/>
                <w:color w:val="auto"/>
              </w:rPr>
            </w:pPr>
            <w:r>
              <w:rPr>
                <w:rFonts w:ascii="Times New Roman" w:cs="Times New Roman" w:eastAsia="Times New Roman" w:hAnsi="Times New Roman"/>
                <w:sz w:val="16"/>
                <w:szCs w:val="16"/>
                <w:color w:val="0000FF"/>
              </w:rPr>
              <w:t>Section 906 of the Sarbanes-Oxley Act of 2002.</w:t>
            </w:r>
            <w:r>
              <w:rPr>
                <w:rFonts w:ascii="Times New Roman" w:cs="Times New Roman" w:eastAsia="Times New Roman" w:hAnsi="Times New Roman"/>
                <w:sz w:val="16"/>
                <w:szCs w:val="16"/>
                <w:color w:val="000000"/>
              </w:rPr>
              <w:t>*</w:t>
            </w:r>
          </w:p>
        </w:tc>
        <w:tc>
          <w:tcPr>
            <w:tcW w:w="20" w:type="dxa"/>
            <w:vAlign w:val="bottom"/>
          </w:tcPr>
          <w:p>
            <w:pPr>
              <w:spacing w:after="0"/>
              <w:rPr>
                <w:sz w:val="13"/>
                <w:szCs w:val="13"/>
                <w:color w:val="auto"/>
              </w:rPr>
            </w:pPr>
          </w:p>
        </w:tc>
      </w:tr>
      <w:tr>
        <w:trPr>
          <w:trHeight w:val="308"/>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33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80" w:type="dxa"/>
            <w:vAlign w:val="bottom"/>
            <w:gridSpan w:val="6"/>
          </w:tcPr>
          <w:p>
            <w:pPr>
              <w:spacing w:after="0"/>
              <w:rPr>
                <w:sz w:val="24"/>
                <w:szCs w:val="24"/>
                <w:color w:val="auto"/>
              </w:rPr>
            </w:pP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20" w:type="dxa"/>
            <w:vAlign w:val="bottom"/>
          </w:tcPr>
          <w:p>
            <w:pPr>
              <w:spacing w:after="0"/>
              <w:rPr>
                <w:sz w:val="24"/>
                <w:szCs w:val="24"/>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20" w:type="dxa"/>
            <w:vAlign w:val="bottom"/>
          </w:tcPr>
          <w:p>
            <w:pPr>
              <w:spacing w:after="0"/>
              <w:rPr>
                <w:sz w:val="24"/>
                <w:szCs w:val="24"/>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20" w:type="dxa"/>
            <w:vAlign w:val="bottom"/>
          </w:tcPr>
          <w:p>
            <w:pPr>
              <w:spacing w:after="0"/>
              <w:rPr>
                <w:sz w:val="24"/>
                <w:szCs w:val="24"/>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76"/>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20" w:type="dxa"/>
            <w:vAlign w:val="bottom"/>
          </w:tcPr>
          <w:p>
            <w:pPr>
              <w:spacing w:after="0"/>
              <w:rPr>
                <w:sz w:val="24"/>
                <w:szCs w:val="24"/>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w:t>
            </w:r>
          </w:p>
        </w:tc>
      </w:tr>
      <w:tr>
        <w:trPr>
          <w:trHeight w:val="276"/>
        </w:trPr>
        <w:tc>
          <w:tcPr>
            <w:tcW w:w="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310" w:lineRule="exact"/>
        <w:rPr>
          <w:sz w:val="20"/>
          <w:szCs w:val="20"/>
          <w:color w:val="auto"/>
        </w:rPr>
      </w:pPr>
    </w:p>
    <w:p>
      <w:pPr>
        <w:jc w:val="both"/>
        <w:ind w:left="80" w:right="100" w:hanging="78"/>
        <w:spacing w:after="0" w:line="256" w:lineRule="auto"/>
        <w:rPr>
          <w:sz w:val="20"/>
          <w:szCs w:val="20"/>
          <w:color w:val="auto"/>
        </w:rPr>
      </w:pPr>
      <w:r>
        <w:rPr>
          <w:rFonts w:ascii="Times New Roman" w:cs="Times New Roman" w:eastAsia="Times New Roman" w:hAnsi="Times New Roman"/>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780"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3" w:lineRule="exact"/>
        <w:rPr>
          <w:sz w:val="20"/>
          <w:szCs w:val="20"/>
          <w:color w:val="auto"/>
        </w:rPr>
      </w:pPr>
    </w:p>
    <w:p>
      <w:pPr>
        <w:ind w:left="460"/>
        <w:spacing w:after="0"/>
        <w:tabs>
          <w:tab w:leader="none" w:pos="534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6"/>
          <w:szCs w:val="16"/>
          <w:b w:val="1"/>
          <w:bCs w:val="1"/>
          <w:color w:val="auto"/>
        </w:rPr>
        <w:t>EXLSERVICE HOLDINGS, INC.</w:t>
      </w:r>
    </w:p>
    <w:p>
      <w:pPr>
        <w:spacing w:after="0" w:line="257" w:lineRule="exact"/>
        <w:rPr>
          <w:sz w:val="20"/>
          <w:szCs w:val="20"/>
          <w:color w:val="auto"/>
        </w:rPr>
      </w:pPr>
    </w:p>
    <w:p>
      <w:pPr>
        <w:ind w:left="536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4"/>
          <w:szCs w:val="14"/>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3783965</wp:posOffset>
            </wp:positionH>
            <wp:positionV relativeFrom="paragraph">
              <wp:posOffset>29210</wp:posOffset>
            </wp:positionV>
            <wp:extent cx="34169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416935" cy="8255"/>
                    </a:xfrm>
                    <a:prstGeom prst="rect">
                      <a:avLst/>
                    </a:prstGeom>
                    <a:noFill/>
                  </pic:spPr>
                </pic:pic>
              </a:graphicData>
            </a:graphic>
          </wp:anchor>
        </w:drawing>
      </w:r>
    </w:p>
    <w:p>
      <w:pPr>
        <w:spacing w:after="0" w:line="2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MAURIZIO NICOLELLI</w:t>
      </w:r>
    </w:p>
    <w:p>
      <w:pPr>
        <w:ind w:left="5980"/>
        <w:spacing w:after="0" w:line="198"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right"/>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340"/>
          </w:cols>
          <w:pgMar w:left="320" w:top="119" w:right="12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14" w:lineRule="exact"/>
        <w:rPr>
          <w:sz w:val="20"/>
          <w:szCs w:val="20"/>
          <w:color w:val="auto"/>
        </w:rPr>
      </w:pPr>
    </w:p>
    <w:p>
      <w:pPr>
        <w:ind w:left="400" w:hanging="395"/>
        <w:spacing w:after="0"/>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3" w:lineRule="exact"/>
        <w:rPr>
          <w:rFonts w:ascii="Times New Roman" w:cs="Times New Roman" w:eastAsia="Times New Roman" w:hAnsi="Times New Roman"/>
          <w:sz w:val="18"/>
          <w:szCs w:val="18"/>
          <w:color w:val="auto"/>
        </w:rPr>
      </w:pPr>
    </w:p>
    <w:p>
      <w:pPr>
        <w:ind w:left="400" w:hanging="395"/>
        <w:spacing w:after="0" w:line="331" w:lineRule="auto"/>
        <w:tabs>
          <w:tab w:leader="none" w:pos="40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hanging="395"/>
        <w:spacing w:after="0" w:line="268" w:lineRule="auto"/>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jc w:val="both"/>
        <w:ind w:left="400" w:hanging="395"/>
        <w:spacing w:after="0" w:line="256" w:lineRule="auto"/>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hanging="321"/>
        <w:spacing w:after="0" w:line="268" w:lineRule="auto"/>
        <w:tabs>
          <w:tab w:leader="none" w:pos="71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hanging="395"/>
        <w:spacing w:after="0" w:line="268" w:lineRule="auto"/>
        <w:tabs>
          <w:tab w:leader="none" w:pos="4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1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1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Rohit Kapoor</w:t>
            </w:r>
          </w:p>
        </w:tc>
      </w:tr>
      <w:tr>
        <w:trPr>
          <w:trHeight w:val="212"/>
        </w:trPr>
        <w:tc>
          <w:tcPr>
            <w:tcW w:w="61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Rohit Kapoor</w:t>
            </w:r>
          </w:p>
        </w:tc>
      </w:tr>
      <w:tr>
        <w:trPr>
          <w:trHeight w:val="228"/>
        </w:trPr>
        <w:tc>
          <w:tcPr>
            <w:tcW w:w="61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40"/>
          </w:cols>
          <w:pgMar w:left="320" w:top="868"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Maurizio Nicolelli, certify that:</w:t>
      </w:r>
    </w:p>
    <w:p>
      <w:pPr>
        <w:spacing w:after="0" w:line="345" w:lineRule="exact"/>
        <w:rPr>
          <w:sz w:val="20"/>
          <w:szCs w:val="20"/>
          <w:color w:val="auto"/>
        </w:rPr>
      </w:pPr>
    </w:p>
    <w:p>
      <w:pPr>
        <w:ind w:left="400" w:hanging="395"/>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13" w:lineRule="exact"/>
        <w:rPr>
          <w:rFonts w:ascii="Times New Roman" w:cs="Times New Roman" w:eastAsia="Times New Roman" w:hAnsi="Times New Roman"/>
          <w:sz w:val="18"/>
          <w:szCs w:val="18"/>
          <w:color w:val="auto"/>
        </w:rPr>
      </w:pPr>
    </w:p>
    <w:p>
      <w:pPr>
        <w:ind w:left="400" w:hanging="395"/>
        <w:spacing w:after="0" w:line="331" w:lineRule="auto"/>
        <w:tabs>
          <w:tab w:leader="none" w:pos="40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6"/>
          <w:szCs w:val="16"/>
          <w:color w:val="auto"/>
        </w:rPr>
      </w:pPr>
    </w:p>
    <w:p>
      <w:pPr>
        <w:ind w:left="400" w:hanging="395"/>
        <w:spacing w:after="0" w:line="268" w:lineRule="auto"/>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8"/>
          <w:szCs w:val="18"/>
          <w:color w:val="auto"/>
        </w:rPr>
      </w:pPr>
    </w:p>
    <w:p>
      <w:pPr>
        <w:jc w:val="both"/>
        <w:ind w:left="400" w:hanging="395"/>
        <w:spacing w:after="0" w:line="256" w:lineRule="auto"/>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Times New Roman" w:cs="Times New Roman" w:eastAsia="Times New Roman" w:hAnsi="Times New Roman"/>
          <w:sz w:val="18"/>
          <w:szCs w:val="18"/>
          <w:color w:val="auto"/>
        </w:rPr>
      </w:pPr>
    </w:p>
    <w:p>
      <w:pPr>
        <w:ind w:left="720" w:hanging="321"/>
        <w:spacing w:after="0" w:line="268" w:lineRule="auto"/>
        <w:tabs>
          <w:tab w:leader="none" w:pos="7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8"/>
          <w:szCs w:val="18"/>
          <w:color w:val="auto"/>
        </w:rPr>
      </w:pPr>
    </w:p>
    <w:p>
      <w:pPr>
        <w:jc w:val="both"/>
        <w:ind w:left="720" w:hanging="321"/>
        <w:spacing w:after="0" w:line="256" w:lineRule="auto"/>
        <w:tabs>
          <w:tab w:leader="none" w:pos="7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8" w:lineRule="exact"/>
        <w:rPr>
          <w:rFonts w:ascii="Times New Roman" w:cs="Times New Roman" w:eastAsia="Times New Roman" w:hAnsi="Times New Roman"/>
          <w:sz w:val="18"/>
          <w:szCs w:val="18"/>
          <w:color w:val="auto"/>
        </w:rPr>
      </w:pPr>
    </w:p>
    <w:p>
      <w:pPr>
        <w:ind w:left="400" w:hanging="395"/>
        <w:spacing w:after="0" w:line="268" w:lineRule="auto"/>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8"/>
          <w:szCs w:val="18"/>
          <w:color w:val="auto"/>
        </w:rPr>
      </w:pPr>
    </w:p>
    <w:p>
      <w:pPr>
        <w:ind w:left="720" w:hanging="321"/>
        <w:spacing w:after="0" w:line="268" w:lineRule="auto"/>
        <w:tabs>
          <w:tab w:leader="none" w:pos="71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Maurizio Nicolelli</w:t>
            </w:r>
          </w:p>
        </w:tc>
      </w:tr>
      <w:tr>
        <w:trPr>
          <w:trHeight w:val="212"/>
        </w:trPr>
        <w:tc>
          <w:tcPr>
            <w:tcW w:w="578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Maurizio Nicolelli</w:t>
            </w:r>
          </w:p>
        </w:tc>
      </w:tr>
      <w:tr>
        <w:trPr>
          <w:trHeight w:val="228"/>
        </w:trPr>
        <w:tc>
          <w:tcPr>
            <w:tcW w:w="578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68"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2024 as filed with the Securities and Exchange Commission on the date hereof (the “Report”), I, Rohit Kapoor, Chairman and Chief Executive Officer of the Company, certify, pursuant to 18 U.S.C. Section 1350, as adopted pursuant to Section 906 of the Sarbanes-Oxley Act of 2002, that:</w:t>
      </w:r>
    </w:p>
    <w:p>
      <w:pPr>
        <w:spacing w:after="0" w:line="218" w:lineRule="exact"/>
        <w:rPr>
          <w:sz w:val="20"/>
          <w:szCs w:val="20"/>
          <w:color w:val="auto"/>
        </w:rPr>
      </w:pPr>
    </w:p>
    <w:p>
      <w:pPr>
        <w:ind w:left="320" w:hanging="315"/>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62763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7634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Rohit Kapoor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2, 2024</w:t>
      </w:r>
    </w:p>
    <w:p>
      <w:pPr>
        <w:sectPr>
          <w:pgSz w:w="11900" w:h="16838" w:orient="portrait"/>
          <w:cols w:equalWidth="0" w:num="1">
            <w:col w:w="11240"/>
          </w:cols>
          <w:pgMar w:left="320" w:top="86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March 31, 2024 as filed with the Securities and Exchange Commission on the date hereof (the “Report”), I, Maurizio Nicolelli, Chief Financial Officer of the Company, certify, pursuant to 18 U.S.C. Section 1350, as adopted pursuant to Section 906 of the Sarbanes-Oxley Act of 2002, that:</w:t>
      </w:r>
    </w:p>
    <w:p>
      <w:pPr>
        <w:spacing w:after="0" w:line="179" w:lineRule="exact"/>
        <w:rPr>
          <w:sz w:val="20"/>
          <w:szCs w:val="20"/>
          <w:color w:val="auto"/>
        </w:rPr>
      </w:pPr>
    </w:p>
    <w:p>
      <w:pPr>
        <w:ind w:left="320" w:hanging="315"/>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3" w:lineRule="exact"/>
        <w:rPr>
          <w:rFonts w:ascii="Times New Roman" w:cs="Times New Roman" w:eastAsia="Times New Roman" w:hAnsi="Times New Roman"/>
          <w:sz w:val="18"/>
          <w:szCs w:val="18"/>
          <w:color w:val="auto"/>
        </w:rPr>
      </w:pPr>
    </w:p>
    <w:p>
      <w:pPr>
        <w:ind w:left="320" w:hanging="315"/>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Maurizio Nicolelli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48907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4890770" cy="825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Maurizio Nicolelli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2024</w:t>
      </w: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4" Type="http://schemas.openxmlformats.org/officeDocument/2006/relationships/hyperlink" Target="https://www.sec.gov/Archives/edgar/data/1297989/000129798923000009/exls-ex31x09302023x10q.htm" TargetMode="External"/><Relationship Id="rId85" Type="http://schemas.openxmlformats.org/officeDocument/2006/relationships/hyperlink" Target="https://www.sec.gov/Archives/edgar/data/1297989/000119312523171321/d523950dex32.htm" TargetMode="External"/><Relationship Id="rId86" Type="http://schemas.openxmlformats.org/officeDocument/2006/relationships/hyperlink" Target="https://www.sec.gov/Archives/edgar/data/0001297989/000110465924035232/tm24896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2024-05-02T12:51:47Z</dcterms:created>
  <dcterms:modified xsi:type="dcterms:W3CDTF">2024-05-02T12:51:47Z</dcterms:modified>
</cp:coreProperties>
</file>