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4540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4540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Shashank Amit</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350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52"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04/25/2008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83"/>
        <w:spacing w:after="0"/>
        <w:rPr>
          <w:sz w:val="20"/>
          <w:szCs w:val="20"/>
          <w:color w:val="auto"/>
        </w:rPr>
      </w:pPr>
      <w:r>
        <w:rPr>
          <w:rFonts w:ascii="Arial" w:cs="Arial" w:eastAsia="Arial" w:hAnsi="Arial"/>
          <w:sz w:val="18"/>
          <w:szCs w:val="18"/>
          <w:color w:val="0000FF"/>
        </w:rPr>
        <w:t>VP, Gen. Counsel/Corp. Sec'y</w:t>
      </w:r>
    </w:p>
    <w:p>
      <w:pPr>
        <w:spacing w:after="0" w:line="315" w:lineRule="exact"/>
        <w:rPr>
          <w:sz w:val="24"/>
          <w:szCs w:val="24"/>
          <w:color w:val="auto"/>
        </w:rPr>
      </w:pPr>
    </w:p>
    <w:p>
      <w:pPr>
        <w:sectPr>
          <w:pgSz w:w="11900" w:h="16838" w:orient="portrait"/>
          <w:cols w:equalWidth="0" w:num="3">
            <w:col w:w="3360" w:space="720"/>
            <w:col w:w="3257" w:space="720"/>
            <w:col w:w="3463"/>
          </w:cols>
          <w:pgMar w:left="240" w:top="226" w:right="1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0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120" w:type="dxa"/>
            <w:vAlign w:val="bottom"/>
          </w:tcPr>
          <w:p>
            <w:pPr>
              <w:spacing w:after="0"/>
              <w:rPr>
                <w:sz w:val="20"/>
                <w:szCs w:val="20"/>
                <w:color w:val="auto"/>
              </w:rPr>
            </w:pPr>
            <w:r>
              <w:rPr>
                <w:rFonts w:ascii="Arial" w:cs="Arial" w:eastAsia="Arial" w:hAnsi="Arial"/>
                <w:sz w:val="18"/>
                <w:szCs w:val="18"/>
                <w:color w:val="0000FF"/>
              </w:rPr>
              <w:t>NEW YORK</w:t>
            </w:r>
          </w:p>
        </w:tc>
        <w:tc>
          <w:tcPr>
            <w:tcW w:w="1000" w:type="dxa"/>
            <w:vAlign w:val="bottom"/>
          </w:tcPr>
          <w:p>
            <w:pPr>
              <w:ind w:left="160"/>
              <w:spacing w:after="0"/>
              <w:rPr>
                <w:sz w:val="20"/>
                <w:szCs w:val="20"/>
                <w:color w:val="auto"/>
              </w:rPr>
            </w:pPr>
            <w:r>
              <w:rPr>
                <w:rFonts w:ascii="Arial" w:cs="Arial" w:eastAsia="Arial" w:hAnsi="Arial"/>
                <w:sz w:val="18"/>
                <w:szCs w:val="18"/>
                <w:color w:val="0000FF"/>
              </w:rPr>
              <w:t>NY</w:t>
            </w:r>
          </w:p>
        </w:tc>
        <w:tc>
          <w:tcPr>
            <w:tcW w:w="1680" w:type="dxa"/>
            <w:vAlign w:val="bottom"/>
          </w:tcPr>
          <w:p>
            <w:pPr>
              <w:ind w:left="420"/>
              <w:spacing w:after="0"/>
              <w:rPr>
                <w:sz w:val="20"/>
                <w:szCs w:val="20"/>
                <w:color w:val="auto"/>
              </w:rPr>
            </w:pPr>
            <w:r>
              <w:rPr>
                <w:rFonts w:ascii="Arial" w:cs="Arial" w:eastAsia="Arial" w:hAnsi="Arial"/>
                <w:sz w:val="18"/>
                <w:szCs w:val="18"/>
                <w:color w:val="0000FF"/>
              </w:rPr>
              <w:t>10022</w:t>
            </w:r>
          </w:p>
        </w:tc>
      </w:tr>
      <w:tr>
        <w:trPr>
          <w:trHeight w:val="158"/>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4"/>
                <w:szCs w:val="14"/>
                <w:color w:val="auto"/>
              </w:rPr>
              <w:t>(City)</w:t>
            </w:r>
          </w:p>
        </w:tc>
        <w:tc>
          <w:tcPr>
            <w:tcW w:w="1000" w:type="dxa"/>
            <w:vAlign w:val="bottom"/>
          </w:tcPr>
          <w:p>
            <w:pPr>
              <w:ind w:left="16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44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2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4"/>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gridSpan w:val="2"/>
          </w:tcPr>
          <w:p>
            <w:pPr>
              <w:jc w:val="right"/>
              <w:ind w:right="78"/>
              <w:spacing w:after="0"/>
              <w:rPr>
                <w:sz w:val="20"/>
                <w:szCs w:val="20"/>
                <w:color w:val="auto"/>
              </w:rPr>
            </w:pPr>
            <w:r>
              <w:rPr>
                <w:rFonts w:ascii="Arial" w:cs="Arial" w:eastAsia="Arial" w:hAnsi="Arial"/>
                <w:sz w:val="18"/>
                <w:szCs w:val="18"/>
                <w:color w:val="0000FF"/>
              </w:rPr>
              <w:t>04/25/2008</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ind w:left="160"/>
              <w:spacing w:after="0"/>
              <w:rPr>
                <w:sz w:val="20"/>
                <w:szCs w:val="20"/>
                <w:color w:val="auto"/>
              </w:rPr>
            </w:pPr>
            <w:r>
              <w:rPr>
                <w:rFonts w:ascii="Arial" w:cs="Arial" w:eastAsia="Arial" w:hAnsi="Arial"/>
                <w:sz w:val="14"/>
                <w:szCs w:val="14"/>
                <w:color w:val="0000FF"/>
              </w:rPr>
              <w:t>M</w:t>
            </w:r>
          </w:p>
        </w:tc>
        <w:tc>
          <w:tcPr>
            <w:tcW w:w="720" w:type="dxa"/>
            <w:vAlign w:val="bottom"/>
          </w:tcPr>
          <w:p>
            <w:pPr>
              <w:jc w:val="right"/>
              <w:ind w:right="13"/>
              <w:spacing w:after="0"/>
              <w:rPr>
                <w:sz w:val="20"/>
                <w:szCs w:val="20"/>
                <w:color w:val="auto"/>
              </w:rPr>
            </w:pPr>
            <w:r>
              <w:rPr>
                <w:rFonts w:ascii="Arial" w:cs="Arial" w:eastAsia="Arial" w:hAnsi="Arial"/>
                <w:sz w:val="18"/>
                <w:szCs w:val="18"/>
                <w:color w:val="0000FF"/>
              </w:rPr>
              <w:t>1,000</w:t>
            </w:r>
          </w:p>
        </w:tc>
        <w:tc>
          <w:tcPr>
            <w:tcW w:w="68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right"/>
              <w:ind w:right="74"/>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11,105</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4"/>
          </w:tcPr>
          <w:p>
            <w:pPr>
              <w:spacing w:after="0"/>
              <w:rPr>
                <w:sz w:val="5"/>
                <w:szCs w:val="5"/>
                <w:color w:val="auto"/>
              </w:rPr>
            </w:pPr>
          </w:p>
        </w:tc>
        <w:tc>
          <w:tcPr>
            <w:tcW w:w="110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4"/>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2"/>
          </w:tcPr>
          <w:p>
            <w:pPr>
              <w:jc w:val="right"/>
              <w:ind w:right="78"/>
              <w:spacing w:after="0"/>
              <w:rPr>
                <w:sz w:val="20"/>
                <w:szCs w:val="20"/>
                <w:color w:val="auto"/>
              </w:rPr>
            </w:pPr>
            <w:r>
              <w:rPr>
                <w:rFonts w:ascii="Arial" w:cs="Arial" w:eastAsia="Arial" w:hAnsi="Arial"/>
                <w:sz w:val="18"/>
                <w:szCs w:val="18"/>
                <w:color w:val="0000FF"/>
              </w:rPr>
              <w:t>04/25/2008</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ind w:right="93"/>
              <w:spacing w:after="0"/>
              <w:rPr>
                <w:sz w:val="20"/>
                <w:szCs w:val="20"/>
                <w:color w:val="auto"/>
              </w:rPr>
            </w:pPr>
            <w:r>
              <w:rPr>
                <w:rFonts w:ascii="Arial" w:cs="Arial" w:eastAsia="Arial" w:hAnsi="Arial"/>
                <w:sz w:val="18"/>
                <w:szCs w:val="18"/>
                <w:color w:val="0000FF"/>
              </w:rPr>
              <w:t>325</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24.445</w:t>
            </w:r>
            <w:r>
              <w:rPr>
                <w:rFonts w:ascii="Arial" w:cs="Arial" w:eastAsia="Arial" w:hAnsi="Arial"/>
                <w:sz w:val="22"/>
                <w:szCs w:val="22"/>
                <w:color w:val="008000"/>
                <w:w w:val="84"/>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10,780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3"/>
          </w:tcPr>
          <w:p>
            <w:pPr>
              <w:jc w:val="center"/>
              <w:ind w:left="91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080" w:type="dxa"/>
            <w:vAlign w:val="bottom"/>
            <w:gridSpan w:val="9"/>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Restricted</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(3)</w:t>
            </w:r>
          </w:p>
        </w:tc>
        <w:tc>
          <w:tcPr>
            <w:tcW w:w="1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720" w:type="dxa"/>
            <w:vAlign w:val="bottom"/>
            <w:vMerge w:val="restart"/>
          </w:tcPr>
          <w:p>
            <w:pPr>
              <w:ind w:left="280"/>
              <w:spacing w:after="0"/>
              <w:rPr>
                <w:sz w:val="20"/>
                <w:szCs w:val="20"/>
                <w:color w:val="auto"/>
              </w:rPr>
            </w:pPr>
            <w:r>
              <w:rPr>
                <w:rFonts w:ascii="Arial" w:cs="Arial" w:eastAsia="Arial" w:hAnsi="Arial"/>
                <w:sz w:val="11"/>
                <w:szCs w:val="11"/>
                <w:color w:val="008000"/>
              </w:rPr>
              <w:t>(4)</w:t>
            </w:r>
          </w:p>
        </w:tc>
        <w:tc>
          <w:tcPr>
            <w:tcW w:w="680" w:type="dxa"/>
            <w:vAlign w:val="bottom"/>
          </w:tcPr>
          <w:p>
            <w:pPr>
              <w:ind w:left="160"/>
              <w:spacing w:after="0" w:line="149" w:lineRule="exact"/>
              <w:rPr>
                <w:sz w:val="20"/>
                <w:szCs w:val="20"/>
                <w:color w:val="auto"/>
              </w:rPr>
            </w:pPr>
            <w:r>
              <w:rPr>
                <w:rFonts w:ascii="Arial" w:cs="Arial" w:eastAsia="Arial" w:hAnsi="Arial"/>
                <w:sz w:val="14"/>
                <w:szCs w:val="14"/>
                <w:color w:val="0000FF"/>
              </w:rPr>
              <w:t>Stock,</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1,000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vMerge w:val="restart"/>
          </w:tcPr>
          <w:p>
            <w:pPr>
              <w:ind w:left="80"/>
              <w:spacing w:after="0"/>
              <w:rPr>
                <w:sz w:val="20"/>
                <w:szCs w:val="20"/>
                <w:color w:val="auto"/>
              </w:rPr>
            </w:pPr>
            <w:r>
              <w:rPr>
                <w:rFonts w:ascii="Arial" w:cs="Arial" w:eastAsia="Arial" w:hAnsi="Arial"/>
                <w:sz w:val="11"/>
                <w:szCs w:val="11"/>
                <w:color w:val="008000"/>
              </w:rPr>
              <w:t>(5)</w:t>
            </w: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40" w:type="dxa"/>
            <w:vAlign w:val="bottom"/>
            <w:vMerge w:val="restart"/>
          </w:tcPr>
          <w:p>
            <w:pPr>
              <w:jc w:val="right"/>
              <w:ind w:right="192"/>
              <w:spacing w:after="0" w:line="149" w:lineRule="exact"/>
              <w:rPr>
                <w:sz w:val="20"/>
                <w:szCs w:val="20"/>
                <w:color w:val="auto"/>
              </w:rPr>
            </w:pPr>
            <w:r>
              <w:rPr>
                <w:rFonts w:ascii="Arial" w:cs="Arial" w:eastAsia="Arial" w:hAnsi="Arial"/>
                <w:sz w:val="14"/>
                <w:szCs w:val="14"/>
                <w:color w:val="0000FF"/>
              </w:rPr>
              <w:t>04/25/2008</w:t>
            </w:r>
          </w:p>
        </w:tc>
        <w:tc>
          <w:tcPr>
            <w:tcW w:w="5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8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6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1,000</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w w:val="96"/>
              </w:rPr>
              <w:t>9,000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ind w:left="140"/>
              <w:spacing w:after="0"/>
              <w:rPr>
                <w:sz w:val="20"/>
                <w:szCs w:val="20"/>
                <w:color w:val="auto"/>
              </w:rPr>
            </w:pPr>
            <w:r>
              <w:rPr>
                <w:rFonts w:ascii="Arial" w:cs="Arial" w:eastAsia="Arial" w:hAnsi="Arial"/>
                <w:sz w:val="14"/>
                <w:szCs w:val="14"/>
                <w:color w:val="0000FF"/>
              </w:rPr>
              <w:t>$0.001</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0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April 25, 2008, ExlService Holdings, Inc. (the "Company") issued 1,000 shares of common stock, par value $0.001 per share ("Common Stock"), to the reporting person upon the vesting of an equal number of shares of restricted stock previously granted to the reporting person.</w:t>
      </w:r>
    </w:p>
    <w:p>
      <w:pPr>
        <w:spacing w:after="0" w:line="30" w:lineRule="exact"/>
        <w:rPr>
          <w:rFonts w:ascii="Arial" w:cs="Arial" w:eastAsia="Arial" w:hAnsi="Arial"/>
          <w:sz w:val="14"/>
          <w:szCs w:val="14"/>
          <w:color w:val="008000"/>
        </w:rPr>
      </w:pPr>
    </w:p>
    <w:p>
      <w:pPr>
        <w:ind w:left="40" w:right="14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April 25, 2008.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10 percent of the shares of restricted stock vested on April 25, 2008; an additional 20 percent of the shares of restricted stock will vest on April 25, 2009; an additional 30 percent of the shares of restricted stock will vest on April 25, 2010; and the remaining 40 percent of the shares of restricted stock will vest on April 25, 2011.</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Not applicable.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04/29/2008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9"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2019-12-16T15:05:45Z</dcterms:created>
  <dcterms:modified xsi:type="dcterms:W3CDTF">2019-12-16T15:05:45Z</dcterms:modified>
</cp:coreProperties>
</file>