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8-K</w:t>
      </w:r>
    </w:p>
    <w:p>
      <w:pPr>
        <w:spacing w:after="0" w:line="279"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Exchange Act of 1934</w:t>
      </w:r>
    </w:p>
    <w:p>
      <w:pPr>
        <w:spacing w:after="0" w:line="265"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Date of Report (Date of earliest event reported): June 15, 2012</w:t>
      </w:r>
    </w:p>
    <w:p>
      <w:pPr>
        <w:spacing w:after="0" w:line="27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31" w:lineRule="exact"/>
        <w:rPr>
          <w:sz w:val="24"/>
          <w:szCs w:val="24"/>
          <w:color w:val="auto"/>
        </w:rPr>
      </w:pPr>
    </w:p>
    <w:tbl>
      <w:tblPr>
        <w:tblLayout w:type="fixed"/>
        <w:tblInd w:w="960" w:type="dxa"/>
        <w:tblCellMar>
          <w:top w:w="0" w:type="dxa"/>
          <w:left w:w="0" w:type="dxa"/>
          <w:bottom w:w="0" w:type="dxa"/>
          <w:right w:w="0" w:type="dxa"/>
        </w:tblCellMar>
      </w:tblPr>
      <w:tr>
        <w:trPr>
          <w:trHeight w:val="220"/>
        </w:trPr>
        <w:tc>
          <w:tcPr>
            <w:tcW w:w="282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Delaware</w:t>
            </w:r>
          </w:p>
        </w:tc>
        <w:tc>
          <w:tcPr>
            <w:tcW w:w="4000" w:type="dxa"/>
            <w:vAlign w:val="bottom"/>
          </w:tcPr>
          <w:p>
            <w:pPr>
              <w:jc w:val="right"/>
              <w:ind w:right="1590"/>
              <w:spacing w:after="0"/>
              <w:rPr>
                <w:sz w:val="20"/>
                <w:szCs w:val="20"/>
                <w:color w:val="auto"/>
              </w:rPr>
            </w:pPr>
            <w:r>
              <w:rPr>
                <w:rFonts w:ascii="Arial" w:cs="Arial" w:eastAsia="Arial" w:hAnsi="Arial"/>
                <w:sz w:val="18"/>
                <w:szCs w:val="18"/>
                <w:b w:val="1"/>
                <w:bCs w:val="1"/>
                <w:color w:val="auto"/>
              </w:rPr>
              <w:t>001-33089</w:t>
            </w:r>
          </w:p>
        </w:tc>
        <w:tc>
          <w:tcPr>
            <w:tcW w:w="240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82-0572194</w:t>
            </w:r>
          </w:p>
        </w:tc>
      </w:tr>
      <w:tr>
        <w:trPr>
          <w:trHeight w:val="216"/>
        </w:trPr>
        <w:tc>
          <w:tcPr>
            <w:tcW w:w="2820" w:type="dxa"/>
            <w:vAlign w:val="bottom"/>
          </w:tcPr>
          <w:p>
            <w:pPr>
              <w:jc w:val="center"/>
              <w:ind w:right="830"/>
              <w:spacing w:after="0"/>
              <w:rPr>
                <w:sz w:val="20"/>
                <w:szCs w:val="20"/>
                <w:color w:val="auto"/>
              </w:rPr>
            </w:pPr>
            <w:r>
              <w:rPr>
                <w:rFonts w:ascii="Arial" w:cs="Arial" w:eastAsia="Arial" w:hAnsi="Arial"/>
                <w:sz w:val="18"/>
                <w:szCs w:val="18"/>
                <w:color w:val="auto"/>
                <w:w w:val="92"/>
              </w:rPr>
              <w:t>(State or other jurisdiction</w:t>
            </w:r>
          </w:p>
        </w:tc>
        <w:tc>
          <w:tcPr>
            <w:tcW w:w="400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 Number)</w:t>
            </w:r>
          </w:p>
        </w:tc>
        <w:tc>
          <w:tcPr>
            <w:tcW w:w="2400" w:type="dxa"/>
            <w:vAlign w:val="bottom"/>
          </w:tcPr>
          <w:p>
            <w:pPr>
              <w:jc w:val="center"/>
              <w:ind w:left="990"/>
              <w:spacing w:after="0"/>
              <w:rPr>
                <w:sz w:val="20"/>
                <w:szCs w:val="20"/>
                <w:color w:val="auto"/>
              </w:rPr>
            </w:pPr>
            <w:r>
              <w:rPr>
                <w:rFonts w:ascii="Arial" w:cs="Arial" w:eastAsia="Arial" w:hAnsi="Arial"/>
                <w:sz w:val="18"/>
                <w:szCs w:val="18"/>
                <w:color w:val="auto"/>
                <w:w w:val="93"/>
              </w:rPr>
              <w:t>(I.R.S. Employer</w:t>
            </w:r>
          </w:p>
        </w:tc>
      </w:tr>
      <w:tr>
        <w:trPr>
          <w:trHeight w:val="230"/>
        </w:trPr>
        <w:tc>
          <w:tcPr>
            <w:tcW w:w="2820" w:type="dxa"/>
            <w:vAlign w:val="bottom"/>
          </w:tcPr>
          <w:p>
            <w:pPr>
              <w:jc w:val="center"/>
              <w:ind w:right="830"/>
              <w:spacing w:after="0"/>
              <w:rPr>
                <w:sz w:val="20"/>
                <w:szCs w:val="20"/>
                <w:color w:val="auto"/>
              </w:rPr>
            </w:pPr>
            <w:r>
              <w:rPr>
                <w:rFonts w:ascii="Arial" w:cs="Arial" w:eastAsia="Arial" w:hAnsi="Arial"/>
                <w:sz w:val="18"/>
                <w:szCs w:val="18"/>
                <w:color w:val="auto"/>
                <w:w w:val="93"/>
              </w:rPr>
              <w:t>of incorporation)</w:t>
            </w:r>
          </w:p>
        </w:tc>
        <w:tc>
          <w:tcPr>
            <w:tcW w:w="4000" w:type="dxa"/>
            <w:vAlign w:val="bottom"/>
          </w:tcPr>
          <w:p>
            <w:pPr>
              <w:spacing w:after="0"/>
              <w:rPr>
                <w:sz w:val="20"/>
                <w:szCs w:val="20"/>
                <w:color w:val="auto"/>
              </w:rPr>
            </w:pPr>
          </w:p>
        </w:tc>
        <w:tc>
          <w:tcPr>
            <w:tcW w:w="2400" w:type="dxa"/>
            <w:vAlign w:val="bottom"/>
          </w:tcPr>
          <w:p>
            <w:pPr>
              <w:jc w:val="center"/>
              <w:ind w:left="97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32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33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277-7100</w:t>
      </w:r>
    </w:p>
    <w:p>
      <w:pPr>
        <w:spacing w:after="0" w:line="27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224"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310" w:right="79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June 15, 2012, Mr. Edward V. Dardani, a member of the Board of Directors of ExlService Holdings, Inc. (the “Company”), notified the Chairman of the Board of Directors of the Company, Mr. Vikram Talwar, of his decision to resign from the Board of Directors of the Company. Mr. Dardani’s resignation took effect as of June 15, 2012. Mr. Dardani was a member of the Nominating and Governance Committee.</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On June 15, 2012, the Company held its annual meeting of stockholders. At the meeting, stockholders voted on the following items: (1) the election of three Class III members of the Board of Directors of the Company, (2) the ratification of the selection of Ernst &amp; Young LLP as the independent registered public accounting firm of the Company for fiscal year 2012 and (3) the approval of the compensation of the named executive officers of the Company.</w:t>
      </w:r>
    </w:p>
    <w:p>
      <w:pPr>
        <w:spacing w:after="0" w:line="14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Each of the three nominees for election to the Board of Directors was duly elected to serve as a director until the annual meeting of stockholders in 2015 or until his successor is duly elected and qualified in accordance with the by-laws of the Company. The final results of the voting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Nominees</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2680" w:type="dxa"/>
            <w:vAlign w:val="bottom"/>
          </w:tcPr>
          <w:p>
            <w:pPr>
              <w:ind w:left="1040"/>
              <w:spacing w:after="0"/>
              <w:rPr>
                <w:sz w:val="20"/>
                <w:szCs w:val="20"/>
                <w:color w:val="auto"/>
              </w:rPr>
            </w:pPr>
            <w:r>
              <w:rPr>
                <w:rFonts w:ascii="Arial" w:cs="Arial" w:eastAsia="Arial" w:hAnsi="Arial"/>
                <w:sz w:val="18"/>
                <w:szCs w:val="18"/>
                <w:b w:val="1"/>
                <w:bCs w:val="1"/>
                <w:color w:val="auto"/>
              </w:rPr>
              <w:t>Withhold</w:t>
            </w:r>
          </w:p>
        </w:tc>
        <w:tc>
          <w:tcPr>
            <w:tcW w:w="302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6F4F9"/>
          </w:tcPr>
          <w:p>
            <w:pPr>
              <w:spacing w:after="0"/>
              <w:rPr>
                <w:sz w:val="20"/>
                <w:szCs w:val="20"/>
                <w:color w:val="auto"/>
              </w:rPr>
            </w:pPr>
            <w:r>
              <w:rPr>
                <w:rFonts w:ascii="Arial" w:cs="Arial" w:eastAsia="Arial" w:hAnsi="Arial"/>
                <w:sz w:val="18"/>
                <w:szCs w:val="18"/>
                <w:color w:val="auto"/>
              </w:rPr>
              <w:t>Steven B. Gruber</w:t>
            </w:r>
          </w:p>
        </w:tc>
        <w:tc>
          <w:tcPr>
            <w:tcW w:w="2940" w:type="dxa"/>
            <w:vAlign w:val="bottom"/>
            <w:shd w:val="clear" w:color="auto" w:fill="C6F4F9"/>
          </w:tcPr>
          <w:p>
            <w:pPr>
              <w:jc w:val="center"/>
              <w:spacing w:after="0"/>
              <w:rPr>
                <w:sz w:val="20"/>
                <w:szCs w:val="20"/>
                <w:color w:val="auto"/>
              </w:rPr>
            </w:pPr>
            <w:r>
              <w:rPr>
                <w:rFonts w:ascii="Arial" w:cs="Arial" w:eastAsia="Arial" w:hAnsi="Arial"/>
                <w:sz w:val="18"/>
                <w:szCs w:val="18"/>
                <w:color w:val="auto"/>
                <w:w w:val="88"/>
              </w:rPr>
              <w:t>29,222,761</w:t>
            </w:r>
          </w:p>
        </w:tc>
        <w:tc>
          <w:tcPr>
            <w:tcW w:w="2680" w:type="dxa"/>
            <w:vAlign w:val="bottom"/>
            <w:shd w:val="clear" w:color="auto" w:fill="C6F4F9"/>
          </w:tcPr>
          <w:p>
            <w:pPr>
              <w:ind w:left="1060"/>
              <w:spacing w:after="0"/>
              <w:rPr>
                <w:sz w:val="20"/>
                <w:szCs w:val="20"/>
                <w:color w:val="auto"/>
              </w:rPr>
            </w:pPr>
            <w:r>
              <w:rPr>
                <w:rFonts w:ascii="Arial" w:cs="Arial" w:eastAsia="Arial" w:hAnsi="Arial"/>
                <w:sz w:val="18"/>
                <w:szCs w:val="18"/>
                <w:color w:val="auto"/>
              </w:rPr>
              <w:t>1,010,516</w:t>
            </w:r>
          </w:p>
        </w:tc>
        <w:tc>
          <w:tcPr>
            <w:tcW w:w="3020" w:type="dxa"/>
            <w:vAlign w:val="bottom"/>
            <w:shd w:val="clear" w:color="auto" w:fill="C6F4F9"/>
          </w:tcPr>
          <w:p>
            <w:pPr>
              <w:jc w:val="center"/>
              <w:ind w:left="70"/>
              <w:spacing w:after="0"/>
              <w:rPr>
                <w:sz w:val="20"/>
                <w:szCs w:val="20"/>
                <w:color w:val="auto"/>
              </w:rPr>
            </w:pPr>
            <w:r>
              <w:rPr>
                <w:rFonts w:ascii="Arial" w:cs="Arial" w:eastAsia="Arial" w:hAnsi="Arial"/>
                <w:sz w:val="18"/>
                <w:szCs w:val="18"/>
                <w:color w:val="auto"/>
                <w:w w:val="89"/>
              </w:rPr>
              <w:t>884,086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6F4F9"/>
          </w:tcPr>
          <w:p>
            <w:pPr>
              <w:spacing w:after="0"/>
              <w:rPr>
                <w:sz w:val="20"/>
                <w:szCs w:val="20"/>
                <w:color w:val="auto"/>
              </w:rPr>
            </w:pPr>
            <w:r>
              <w:rPr>
                <w:rFonts w:ascii="Arial" w:cs="Arial" w:eastAsia="Arial" w:hAnsi="Arial"/>
                <w:sz w:val="18"/>
                <w:szCs w:val="18"/>
                <w:color w:val="auto"/>
              </w:rPr>
              <w:t>Dr. Mohanbir Sawhney</w:t>
            </w:r>
          </w:p>
        </w:tc>
        <w:tc>
          <w:tcPr>
            <w:tcW w:w="2940" w:type="dxa"/>
            <w:vAlign w:val="bottom"/>
            <w:shd w:val="clear" w:color="auto" w:fill="C6F4F9"/>
          </w:tcPr>
          <w:p>
            <w:pPr>
              <w:jc w:val="center"/>
              <w:spacing w:after="0"/>
              <w:rPr>
                <w:sz w:val="20"/>
                <w:szCs w:val="20"/>
                <w:color w:val="auto"/>
              </w:rPr>
            </w:pPr>
            <w:r>
              <w:rPr>
                <w:rFonts w:ascii="Arial" w:cs="Arial" w:eastAsia="Arial" w:hAnsi="Arial"/>
                <w:sz w:val="18"/>
                <w:szCs w:val="18"/>
                <w:color w:val="auto"/>
                <w:w w:val="88"/>
              </w:rPr>
              <w:t>23,857,376</w:t>
            </w:r>
          </w:p>
        </w:tc>
        <w:tc>
          <w:tcPr>
            <w:tcW w:w="2680" w:type="dxa"/>
            <w:vAlign w:val="bottom"/>
            <w:shd w:val="clear" w:color="auto" w:fill="C6F4F9"/>
          </w:tcPr>
          <w:p>
            <w:pPr>
              <w:ind w:left="1060"/>
              <w:spacing w:after="0"/>
              <w:rPr>
                <w:sz w:val="20"/>
                <w:szCs w:val="20"/>
                <w:color w:val="auto"/>
              </w:rPr>
            </w:pPr>
            <w:r>
              <w:rPr>
                <w:rFonts w:ascii="Arial" w:cs="Arial" w:eastAsia="Arial" w:hAnsi="Arial"/>
                <w:sz w:val="18"/>
                <w:szCs w:val="18"/>
                <w:color w:val="auto"/>
              </w:rPr>
              <w:t>6,375,901</w:t>
            </w:r>
          </w:p>
        </w:tc>
        <w:tc>
          <w:tcPr>
            <w:tcW w:w="3020" w:type="dxa"/>
            <w:vAlign w:val="bottom"/>
            <w:shd w:val="clear" w:color="auto" w:fill="C6F4F9"/>
          </w:tcPr>
          <w:p>
            <w:pPr>
              <w:jc w:val="center"/>
              <w:ind w:left="70"/>
              <w:spacing w:after="0"/>
              <w:rPr>
                <w:sz w:val="20"/>
                <w:szCs w:val="20"/>
                <w:color w:val="auto"/>
              </w:rPr>
            </w:pPr>
            <w:r>
              <w:rPr>
                <w:rFonts w:ascii="Arial" w:cs="Arial" w:eastAsia="Arial" w:hAnsi="Arial"/>
                <w:sz w:val="18"/>
                <w:szCs w:val="18"/>
                <w:color w:val="auto"/>
                <w:w w:val="89"/>
              </w:rPr>
              <w:t>884,086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6F4F9"/>
          </w:tcPr>
          <w:p>
            <w:pPr>
              <w:spacing w:after="0"/>
              <w:rPr>
                <w:sz w:val="20"/>
                <w:szCs w:val="20"/>
                <w:color w:val="auto"/>
              </w:rPr>
            </w:pPr>
            <w:r>
              <w:rPr>
                <w:rFonts w:ascii="Arial" w:cs="Arial" w:eastAsia="Arial" w:hAnsi="Arial"/>
                <w:sz w:val="18"/>
                <w:szCs w:val="18"/>
                <w:color w:val="auto"/>
              </w:rPr>
              <w:t>Garen K. Staglin</w:t>
            </w:r>
          </w:p>
        </w:tc>
        <w:tc>
          <w:tcPr>
            <w:tcW w:w="2940" w:type="dxa"/>
            <w:vAlign w:val="bottom"/>
            <w:shd w:val="clear" w:color="auto" w:fill="C6F4F9"/>
          </w:tcPr>
          <w:p>
            <w:pPr>
              <w:jc w:val="center"/>
              <w:spacing w:after="0"/>
              <w:rPr>
                <w:sz w:val="20"/>
                <w:szCs w:val="20"/>
                <w:color w:val="auto"/>
              </w:rPr>
            </w:pPr>
            <w:r>
              <w:rPr>
                <w:rFonts w:ascii="Arial" w:cs="Arial" w:eastAsia="Arial" w:hAnsi="Arial"/>
                <w:sz w:val="18"/>
                <w:szCs w:val="18"/>
                <w:color w:val="auto"/>
                <w:w w:val="88"/>
              </w:rPr>
              <w:t>29,222,761</w:t>
            </w:r>
          </w:p>
        </w:tc>
        <w:tc>
          <w:tcPr>
            <w:tcW w:w="2680" w:type="dxa"/>
            <w:vAlign w:val="bottom"/>
            <w:shd w:val="clear" w:color="auto" w:fill="C6F4F9"/>
          </w:tcPr>
          <w:p>
            <w:pPr>
              <w:ind w:left="1060"/>
              <w:spacing w:after="0"/>
              <w:rPr>
                <w:sz w:val="20"/>
                <w:szCs w:val="20"/>
                <w:color w:val="auto"/>
              </w:rPr>
            </w:pPr>
            <w:r>
              <w:rPr>
                <w:rFonts w:ascii="Arial" w:cs="Arial" w:eastAsia="Arial" w:hAnsi="Arial"/>
                <w:sz w:val="18"/>
                <w:szCs w:val="18"/>
                <w:color w:val="auto"/>
              </w:rPr>
              <w:t>1,010,516</w:t>
            </w:r>
          </w:p>
        </w:tc>
        <w:tc>
          <w:tcPr>
            <w:tcW w:w="3020" w:type="dxa"/>
            <w:vAlign w:val="bottom"/>
            <w:shd w:val="clear" w:color="auto" w:fill="C6F4F9"/>
          </w:tcPr>
          <w:p>
            <w:pPr>
              <w:jc w:val="center"/>
              <w:ind w:left="70"/>
              <w:spacing w:after="0"/>
              <w:rPr>
                <w:sz w:val="20"/>
                <w:szCs w:val="20"/>
                <w:color w:val="auto"/>
              </w:rPr>
            </w:pPr>
            <w:r>
              <w:rPr>
                <w:rFonts w:ascii="Arial" w:cs="Arial" w:eastAsia="Arial" w:hAnsi="Arial"/>
                <w:sz w:val="18"/>
                <w:szCs w:val="18"/>
                <w:color w:val="auto"/>
                <w:w w:val="89"/>
              </w:rPr>
              <w:t>884,086</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proposal to ratify the selection of Ernst &amp; Young LLP as the independent registered public accounting firm of the Company for fiscal year 2012 was approved. The final results of the voting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2780" w:type="dxa"/>
            <w:vAlign w:val="bottom"/>
          </w:tcPr>
          <w:p>
            <w:pPr>
              <w:ind w:left="1060"/>
              <w:spacing w:after="0"/>
              <w:rPr>
                <w:sz w:val="20"/>
                <w:szCs w:val="20"/>
                <w:color w:val="auto"/>
              </w:rPr>
            </w:pPr>
            <w:r>
              <w:rPr>
                <w:rFonts w:ascii="Arial" w:cs="Arial" w:eastAsia="Arial" w:hAnsi="Arial"/>
                <w:sz w:val="18"/>
                <w:szCs w:val="18"/>
                <w:b w:val="1"/>
                <w:bCs w:val="1"/>
                <w:color w:val="auto"/>
              </w:rPr>
              <w:t>Against</w:t>
            </w:r>
          </w:p>
        </w:tc>
        <w:tc>
          <w:tcPr>
            <w:tcW w:w="268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Abstain</w:t>
            </w:r>
          </w:p>
        </w:tc>
        <w:tc>
          <w:tcPr>
            <w:tcW w:w="304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Broker Non-Vote</w:t>
            </w:r>
          </w:p>
        </w:tc>
      </w:tr>
      <w:tr>
        <w:trPr>
          <w:trHeight w:val="216"/>
        </w:trPr>
        <w:tc>
          <w:tcPr>
            <w:tcW w:w="2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2920" w:type="dxa"/>
            <w:vAlign w:val="bottom"/>
            <w:shd w:val="clear" w:color="auto" w:fill="C6F4F9"/>
          </w:tcPr>
          <w:p>
            <w:pPr>
              <w:jc w:val="right"/>
              <w:ind w:right="990"/>
              <w:spacing w:after="0"/>
              <w:rPr>
                <w:sz w:val="20"/>
                <w:szCs w:val="20"/>
                <w:color w:val="auto"/>
              </w:rPr>
            </w:pPr>
            <w:r>
              <w:rPr>
                <w:rFonts w:ascii="Arial" w:cs="Arial" w:eastAsia="Arial" w:hAnsi="Arial"/>
                <w:sz w:val="18"/>
                <w:szCs w:val="18"/>
                <w:color w:val="auto"/>
              </w:rPr>
              <w:t>30,939,505</w:t>
            </w:r>
          </w:p>
        </w:tc>
        <w:tc>
          <w:tcPr>
            <w:tcW w:w="2780" w:type="dxa"/>
            <w:vAlign w:val="bottom"/>
            <w:shd w:val="clear" w:color="auto" w:fill="C6F4F9"/>
          </w:tcPr>
          <w:p>
            <w:pPr>
              <w:ind w:left="1080"/>
              <w:spacing w:after="0"/>
              <w:rPr>
                <w:sz w:val="20"/>
                <w:szCs w:val="20"/>
                <w:color w:val="auto"/>
              </w:rPr>
            </w:pPr>
            <w:r>
              <w:rPr>
                <w:rFonts w:ascii="Arial" w:cs="Arial" w:eastAsia="Arial" w:hAnsi="Arial"/>
                <w:sz w:val="18"/>
                <w:szCs w:val="18"/>
                <w:color w:val="auto"/>
              </w:rPr>
              <w:t>177,858</w:t>
            </w:r>
          </w:p>
        </w:tc>
        <w:tc>
          <w:tcPr>
            <w:tcW w:w="2680" w:type="dxa"/>
            <w:vAlign w:val="bottom"/>
            <w:shd w:val="clear" w:color="auto" w:fill="C6F4F9"/>
          </w:tcPr>
          <w:p>
            <w:pPr>
              <w:jc w:val="right"/>
              <w:ind w:right="1090"/>
              <w:spacing w:after="0"/>
              <w:rPr>
                <w:sz w:val="20"/>
                <w:szCs w:val="20"/>
                <w:color w:val="auto"/>
              </w:rPr>
            </w:pPr>
            <w:r>
              <w:rPr>
                <w:rFonts w:ascii="Arial" w:cs="Arial" w:eastAsia="Arial" w:hAnsi="Arial"/>
                <w:sz w:val="18"/>
                <w:szCs w:val="18"/>
                <w:color w:val="auto"/>
              </w:rPr>
              <w:t>--</w:t>
            </w:r>
          </w:p>
        </w:tc>
        <w:tc>
          <w:tcPr>
            <w:tcW w:w="3040" w:type="dxa"/>
            <w:vAlign w:val="bottom"/>
            <w:shd w:val="clear" w:color="auto" w:fill="C6F4F9"/>
          </w:tcPr>
          <w:p>
            <w:pPr>
              <w:jc w:val="right"/>
              <w:ind w:right="1290"/>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proposal to approve the compensation of the named executive officers of the Company was approved. The final results of the voting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264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Abstain</w:t>
            </w:r>
          </w:p>
        </w:tc>
        <w:tc>
          <w:tcPr>
            <w:tcW w:w="304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Broker Non-Vote</w:t>
            </w:r>
          </w:p>
        </w:tc>
      </w:tr>
      <w:tr>
        <w:trPr>
          <w:trHeight w:val="216"/>
        </w:trPr>
        <w:tc>
          <w:tcPr>
            <w:tcW w:w="28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2880" w:type="dxa"/>
            <w:vAlign w:val="bottom"/>
            <w:shd w:val="clear" w:color="auto" w:fill="C6F4F9"/>
          </w:tcPr>
          <w:p>
            <w:pPr>
              <w:jc w:val="right"/>
              <w:ind w:right="950"/>
              <w:spacing w:after="0"/>
              <w:rPr>
                <w:sz w:val="20"/>
                <w:szCs w:val="20"/>
                <w:color w:val="auto"/>
              </w:rPr>
            </w:pPr>
            <w:r>
              <w:rPr>
                <w:rFonts w:ascii="Arial" w:cs="Arial" w:eastAsia="Arial" w:hAnsi="Arial"/>
                <w:sz w:val="18"/>
                <w:szCs w:val="18"/>
                <w:color w:val="auto"/>
              </w:rPr>
              <w:t>29,153,174</w:t>
            </w:r>
          </w:p>
        </w:tc>
        <w:tc>
          <w:tcPr>
            <w:tcW w:w="2860" w:type="dxa"/>
            <w:vAlign w:val="bottom"/>
            <w:shd w:val="clear" w:color="auto" w:fill="C6F4F9"/>
          </w:tcPr>
          <w:p>
            <w:pPr>
              <w:jc w:val="right"/>
              <w:ind w:right="1010"/>
              <w:spacing w:after="0"/>
              <w:rPr>
                <w:sz w:val="20"/>
                <w:szCs w:val="20"/>
                <w:color w:val="auto"/>
              </w:rPr>
            </w:pPr>
            <w:r>
              <w:rPr>
                <w:rFonts w:ascii="Arial" w:cs="Arial" w:eastAsia="Arial" w:hAnsi="Arial"/>
                <w:sz w:val="18"/>
                <w:szCs w:val="18"/>
                <w:color w:val="auto"/>
              </w:rPr>
              <w:t>1,073,083</w:t>
            </w:r>
          </w:p>
        </w:tc>
        <w:tc>
          <w:tcPr>
            <w:tcW w:w="2640" w:type="dxa"/>
            <w:vAlign w:val="bottom"/>
            <w:shd w:val="clear" w:color="auto" w:fill="C6F4F9"/>
          </w:tcPr>
          <w:p>
            <w:pPr>
              <w:jc w:val="right"/>
              <w:ind w:right="950"/>
              <w:spacing w:after="0"/>
              <w:rPr>
                <w:sz w:val="20"/>
                <w:szCs w:val="20"/>
                <w:color w:val="auto"/>
              </w:rPr>
            </w:pPr>
            <w:r>
              <w:rPr>
                <w:rFonts w:ascii="Arial" w:cs="Arial" w:eastAsia="Arial" w:hAnsi="Arial"/>
                <w:sz w:val="18"/>
                <w:szCs w:val="18"/>
                <w:color w:val="auto"/>
              </w:rPr>
              <w:t>7,020</w:t>
            </w:r>
          </w:p>
        </w:tc>
        <w:tc>
          <w:tcPr>
            <w:tcW w:w="30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884,086</w:t>
            </w:r>
          </w:p>
        </w:tc>
      </w:tr>
      <w:tr>
        <w:trPr>
          <w:trHeight w:val="1388"/>
        </w:trPr>
        <w:tc>
          <w:tcPr>
            <w:tcW w:w="288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6040" w:val="left"/>
          <w:tab w:leader="none" w:pos="6560" w:val="left"/>
        </w:tabs>
        <w:rPr>
          <w:sz w:val="20"/>
          <w:szCs w:val="20"/>
          <w:color w:val="auto"/>
        </w:rPr>
      </w:pPr>
      <w:r>
        <w:rPr>
          <w:rFonts w:ascii="Arial" w:cs="Arial" w:eastAsia="Arial" w:hAnsi="Arial"/>
          <w:sz w:val="18"/>
          <w:szCs w:val="18"/>
          <w:color w:val="auto"/>
        </w:rPr>
        <w:t>Date: June 19,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Amit Shashank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23495</wp:posOffset>
            </wp:positionV>
            <wp:extent cx="2306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Amit Shashank</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2370455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40"/>
      </w:cols>
      <w:pgMar w:left="240" w:top="48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2019-12-09T16:41:20Z</dcterms:created>
  <dcterms:modified xsi:type="dcterms:W3CDTF">2019-12-09T16:41:20Z</dcterms:modified>
</cp:coreProperties>
</file>