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760"/>
          </w:cols>
          <w:pgMar w:left="240" w:top="226" w:right="2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Schweppe Henry N III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03/04/2016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4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Pres., Global Bus &amp; Marketing</w:t>
      </w:r>
    </w:p>
    <w:p>
      <w:pPr>
        <w:spacing w:after="0" w:line="315" w:lineRule="exact"/>
        <w:rPr>
          <w:sz w:val="24"/>
          <w:szCs w:val="24"/>
          <w:color w:val="auto"/>
        </w:rPr>
      </w:pPr>
    </w:p>
    <w:p>
      <w:pPr>
        <w:sectPr>
          <w:pgSz w:w="11900" w:h="16838" w:orient="portrait"/>
          <w:cols w:equalWidth="0" w:num="3">
            <w:col w:w="3360" w:space="720"/>
            <w:col w:w="3257" w:space="720"/>
            <w:col w:w="3323"/>
          </w:cols>
          <w:pgMar w:left="240" w:top="226" w:right="27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00"/>
          </w:cols>
          <w:pgMar w:left="240" w:top="226" w:right="27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2480" w:type="dxa"/>
            <w:vAlign w:val="bottom"/>
          </w:tcPr>
          <w:p>
            <w:pPr>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80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1800" w:type="dxa"/>
            <w:vAlign w:val="bottom"/>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c>
          <w:tcPr>
            <w:tcW w:w="0" w:type="dxa"/>
            <w:vAlign w:val="bottom"/>
          </w:tcPr>
          <w:p>
            <w:pPr>
              <w:spacing w:after="0"/>
              <w:rPr>
                <w:sz w:val="1"/>
                <w:szCs w:val="1"/>
                <w:color w:val="auto"/>
              </w:rPr>
            </w:pPr>
          </w:p>
        </w:tc>
      </w:tr>
      <w:tr>
        <w:trPr>
          <w:trHeight w:val="77"/>
        </w:trPr>
        <w:tc>
          <w:tcPr>
            <w:tcW w:w="24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4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4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8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4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8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4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sectPr>
          <w:pgSz w:w="11900" w:h="16838" w:orient="portrait"/>
          <w:cols w:equalWidth="0" w:num="1">
            <w:col w:w="11380"/>
          </w:cols>
          <w:pgMar w:left="240" w:top="226" w:right="279" w:bottom="1440" w:gutter="0" w:footer="0" w:header="0"/>
          <w:type w:val="continuous"/>
        </w:sectPr>
      </w:pPr>
    </w:p>
    <w:p>
      <w:pPr>
        <w:spacing w:after="0" w:line="6" w:lineRule="exact"/>
        <w:rPr>
          <w:sz w:val="24"/>
          <w:szCs w:val="24"/>
          <w:color w:val="auto"/>
        </w:rPr>
      </w:pPr>
    </w:p>
    <w:p>
      <w:pPr>
        <w:spacing w:after="0"/>
        <w:rPr>
          <w:sz w:val="20"/>
          <w:szCs w:val="20"/>
          <w:color w:val="auto"/>
        </w:rPr>
      </w:pPr>
      <w:r>
        <w:rPr>
          <w:sz w:val="1"/>
          <w:szCs w:val="1"/>
          <w:color w:val="auto"/>
        </w:rPr>
        <w:drawing>
          <wp:inline distT="0" distB="0" distL="0" distR="0">
            <wp:extent cx="34290" cy="2482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4290" cy="248285"/>
                    </a:xfrm>
                    <a:prstGeom prst="rect">
                      <a:avLst/>
                    </a:prstGeom>
                    <a:noFill/>
                    <a:ln>
                      <a:noFill/>
                    </a:ln>
                  </pic:spPr>
                </pic:pic>
              </a:graphicData>
            </a:graphic>
          </wp:inline>
        </w:drawing>
      </w:r>
      <w:r>
        <w:rPr>
          <w:rFonts w:ascii="Arial" w:cs="Arial" w:eastAsia="Arial" w:hAnsi="Arial"/>
          <w:sz w:val="15"/>
          <w:szCs w:val="15"/>
          <w:color w:val="0000FF"/>
        </w:rPr>
        <w:t xml:space="preserve"> Common Stock, par value $0.001 per share </w:t>
      </w:r>
      <w:r>
        <w:rPr>
          <w:sz w:val="1"/>
          <w:szCs w:val="1"/>
          <w:color w:val="auto"/>
        </w:rPr>
        <w:drawing>
          <wp:inline distT="0" distB="0" distL="0" distR="0">
            <wp:extent cx="42545" cy="24828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2545" cy="248285"/>
                    </a:xfrm>
                    <a:prstGeom prst="rect">
                      <a:avLst/>
                    </a:prstGeom>
                    <a:noFill/>
                    <a:ln>
                      <a:noFill/>
                    </a:ln>
                  </pic:spPr>
                </pic:pic>
              </a:graphicData>
            </a:graphic>
          </wp:inline>
        </w:drawing>
      </w:r>
      <w:r>
        <w:rPr>
          <w:rFonts w:ascii="Arial" w:cs="Arial" w:eastAsia="Arial" w:hAnsi="Arial"/>
          <w:sz w:val="15"/>
          <w:szCs w:val="15"/>
          <w:color w:val="0000FF"/>
        </w:rPr>
        <w:t xml:space="preserve">  03/04/2016</w:t>
      </w:r>
    </w:p>
    <w:p>
      <w:pPr>
        <w:spacing w:after="0" w:line="20" w:lineRule="exact"/>
        <w:rPr>
          <w:sz w:val="24"/>
          <w:szCs w:val="24"/>
          <w:color w:val="auto"/>
        </w:rPr>
      </w:pPr>
      <w:r>
        <w:rPr>
          <w:sz w:val="24"/>
          <w:szCs w:val="24"/>
          <w:color w:val="auto"/>
        </w:rPr>
        <w:br w:type="column"/>
      </w:r>
    </w:p>
    <w:p>
      <w:pPr>
        <w:spacing w:after="0"/>
        <w:tabs>
          <w:tab w:leader="none" w:pos="216" w:val="left"/>
        </w:tabs>
        <w:rPr>
          <w:sz w:val="20"/>
          <w:szCs w:val="20"/>
          <w:color w:val="auto"/>
        </w:rPr>
      </w:pPr>
      <w:r>
        <w:rPr>
          <w:rFonts w:ascii="Arial" w:cs="Arial" w:eastAsia="Arial" w:hAnsi="Arial"/>
          <w:sz w:val="14"/>
          <w:szCs w:val="14"/>
          <w:color w:val="0000FF"/>
        </w:rPr>
        <w:t>S</w:t>
      </w:r>
      <w:r>
        <w:rPr>
          <w:sz w:val="20"/>
          <w:szCs w:val="20"/>
          <w:color w:val="auto"/>
        </w:rPr>
        <w:tab/>
      </w:r>
      <w:r>
        <w:rPr>
          <w:sz w:val="1"/>
          <w:szCs w:val="1"/>
          <w:color w:val="auto"/>
        </w:rPr>
        <w:drawing>
          <wp:inline distT="0" distB="0" distL="0" distR="0">
            <wp:extent cx="42545" cy="238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drawing>
          <wp:inline distT="0" distB="0" distL="0" distR="0">
            <wp:extent cx="42545" cy="238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Arial" w:cs="Arial" w:eastAsia="Arial" w:hAnsi="Arial"/>
          <w:sz w:val="18"/>
          <w:szCs w:val="18"/>
          <w:color w:val="0000FF"/>
        </w:rPr>
        <w:t xml:space="preserve">  1,735  </w:t>
      </w:r>
      <w:r>
        <w:rPr>
          <w:sz w:val="1"/>
          <w:szCs w:val="1"/>
          <w:color w:val="auto"/>
        </w:rPr>
        <w:drawing>
          <wp:inline distT="0" distB="0" distL="0" distR="0">
            <wp:extent cx="42545" cy="2381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Arial" w:cs="Arial" w:eastAsia="Arial" w:hAnsi="Arial"/>
          <w:sz w:val="18"/>
          <w:szCs w:val="18"/>
          <w:color w:val="0000FF"/>
        </w:rPr>
        <w:t xml:space="preserve">  D  </w:t>
      </w:r>
      <w:r>
        <w:rPr>
          <w:sz w:val="1"/>
          <w:szCs w:val="1"/>
          <w:color w:val="auto"/>
        </w:rPr>
        <w:drawing>
          <wp:inline distT="0" distB="0" distL="0" distR="0">
            <wp:extent cx="42545" cy="238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color w:val="0000FF"/>
        </w:rPr>
        <w:t>47.952</w:t>
      </w:r>
      <w:r>
        <w:rPr>
          <w:rFonts w:ascii="Arial" w:cs="Arial" w:eastAsia="Arial" w:hAnsi="Arial"/>
          <w:sz w:val="22"/>
          <w:szCs w:val="22"/>
          <w:color w:val="008000"/>
          <w:vertAlign w:val="superscript"/>
        </w:rPr>
        <w:t xml:space="preserve">(1) </w:t>
      </w:r>
      <w:r>
        <w:rPr>
          <w:sz w:val="1"/>
          <w:szCs w:val="1"/>
          <w:color w:val="auto"/>
        </w:rPr>
        <w:drawing>
          <wp:inline distT="0" distB="0" distL="0" distR="0">
            <wp:extent cx="42545" cy="238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Arial" w:cs="Arial" w:eastAsia="Arial" w:hAnsi="Arial"/>
          <w:sz w:val="18"/>
          <w:szCs w:val="18"/>
          <w:color w:val="0000FF"/>
        </w:rPr>
        <w:t xml:space="preserve">      0      </w:t>
      </w:r>
      <w:r>
        <w:rPr>
          <w:sz w:val="1"/>
          <w:szCs w:val="1"/>
          <w:color w:val="auto"/>
        </w:rPr>
        <w:drawing>
          <wp:inline distT="0" distB="0" distL="0" distR="0">
            <wp:extent cx="42545" cy="2381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Arial" w:cs="Arial" w:eastAsia="Arial" w:hAnsi="Arial"/>
          <w:sz w:val="18"/>
          <w:szCs w:val="18"/>
          <w:color w:val="0000FF"/>
        </w:rPr>
        <w:t xml:space="preserve">    D</w:t>
      </w:r>
    </w:p>
    <w:p>
      <w:pPr>
        <w:spacing w:after="0" w:line="64" w:lineRule="exact"/>
        <w:rPr>
          <w:sz w:val="24"/>
          <w:szCs w:val="24"/>
          <w:color w:val="auto"/>
        </w:rPr>
      </w:pPr>
    </w:p>
    <w:p>
      <w:pPr>
        <w:sectPr>
          <w:pgSz w:w="11900" w:h="16838" w:orient="portrait"/>
          <w:cols w:equalWidth="0" w:num="2">
            <w:col w:w="4960" w:space="720"/>
            <w:col w:w="5700"/>
          </w:cols>
          <w:pgMar w:left="240" w:top="226" w:right="27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transaction was executed in multiple trades at prices ranging from $47.95 to $47.9526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03/08/2016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80"/>
      </w:cols>
      <w:pgMar w:left="240" w:top="226"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12" Type="http://schemas.openxmlformats.org/officeDocument/2006/relationships/hyperlink" Target="http://www.sec.gov/cgi-bin/browse-edgar?action=getcompany&amp;CIK=000162170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2019-12-08T02:09:51Z</dcterms:created>
  <dcterms:modified xsi:type="dcterms:W3CDTF">2019-12-08T02:09:51Z</dcterms:modified>
</cp:coreProperties>
</file>