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4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gridSpan w:val="6"/>
            <w:vMerge w:val="continue"/>
          </w:tcPr>
          <w:p>
            <w:pPr>
              <w:spacing w:after="0"/>
              <w:rPr>
                <w:sz w:val="11"/>
                <w:szCs w:val="11"/>
                <w:color w:val="auto"/>
              </w:rPr>
            </w:pPr>
          </w:p>
        </w:tc>
        <w:tc>
          <w:tcPr>
            <w:tcW w:w="38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20" w:type="dxa"/>
            <w:vAlign w:val="bottom"/>
            <w:gridSpan w:val="8"/>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06/02/2017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22,140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16.96</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194,826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06/02/2017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22,140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53.06</w:t>
            </w:r>
            <w:r>
              <w:rPr>
                <w:rFonts w:ascii="Arial" w:cs="Arial" w:eastAsia="Arial" w:hAnsi="Arial"/>
                <w:sz w:val="22"/>
                <w:szCs w:val="22"/>
                <w:color w:val="008000"/>
                <w:w w:val="94"/>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172,686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333,185</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177,134</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22,140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06/02/2017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22,140</w:t>
            </w:r>
          </w:p>
        </w:tc>
        <w:tc>
          <w:tcPr>
            <w:tcW w:w="800" w:type="dxa"/>
            <w:vAlign w:val="bottom"/>
            <w:vMerge w:val="continue"/>
          </w:tcPr>
          <w:p>
            <w:pPr>
              <w:spacing w:after="0"/>
              <w:rPr>
                <w:sz w:val="12"/>
                <w:szCs w:val="12"/>
                <w:color w:val="auto"/>
              </w:rPr>
            </w:pPr>
          </w:p>
        </w:tc>
        <w:tc>
          <w:tcPr>
            <w:tcW w:w="740" w:type="dxa"/>
            <w:vAlign w:val="bottom"/>
          </w:tcPr>
          <w:p>
            <w:pPr>
              <w:ind w:left="60"/>
              <w:spacing w:after="0" w:line="148" w:lineRule="exact"/>
              <w:rPr>
                <w:sz w:val="20"/>
                <w:szCs w:val="20"/>
                <w:color w:val="auto"/>
              </w:rPr>
            </w:pPr>
            <w:r>
              <w:rPr>
                <w:rFonts w:ascii="Arial" w:cs="Arial" w:eastAsia="Arial" w:hAnsi="Arial"/>
                <w:sz w:val="13"/>
                <w:szCs w:val="13"/>
                <w:color w:val="0000FF"/>
              </w:rPr>
              <w:t>01/23/2018</w:t>
            </w: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line="148"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w w:val="94"/>
              </w:rPr>
              <w:t>per share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 2017 the reporting person exercised previously issued options to purchase an aggregate of 22,140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$52.90 to $53.46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0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23, 2008, the reporting person was granted 150,000 stock options. 25 percent of these options became vested and exercisable on January 23, 2009, an additional 25 percent became vested and exercisable on January 23, 2010, an additional 25 percent became vested and exercisable on January 23, 2011, and the balance of 25 percent became vested and exercisable on January 23, 2012.</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06/06/2017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2019-12-04T01:07:18Z</dcterms:created>
  <dcterms:modified xsi:type="dcterms:W3CDTF">2019-12-04T01:07:18Z</dcterms:modified>
</cp:coreProperties>
</file>