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552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552565"/>
                    </a:xfrm>
                    <a:prstGeom prst="rect">
                      <a:avLst/>
                    </a:prstGeom>
                    <a:noFill/>
                  </pic:spPr>
                </pic:pic>
              </a:graphicData>
            </a:graphic>
          </wp:anchor>
        </w:drawing>
      </w:r>
    </w:p>
    <w:p>
      <w:pPr>
        <w:spacing w:after="0" w:line="98" w:lineRule="exact"/>
        <w:rPr>
          <w:sz w:val="24"/>
          <w:szCs w:val="24"/>
          <w:color w:val="auto"/>
        </w:rPr>
      </w:pPr>
    </w:p>
    <w:p>
      <w:pPr>
        <w:sectPr>
          <w:pgSz w:w="11900" w:h="16853"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04/29/2015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51"/>
        <w:spacing w:after="0"/>
        <w:rPr>
          <w:sz w:val="20"/>
          <w:szCs w:val="20"/>
          <w:color w:val="auto"/>
        </w:rPr>
      </w:pPr>
      <w:r>
        <w:rPr>
          <w:rFonts w:ascii="Arial" w:cs="Arial" w:eastAsia="Arial" w:hAnsi="Arial"/>
          <w:sz w:val="17"/>
          <w:szCs w:val="17"/>
          <w:color w:val="0000FF"/>
        </w:rPr>
        <w:t>CEO &amp; Vice Chairman</w:t>
      </w:r>
    </w:p>
    <w:p>
      <w:pPr>
        <w:spacing w:after="0" w:line="266" w:lineRule="exact"/>
        <w:rPr>
          <w:sz w:val="24"/>
          <w:szCs w:val="24"/>
          <w:color w:val="auto"/>
        </w:rPr>
      </w:pPr>
    </w:p>
    <w:p>
      <w:pPr>
        <w:sectPr>
          <w:pgSz w:w="11900" w:h="16853" w:orient="portrait"/>
          <w:cols w:equalWidth="0" w:num="3">
            <w:col w:w="3340" w:space="720"/>
            <w:col w:w="3269" w:space="720"/>
            <w:col w:w="3471"/>
          </w:cols>
          <w:pgMar w:left="240" w:top="224" w:right="139" w:bottom="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34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80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0" w:type="dxa"/>
            <w:vAlign w:val="bottom"/>
            <w:gridSpan w:val="8"/>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780" w:type="dxa"/>
            <w:vAlign w:val="bottom"/>
          </w:tcPr>
          <w:p>
            <w:pPr>
              <w:ind w:left="40"/>
              <w:spacing w:after="0"/>
              <w:rPr>
                <w:sz w:val="20"/>
                <w:szCs w:val="20"/>
                <w:color w:val="auto"/>
              </w:rPr>
            </w:pPr>
            <w:r>
              <w:rPr>
                <w:rFonts w:ascii="Arial" w:cs="Arial" w:eastAsia="Arial" w:hAnsi="Arial"/>
                <w:sz w:val="17"/>
                <w:szCs w:val="17"/>
                <w:color w:val="0000FF"/>
              </w:rPr>
              <w:t>10017</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80" w:type="dxa"/>
            <w:vAlign w:val="bottom"/>
            <w:gridSpan w:val="7"/>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7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22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760" w:type="dxa"/>
            <w:vAlign w:val="bottom"/>
            <w:tcBorders>
              <w:bottom w:val="single" w:sz="8" w:color="2C2C2C"/>
            </w:tcBorders>
            <w:gridSpan w:val="5"/>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8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206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380" w:type="dxa"/>
            <w:vAlign w:val="bottom"/>
            <w:tcBorders>
              <w:bottom w:val="single" w:sz="8" w:color="2C2C2C"/>
            </w:tcBorders>
            <w:gridSpan w:val="6"/>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3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11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0000FF"/>
              </w:rPr>
              <w:t>04/02/2015</w:t>
            </w:r>
          </w:p>
        </w:tc>
        <w:tc>
          <w:tcPr>
            <w:tcW w:w="7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G</w:t>
            </w:r>
          </w:p>
        </w:tc>
        <w:tc>
          <w:tcPr>
            <w:tcW w:w="3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V</w:t>
            </w:r>
          </w:p>
        </w:tc>
        <w:tc>
          <w:tcPr>
            <w:tcW w:w="68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0000FF"/>
              </w:rPr>
              <w:t>137</w:t>
            </w:r>
          </w:p>
        </w:tc>
        <w:tc>
          <w:tcPr>
            <w:tcW w:w="70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412,218</w:t>
            </w:r>
            <w:r>
              <w:rPr>
                <w:rFonts w:ascii="Arial" w:cs="Arial" w:eastAsia="Arial" w:hAnsi="Arial"/>
                <w:sz w:val="22"/>
                <w:szCs w:val="22"/>
                <w:color w:val="008000"/>
                <w:w w:val="85"/>
                <w:vertAlign w:val="superscript"/>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line="317"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2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8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126,183</w:t>
            </w:r>
            <w:r>
              <w:rPr>
                <w:rFonts w:ascii="Arial" w:cs="Arial" w:eastAsia="Arial" w:hAnsi="Arial"/>
                <w:sz w:val="22"/>
                <w:szCs w:val="22"/>
                <w:color w:val="008000"/>
                <w:w w:val="85"/>
                <w:vertAlign w:val="superscript"/>
              </w:rPr>
              <w:t>(3)</w:t>
            </w:r>
          </w:p>
        </w:tc>
        <w:tc>
          <w:tcPr>
            <w:tcW w:w="280" w:type="dxa"/>
            <w:vAlign w:val="bottom"/>
          </w:tcPr>
          <w:p>
            <w:pPr>
              <w:spacing w:after="0"/>
              <w:rPr>
                <w:sz w:val="22"/>
                <w:szCs w:val="22"/>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gridSpan w:val="6"/>
            <w:vMerge w:val="continue"/>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2"/>
                <w:szCs w:val="22"/>
                <w:color w:val="008000"/>
                <w:w w:val="91"/>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8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333,185</w:t>
            </w:r>
          </w:p>
        </w:tc>
        <w:tc>
          <w:tcPr>
            <w:tcW w:w="280" w:type="dxa"/>
            <w:vAlign w:val="bottom"/>
          </w:tcPr>
          <w:p>
            <w:pPr>
              <w:spacing w:after="0"/>
              <w:rPr>
                <w:sz w:val="22"/>
                <w:szCs w:val="22"/>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380" w:type="dxa"/>
            <w:vAlign w:val="bottom"/>
            <w:gridSpan w:val="6"/>
            <w:vMerge w:val="continue"/>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2"/>
                <w:szCs w:val="22"/>
                <w:color w:val="008000"/>
                <w:w w:val="91"/>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8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177,134</w:t>
            </w:r>
          </w:p>
        </w:tc>
        <w:tc>
          <w:tcPr>
            <w:tcW w:w="280" w:type="dxa"/>
            <w:vAlign w:val="bottom"/>
          </w:tcPr>
          <w:p>
            <w:pPr>
              <w:spacing w:after="0"/>
              <w:rPr>
                <w:sz w:val="22"/>
                <w:szCs w:val="22"/>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380" w:type="dxa"/>
            <w:vAlign w:val="bottom"/>
            <w:gridSpan w:val="6"/>
            <w:vMerge w:val="continue"/>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2"/>
                <w:szCs w:val="22"/>
                <w:color w:val="008000"/>
                <w:w w:val="91"/>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8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280" w:type="dxa"/>
            <w:vAlign w:val="bottom"/>
          </w:tcPr>
          <w:p>
            <w:pPr>
              <w:spacing w:after="0"/>
              <w:rPr>
                <w:sz w:val="22"/>
                <w:szCs w:val="22"/>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380" w:type="dxa"/>
            <w:vAlign w:val="bottom"/>
            <w:gridSpan w:val="6"/>
            <w:vMerge w:val="continue"/>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2"/>
                <w:szCs w:val="22"/>
                <w:color w:val="008000"/>
                <w:w w:val="91"/>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8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280" w:type="dxa"/>
            <w:vAlign w:val="bottom"/>
          </w:tcPr>
          <w:p>
            <w:pPr>
              <w:spacing w:after="0"/>
              <w:rPr>
                <w:sz w:val="22"/>
                <w:szCs w:val="22"/>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380" w:type="dxa"/>
            <w:vAlign w:val="bottom"/>
            <w:gridSpan w:val="6"/>
            <w:vMerge w:val="continue"/>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500" w:type="dxa"/>
            <w:vAlign w:val="bottom"/>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980" w:type="dxa"/>
            <w:vAlign w:val="bottom"/>
            <w:gridSpan w:val="12"/>
          </w:tcPr>
          <w:p>
            <w:pP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w w:val="98"/>
              </w:rPr>
              <w:t>3A. Deemed</w:t>
            </w:r>
          </w:p>
        </w:tc>
        <w:tc>
          <w:tcPr>
            <w:tcW w:w="3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14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14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(9)</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vMerge w:val="restart"/>
          </w:tcPr>
          <w:p>
            <w:pPr>
              <w:ind w:left="240"/>
              <w:spacing w:after="0"/>
              <w:rPr>
                <w:sz w:val="20"/>
                <w:szCs w:val="20"/>
                <w:color w:val="auto"/>
              </w:rPr>
            </w:pPr>
            <w:r>
              <w:rPr>
                <w:rFonts w:ascii="Arial" w:cs="Arial" w:eastAsia="Arial" w:hAnsi="Arial"/>
                <w:sz w:val="11"/>
                <w:szCs w:val="11"/>
                <w:color w:val="008000"/>
              </w:rPr>
              <w:t>(10)</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60"/>
              <w:spacing w:after="0" w:line="146"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100,000</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ind w:left="260"/>
              <w:spacing w:after="0" w:line="146" w:lineRule="exact"/>
              <w:rPr>
                <w:sz w:val="20"/>
                <w:szCs w:val="20"/>
                <w:color w:val="auto"/>
              </w:rPr>
            </w:pPr>
            <w:r>
              <w:rPr>
                <w:rFonts w:ascii="Arial" w:cs="Arial" w:eastAsia="Arial" w:hAnsi="Arial"/>
                <w:sz w:val="13"/>
                <w:szCs w:val="13"/>
                <w:color w:val="0000FF"/>
              </w:rPr>
              <w:t>04/29/2015</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20"/>
              <w:spacing w:after="0" w:line="146" w:lineRule="exact"/>
              <w:rPr>
                <w:sz w:val="20"/>
                <w:szCs w:val="20"/>
                <w:color w:val="auto"/>
              </w:rPr>
            </w:pPr>
            <w:r>
              <w:rPr>
                <w:rFonts w:ascii="Arial" w:cs="Arial" w:eastAsia="Arial" w:hAnsi="Arial"/>
                <w:sz w:val="13"/>
                <w:szCs w:val="13"/>
                <w:color w:val="0000FF"/>
              </w:rPr>
              <w:t>A</w:t>
            </w: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100,000</w:t>
            </w:r>
          </w:p>
        </w:tc>
        <w:tc>
          <w:tcPr>
            <w:tcW w:w="3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0000FF"/>
                <w:w w:val="92"/>
              </w:rPr>
              <w:t>04/29/2025</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par value</w:t>
            </w: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ind w:left="1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760" w:type="dxa"/>
            <w:vAlign w:val="bottom"/>
            <w:gridSpan w:val="2"/>
          </w:tcPr>
          <w:p>
            <w:pPr>
              <w:ind w:left="200"/>
              <w:spacing w:after="0" w:line="146" w:lineRule="exact"/>
              <w:rPr>
                <w:sz w:val="20"/>
                <w:szCs w:val="20"/>
                <w:color w:val="auto"/>
              </w:rPr>
            </w:pPr>
            <w:r>
              <w:rPr>
                <w:rFonts w:ascii="Arial" w:cs="Arial" w:eastAsia="Arial" w:hAnsi="Arial"/>
                <w:sz w:val="13"/>
                <w:szCs w:val="13"/>
                <w:color w:val="0000FF"/>
              </w:rPr>
              <w:t>100,000</w:t>
            </w:r>
          </w:p>
        </w:tc>
        <w:tc>
          <w:tcPr>
            <w:tcW w:w="640" w:type="dxa"/>
            <w:vAlign w:val="bottom"/>
          </w:tcPr>
          <w:p>
            <w:pPr>
              <w:ind w:left="460"/>
              <w:spacing w:after="0" w:line="146" w:lineRule="exact"/>
              <w:rPr>
                <w:sz w:val="20"/>
                <w:szCs w:val="20"/>
                <w:color w:val="auto"/>
              </w:rPr>
            </w:pPr>
            <w:r>
              <w:rPr>
                <w:rFonts w:ascii="Arial" w:cs="Arial" w:eastAsia="Arial" w:hAnsi="Arial"/>
                <w:sz w:val="13"/>
                <w:szCs w:val="13"/>
                <w:color w:val="0000FF"/>
              </w:rPr>
              <w:t>D</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$0.001</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123,817 shares previously owned indirectly through the Rohit Kapoor 2013 Grantor Retained Annuity Trust which were distributed to the reporting person on March 11, 2015 and are now owned directly and which, as a mere change in beneficial ownership, was not required to be reported.</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48" w:lineRule="exact"/>
        <w:rPr>
          <w:rFonts w:ascii="Arial" w:cs="Arial" w:eastAsia="Arial" w:hAnsi="Arial"/>
          <w:sz w:val="13"/>
          <w:szCs w:val="13"/>
          <w:color w:val="008000"/>
        </w:rPr>
      </w:pPr>
    </w:p>
    <w:p>
      <w:pPr>
        <w:ind w:left="40" w:right="5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Excludes 123,817 shares previously owned indirectly through the Rohit Kapoor 2013 Grantor Retained Annuity Trust which were distributed to the reporting person on March 11, 2015 and are now owned directly and which, as a mere change in beneficial ownership, was not required to be reported.</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2013 Grantor Retained Annuity Trust.</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2012 Family Trust.</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2005 Grantor Retained Annuity Trust.</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shares of the Company's common stock upon settlement as described in footnote 10 below.</w:t>
      </w:r>
    </w:p>
    <w:p>
      <w:pPr>
        <w:spacing w:after="0" w:line="48" w:lineRule="exact"/>
        <w:rPr>
          <w:rFonts w:ascii="Arial" w:cs="Arial" w:eastAsia="Arial" w:hAnsi="Arial"/>
          <w:sz w:val="13"/>
          <w:szCs w:val="13"/>
          <w:color w:val="008000"/>
        </w:rPr>
      </w:pPr>
    </w:p>
    <w:p>
      <w:pPr>
        <w:ind w:left="40" w:right="240" w:firstLine="6"/>
        <w:spacing w:after="0"/>
        <w:tabs>
          <w:tab w:leader="none" w:pos="23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will vest, if at all, on December 31, 2017, and will be earned as follows: 200% of the RSUs if the average fair market value of the Company's common stock over the 60 calendar days immediately preceding such date (the "Company's Average Stock Price") is equal to $50.00 or more; 100% if the Company's Average Stock Price is equal to $37.50; or 0% if the Company's Average Stock Price is equal to less than $37.50; provided, however, that the percentage of RSUs earned will be determined based on a straight-line interpolation to the extent the Company's Average Stock Price falls between $37.50 and $50.00 on the vesting date. Vesting of some or all of the RSUs may be accelerated upon or in connection with the occurrence of a "Change in Control" as such term is defined in the agreement governing the grant of the RSUs.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1"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Lazbart Oseni,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05/01/2015</w:t>
            </w:r>
          </w:p>
        </w:tc>
        <w:tc>
          <w:tcPr>
            <w:tcW w:w="0" w:type="dxa"/>
            <w:vAlign w:val="bottom"/>
          </w:tcPr>
          <w:p>
            <w:pPr>
              <w:spacing w:after="0"/>
              <w:rPr>
                <w:sz w:val="1"/>
                <w:szCs w:val="1"/>
                <w:color w:val="auto"/>
              </w:rPr>
            </w:pPr>
          </w:p>
        </w:tc>
      </w:tr>
      <w:tr>
        <w:trPr>
          <w:trHeight w:val="86"/>
        </w:trPr>
        <w:tc>
          <w:tcPr>
            <w:tcW w:w="300" w:type="dxa"/>
            <w:vAlign w:val="bottom"/>
            <w:vMerge w:val="restart"/>
          </w:tcPr>
          <w:p>
            <w:pPr>
              <w:spacing w:after="0" w:line="192" w:lineRule="exact"/>
              <w:rPr>
                <w:sz w:val="20"/>
                <w:szCs w:val="20"/>
                <w:color w:val="auto"/>
              </w:rPr>
            </w:pPr>
            <w:r>
              <w:rPr>
                <w:rFonts w:ascii="Arial" w:cs="Arial" w:eastAsia="Arial" w:hAnsi="Arial"/>
                <w:sz w:val="17"/>
                <w:szCs w:val="17"/>
                <w:color w:val="0000FF"/>
                <w:w w:val="84"/>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53"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2539" w:firstLine="6"/>
        <w:spacing w:after="0" w:line="316"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2019-12-08T12:09:22Z</dcterms:created>
  <dcterms:modified xsi:type="dcterms:W3CDTF">2019-12-08T12:09:22Z</dcterms:modified>
</cp:coreProperties>
</file>