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380"/>
        <w:spacing w:after="0"/>
        <w:tabs>
          <w:tab w:leader="none" w:pos="664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3863340</wp:posOffset>
            </wp:positionH>
            <wp:positionV relativeFrom="paragraph">
              <wp:posOffset>-10160</wp:posOffset>
            </wp:positionV>
            <wp:extent cx="334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-10160</wp:posOffset>
            </wp:positionV>
            <wp:extent cx="3346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80" w:type="dxa"/>
        <w:tblCellMar>
          <w:top w:w="0" w:type="dxa"/>
          <w:left w:w="0" w:type="dxa"/>
          <w:bottom w:w="0" w:type="dxa"/>
          <w:right w:w="0" w:type="dxa"/>
        </w:tblCellMar>
      </w:tblPr>
      <w:tr>
        <w:trPr>
          <w:trHeight w:val="218"/>
        </w:trPr>
        <w:tc>
          <w:tcPr>
            <w:tcW w:w="6720" w:type="dxa"/>
            <w:vAlign w:val="bottom"/>
          </w:tcPr>
          <w:p>
            <w:pPr>
              <w:jc w:val="center"/>
              <w:ind w:right="2882"/>
              <w:spacing w:after="0"/>
              <w:rPr>
                <w:sz w:val="20"/>
                <w:szCs w:val="20"/>
                <w:color w:val="auto"/>
              </w:rPr>
            </w:pPr>
            <w:r>
              <w:rPr>
                <w:rFonts w:ascii="Arial" w:cs="Arial" w:eastAsia="Arial" w:hAnsi="Arial"/>
                <w:sz w:val="18"/>
                <w:szCs w:val="18"/>
                <w:b w:val="1"/>
                <w:bCs w:val="1"/>
                <w:color w:val="auto"/>
                <w:w w:val="96"/>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720" w:type="dxa"/>
            <w:vAlign w:val="bottom"/>
          </w:tcPr>
          <w:p>
            <w:pPr>
              <w:jc w:val="center"/>
              <w:ind w:right="2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20" w:type="dxa"/>
            <w:vAlign w:val="bottom"/>
          </w:tcPr>
          <w:p>
            <w:pPr>
              <w:jc w:val="center"/>
              <w:ind w:right="2882"/>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378"/>
        </w:trPr>
        <w:tc>
          <w:tcPr>
            <w:tcW w:w="6720" w:type="dxa"/>
            <w:vAlign w:val="bottom"/>
          </w:tcPr>
          <w:p>
            <w:pPr>
              <w:jc w:val="center"/>
              <w:ind w:right="2882"/>
              <w:spacing w:after="0"/>
              <w:rPr>
                <w:sz w:val="20"/>
                <w:szCs w:val="20"/>
                <w:color w:val="auto"/>
              </w:rPr>
            </w:pPr>
            <w:r>
              <w:rPr>
                <w:rFonts w:ascii="Arial" w:cs="Arial" w:eastAsia="Arial" w:hAnsi="Arial"/>
                <w:sz w:val="18"/>
                <w:szCs w:val="18"/>
                <w:b w:val="1"/>
                <w:bCs w:val="1"/>
                <w:color w:val="auto"/>
                <w:w w:val="95"/>
              </w:rPr>
              <w:t>280 PARK AVENUE, 38th FLOOR, NEW YORK,</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10017</w:t>
            </w:r>
          </w:p>
        </w:tc>
      </w:tr>
      <w:tr>
        <w:trPr>
          <w:trHeight w:val="218"/>
        </w:trPr>
        <w:tc>
          <w:tcPr>
            <w:tcW w:w="6720" w:type="dxa"/>
            <w:vAlign w:val="bottom"/>
          </w:tcPr>
          <w:p>
            <w:pPr>
              <w:jc w:val="center"/>
              <w:ind w:right="2882"/>
              <w:spacing w:after="0"/>
              <w:rPr>
                <w:sz w:val="20"/>
                <w:szCs w:val="20"/>
                <w:color w:val="auto"/>
              </w:rPr>
            </w:pPr>
            <w:r>
              <w:rPr>
                <w:rFonts w:ascii="Arial" w:cs="Arial" w:eastAsia="Arial" w:hAnsi="Arial"/>
                <w:sz w:val="18"/>
                <w:szCs w:val="18"/>
                <w:b w:val="1"/>
                <w:bCs w:val="1"/>
                <w:color w:val="auto"/>
              </w:rPr>
              <w:t>NEW YORK</w:t>
            </w:r>
          </w:p>
        </w:tc>
        <w:tc>
          <w:tcPr>
            <w:tcW w:w="1520" w:type="dxa"/>
            <w:vAlign w:val="bottom"/>
          </w:tcPr>
          <w:p>
            <w:pPr>
              <w:spacing w:after="0"/>
              <w:rPr>
                <w:sz w:val="18"/>
                <w:szCs w:val="18"/>
                <w:color w:val="auto"/>
              </w:rPr>
            </w:pPr>
          </w:p>
        </w:tc>
      </w:tr>
      <w:tr>
        <w:trPr>
          <w:trHeight w:val="174"/>
        </w:trPr>
        <w:tc>
          <w:tcPr>
            <w:tcW w:w="6720" w:type="dxa"/>
            <w:vAlign w:val="bottom"/>
          </w:tcPr>
          <w:p>
            <w:pPr>
              <w:jc w:val="center"/>
              <w:ind w:right="28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r>
      <w:tr>
        <w:trPr>
          <w:trHeight w:val="325"/>
        </w:trPr>
        <w:tc>
          <w:tcPr>
            <w:tcW w:w="6720" w:type="dxa"/>
            <w:vAlign w:val="bottom"/>
          </w:tcPr>
          <w:p>
            <w:pPr>
              <w:jc w:val="right"/>
              <w:ind w:right="1362"/>
              <w:spacing w:after="0"/>
              <w:rPr>
                <w:sz w:val="20"/>
                <w:szCs w:val="20"/>
                <w:color w:val="auto"/>
              </w:rPr>
            </w:pPr>
            <w:r>
              <w:rPr>
                <w:rFonts w:ascii="Arial" w:cs="Arial" w:eastAsia="Arial" w:hAnsi="Arial"/>
                <w:sz w:val="18"/>
                <w:szCs w:val="18"/>
                <w:b w:val="1"/>
                <w:bCs w:val="1"/>
                <w:color w:val="auto"/>
              </w:rPr>
              <w:t>(212) 277-7100</w:t>
            </w:r>
          </w:p>
        </w:tc>
        <w:tc>
          <w:tcPr>
            <w:tcW w:w="1520" w:type="dxa"/>
            <w:vAlign w:val="bottom"/>
          </w:tcPr>
          <w:p>
            <w:pPr>
              <w:spacing w:after="0"/>
              <w:rPr>
                <w:sz w:val="24"/>
                <w:szCs w:val="24"/>
                <w:color w:val="auto"/>
              </w:rPr>
            </w:pPr>
          </w:p>
        </w:tc>
      </w:tr>
      <w:tr>
        <w:trPr>
          <w:trHeight w:val="174"/>
        </w:trPr>
        <w:tc>
          <w:tcPr>
            <w:tcW w:w="6720" w:type="dxa"/>
            <w:vAlign w:val="bottom"/>
          </w:tcPr>
          <w:p>
            <w:pPr>
              <w:jc w:val="center"/>
              <w:ind w:left="266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5">
            <w:col w:w="8440" w:space="160"/>
            <w:col w:w="260" w:space="80"/>
            <w:col w:w="160" w:space="180"/>
            <w:col w:w="220" w:space="80"/>
            <w:col w:w="1840"/>
          </w:cols>
          <w:pgMar w:left="240" w:top="230" w:right="239" w:bottom="1440" w:gutter="0" w:footer="0" w:header="0"/>
          <w:type w:val="continuous"/>
        </w:sectPr>
      </w:pPr>
    </w:p>
    <w:p>
      <w:pPr>
        <w:ind w:right="280" w:firstLine="456"/>
        <w:spacing w:after="0" w:line="268" w:lineRule="auto"/>
        <w:rPr>
          <w:sz w:val="20"/>
          <w:szCs w:val="20"/>
          <w:color w:val="auto"/>
        </w:rPr>
      </w:pPr>
      <w:r>
        <w:rPr>
          <w:rFonts w:ascii="Arial" w:cs="Arial" w:eastAsia="Arial" w:hAnsi="Arial"/>
          <w:sz w:val="18"/>
          <w:szCs w:val="18"/>
          <w:color w:val="auto"/>
        </w:rPr>
        <w:t>As of July 31, 2010, there were 29,226,181 shares of the registrant’s common stock outstanding (excluding 252,502 shares held in treasury and 264,252 shares of restricted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360" w:type="dxa"/>
            <w:vAlign w:val="bottom"/>
            <w:gridSpan w:val="8"/>
          </w:tcPr>
          <w:p>
            <w:pPr>
              <w:ind w:left="116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19"/>
                <w:szCs w:val="19"/>
                <w:color w:val="auto"/>
              </w:rPr>
            </w:pPr>
          </w:p>
        </w:tc>
      </w:tr>
      <w:tr>
        <w:trPr>
          <w:trHeight w:val="419"/>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PAGE</w:t>
            </w:r>
          </w:p>
        </w:tc>
      </w:tr>
      <w:tr>
        <w:trPr>
          <w:trHeight w:val="171"/>
        </w:trPr>
        <w:tc>
          <w:tcPr>
            <w:tcW w:w="800" w:type="dxa"/>
            <w:vAlign w:val="bottom"/>
            <w:gridSpan w:val="2"/>
          </w:tcPr>
          <w:p>
            <w:pPr>
              <w:spacing w:after="0" w:line="171" w:lineRule="exact"/>
              <w:rPr>
                <w:sz w:val="20"/>
                <w:szCs w:val="20"/>
                <w:color w:val="auto"/>
              </w:rPr>
            </w:pPr>
            <w:r>
              <w:rPr>
                <w:rFonts w:ascii="Arial" w:cs="Arial" w:eastAsia="Arial" w:hAnsi="Arial"/>
                <w:sz w:val="18"/>
                <w:szCs w:val="18"/>
                <w:b w:val="1"/>
                <w:bCs w:val="1"/>
                <w:color w:val="auto"/>
              </w:rPr>
              <w:t>ITEM</w:t>
            </w:r>
          </w:p>
        </w:tc>
        <w:tc>
          <w:tcPr>
            <w:tcW w:w="2820" w:type="dxa"/>
            <w:vAlign w:val="bottom"/>
            <w:tcBorders>
              <w:bottom w:val="single" w:sz="8" w:color="0000EE"/>
            </w:tcBorders>
            <w:gridSpan w:val="10"/>
          </w:tcPr>
          <w:p>
            <w:pPr>
              <w:spacing w:after="0" w:line="171"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360" w:type="dxa"/>
            <w:vAlign w:val="bottom"/>
            <w:gridSpan w:val="8"/>
          </w:tcPr>
          <w:p>
            <w:pPr>
              <w:spacing w:after="0"/>
              <w:rPr>
                <w:sz w:val="14"/>
                <w:szCs w:val="14"/>
                <w:color w:val="auto"/>
              </w:rPr>
            </w:pPr>
          </w:p>
        </w:tc>
        <w:tc>
          <w:tcPr>
            <w:tcW w:w="440" w:type="dxa"/>
            <w:vAlign w:val="bottom"/>
          </w:tcPr>
          <w:p>
            <w:pPr>
              <w:jc w:val="right"/>
              <w:spacing w:after="0" w:line="171" w:lineRule="exact"/>
              <w:rPr>
                <w:sz w:val="20"/>
                <w:szCs w:val="20"/>
                <w:color w:val="auto"/>
              </w:rPr>
            </w:pPr>
            <w:r>
              <w:rPr>
                <w:rFonts w:ascii="Arial" w:cs="Arial" w:eastAsia="Arial" w:hAnsi="Arial"/>
                <w:sz w:val="18"/>
                <w:szCs w:val="18"/>
                <w:color w:val="auto"/>
              </w:rPr>
              <w:t>3</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1</w:t>
            </w:r>
          </w:p>
        </w:tc>
        <w:tc>
          <w:tcPr>
            <w:tcW w:w="60" w:type="dxa"/>
            <w:vAlign w:val="bottom"/>
          </w:tcPr>
          <w:p>
            <w:pPr>
              <w:spacing w:after="0"/>
              <w:rPr>
                <w:sz w:val="24"/>
                <w:szCs w:val="24"/>
                <w:color w:val="auto"/>
              </w:rPr>
            </w:pPr>
          </w:p>
        </w:tc>
        <w:tc>
          <w:tcPr>
            <w:tcW w:w="101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6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as of June 30, 2010 (Unaudited) and December 31, 2009</w:t>
              </w:r>
            </w:hyperlink>
          </w:p>
        </w:tc>
        <w:tc>
          <w:tcPr>
            <w:tcW w:w="36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Income (Unaudited) for the Three Months Ended and Six Months Ended June 30, 2010 and 2009</w:t>
              </w:r>
            </w:hyperlink>
          </w:p>
        </w:tc>
        <w:tc>
          <w:tcPr>
            <w:tcW w:w="9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Six Months Ended June 30, 2010 and 2009</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 (Unaudited)</w:t>
              </w:r>
            </w:hyperlink>
          </w:p>
        </w:tc>
        <w:tc>
          <w:tcPr>
            <w:tcW w:w="244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2</w:t>
            </w:r>
          </w:p>
        </w:tc>
        <w:tc>
          <w:tcPr>
            <w:tcW w:w="60" w:type="dxa"/>
            <w:vAlign w:val="bottom"/>
          </w:tcPr>
          <w:p>
            <w:pPr>
              <w:spacing w:after="0"/>
              <w:rPr>
                <w:sz w:val="24"/>
                <w:szCs w:val="24"/>
                <w:color w:val="auto"/>
              </w:rPr>
            </w:pPr>
          </w:p>
        </w:tc>
        <w:tc>
          <w:tcPr>
            <w:tcW w:w="1018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3</w:t>
            </w:r>
          </w:p>
        </w:tc>
        <w:tc>
          <w:tcPr>
            <w:tcW w:w="6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8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4</w:t>
            </w:r>
          </w:p>
        </w:tc>
        <w:tc>
          <w:tcPr>
            <w:tcW w:w="6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Controls and Procedures</w:t>
              </w:r>
            </w:hyperlink>
          </w:p>
        </w:tc>
        <w:tc>
          <w:tcPr>
            <w:tcW w:w="844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51"/>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80" w:type="dxa"/>
            <w:vAlign w:val="bottom"/>
            <w:gridSpan w:val="18"/>
          </w:tcPr>
          <w:p>
            <w:pPr>
              <w:spacing w:after="0"/>
              <w:rPr>
                <w:sz w:val="20"/>
                <w:szCs w:val="20"/>
                <w:color w:val="auto"/>
              </w:rPr>
            </w:pPr>
            <w:r>
              <w:rPr>
                <w:rFonts w:ascii="Arial" w:cs="Arial" w:eastAsia="Arial" w:hAnsi="Arial"/>
                <w:sz w:val="18"/>
                <w:szCs w:val="18"/>
                <w:color w:val="auto"/>
              </w:rPr>
              <w:t>PART II. OTHER INFORMATION</w:t>
            </w:r>
          </w:p>
        </w:tc>
        <w:tc>
          <w:tcPr>
            <w:tcW w:w="440" w:type="dxa"/>
            <w:vAlign w:val="bottom"/>
          </w:tcPr>
          <w:p>
            <w:pPr>
              <w:spacing w:after="0"/>
              <w:rPr>
                <w:sz w:val="24"/>
                <w:szCs w:val="24"/>
                <w:color w:val="auto"/>
              </w:rPr>
            </w:pPr>
          </w:p>
        </w:tc>
      </w:tr>
      <w:tr>
        <w:trPr>
          <w:trHeight w:val="286"/>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1</w:t>
            </w:r>
          </w:p>
        </w:tc>
        <w:tc>
          <w:tcPr>
            <w:tcW w:w="60" w:type="dxa"/>
            <w:vAlign w:val="bottom"/>
          </w:tcPr>
          <w:p>
            <w:pPr>
              <w:spacing w:after="0"/>
              <w:rPr>
                <w:sz w:val="24"/>
                <w:szCs w:val="24"/>
                <w:color w:val="auto"/>
              </w:rPr>
            </w:pPr>
          </w:p>
        </w:tc>
        <w:tc>
          <w:tcPr>
            <w:tcW w:w="1018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800" w:type="dxa"/>
            <w:vAlign w:val="bottom"/>
            <w:gridSpan w:val="2"/>
          </w:tcPr>
          <w:p>
            <w:pPr>
              <w:jc w:val="center"/>
              <w:ind w:right="540"/>
              <w:spacing w:after="0"/>
              <w:rPr>
                <w:sz w:val="20"/>
                <w:szCs w:val="20"/>
                <w:color w:val="auto"/>
              </w:rPr>
            </w:pPr>
            <w:r>
              <w:rPr>
                <w:rFonts w:ascii="Arial" w:cs="Arial" w:eastAsia="Arial" w:hAnsi="Arial"/>
                <w:sz w:val="18"/>
                <w:szCs w:val="18"/>
                <w:color w:val="auto"/>
                <w:w w:val="96"/>
              </w:rPr>
              <w:t>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888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9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2</w:t>
            </w:r>
          </w:p>
        </w:tc>
        <w:tc>
          <w:tcPr>
            <w:tcW w:w="60" w:type="dxa"/>
            <w:vAlign w:val="bottom"/>
          </w:tcPr>
          <w:p>
            <w:pPr>
              <w:spacing w:after="0"/>
              <w:rPr>
                <w:sz w:val="24"/>
                <w:szCs w:val="24"/>
                <w:color w:val="auto"/>
              </w:rPr>
            </w:pPr>
          </w:p>
        </w:tc>
        <w:tc>
          <w:tcPr>
            <w:tcW w:w="1018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3</w:t>
            </w:r>
          </w:p>
        </w:tc>
        <w:tc>
          <w:tcPr>
            <w:tcW w:w="6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94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4</w:t>
            </w:r>
          </w:p>
        </w:tc>
        <w:tc>
          <w:tcPr>
            <w:tcW w:w="60" w:type="dxa"/>
            <w:vAlign w:val="bottom"/>
          </w:tcPr>
          <w:p>
            <w:pPr>
              <w:spacing w:after="0"/>
              <w:rPr>
                <w:sz w:val="24"/>
                <w:szCs w:val="24"/>
                <w:color w:val="auto"/>
              </w:rPr>
            </w:pPr>
          </w:p>
        </w:tc>
        <w:tc>
          <w:tcPr>
            <w:tcW w:w="1018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(Removed and Reserved)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4"/>
                <w:szCs w:val="24"/>
                <w:color w:val="auto"/>
              </w:rPr>
            </w:pPr>
          </w:p>
        </w:tc>
        <w:tc>
          <w:tcPr>
            <w:tcW w:w="1780" w:type="dxa"/>
            <w:vAlign w:val="bottom"/>
            <w:tcBorders>
              <w:top w:val="single" w:sz="8" w:color="0000EE"/>
            </w:tcBorders>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840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40" w:type="dxa"/>
            <w:vAlign w:val="bottom"/>
          </w:tcPr>
          <w:p>
            <w:pPr>
              <w:jc w:val="center"/>
              <w:ind w:right="372"/>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4"/>
                <w:szCs w:val="24"/>
                <w:color w:val="auto"/>
              </w:rPr>
            </w:pP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890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800" w:type="dxa"/>
            <w:vAlign w:val="bottom"/>
            <w:gridSpan w:val="2"/>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3"/>
        </w:trPr>
        <w:tc>
          <w:tcPr>
            <w:tcW w:w="7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300" w:type="dxa"/>
            <w:vAlign w:val="bottom"/>
            <w:gridSpan w:val="14"/>
          </w:tcPr>
          <w:p>
            <w:pPr>
              <w:ind w:left="48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0" w:type="dxa"/>
            <w:vAlign w:val="bottom"/>
          </w:tcPr>
          <w:p>
            <w:pPr>
              <w:jc w:val="center"/>
              <w:ind w:left="89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0" w:type="dxa"/>
            <w:vAlign w:val="bottom"/>
          </w:tcPr>
          <w:p>
            <w:pPr>
              <w:jc w:val="center"/>
              <w:ind w:left="892"/>
              <w:spacing w:after="0"/>
              <w:rPr>
                <w:sz w:val="20"/>
                <w:szCs w:val="20"/>
                <w:color w:val="auto"/>
              </w:rPr>
            </w:pPr>
            <w:r>
              <w:rPr>
                <w:rFonts w:ascii="Arial" w:cs="Arial" w:eastAsia="Arial" w:hAnsi="Arial"/>
                <w:sz w:val="18"/>
                <w:szCs w:val="18"/>
                <w:b w:val="1"/>
                <w:bCs w:val="1"/>
                <w:color w:val="auto"/>
                <w:w w:val="99"/>
              </w:rPr>
              <w:t>EXLSERVICE HOLDINGS, INC.</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0" w:type="dxa"/>
            <w:vAlign w:val="bottom"/>
          </w:tcPr>
          <w:p>
            <w:pPr>
              <w:jc w:val="center"/>
              <w:ind w:left="9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0" w:type="dxa"/>
            <w:vAlign w:val="bottom"/>
          </w:tcPr>
          <w:p>
            <w:pPr>
              <w:jc w:val="center"/>
              <w:ind w:left="892"/>
              <w:spacing w:after="0"/>
              <w:rPr>
                <w:sz w:val="20"/>
                <w:szCs w:val="20"/>
                <w:color w:val="auto"/>
              </w:rPr>
            </w:pPr>
            <w:r>
              <w:rPr>
                <w:rFonts w:ascii="Arial" w:cs="Arial" w:eastAsia="Arial" w:hAnsi="Arial"/>
                <w:sz w:val="18"/>
                <w:szCs w:val="18"/>
                <w:b w:val="1"/>
                <w:bCs w:val="1"/>
                <w:color w:val="auto"/>
                <w:w w:val="86"/>
              </w:rPr>
              <w:t>(In thousands, except share and per share amounts)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88,838</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132,215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Short-term investments</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2,518</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Accounts receivable, net of allowance for doubtful accounts of $403 at June 30, 2010 and $262 at December 31, 2009</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41,392</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 net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5,933</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Advance income-tax, net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1,564</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5,018</w:t>
            </w: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420" w:type="dxa"/>
            <w:vAlign w:val="bottom"/>
            <w:gridSpan w:val="3"/>
          </w:tcPr>
          <w:p>
            <w:pPr>
              <w:spacing w:after="0" w:line="155" w:lineRule="exact"/>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145,557</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181,546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Fixed assets, net of accumulated depreciation of $42,526 at June 30, 2010 and $35,812 at December 31, 2009</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28,981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7,138</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tax assets, net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7,944</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tcPr>
          <w:p>
            <w:pPr>
              <w:spacing w:after="0" w:line="149" w:lineRule="exact"/>
              <w:rPr>
                <w:sz w:val="20"/>
                <w:szCs w:val="20"/>
                <w:color w:val="auto"/>
              </w:rPr>
            </w:pPr>
            <w:r>
              <w:rPr>
                <w:rFonts w:ascii="Arial" w:cs="Arial" w:eastAsia="Arial" w:hAnsi="Arial"/>
                <w:sz w:val="14"/>
                <w:szCs w:val="14"/>
                <w:color w:val="auto"/>
              </w:rPr>
              <w:t>Intangible assets, net of amortization</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16,615</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8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48,018</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8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11,906</w:t>
            </w: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4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266,159</w:t>
            </w:r>
          </w:p>
        </w:tc>
        <w:tc>
          <w:tcPr>
            <w:tcW w:w="4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249,620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Current liabilities:</w:t>
            </w:r>
          </w:p>
        </w:tc>
        <w:tc>
          <w:tcPr>
            <w:tcW w:w="8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3,663</w:t>
            </w:r>
          </w:p>
        </w:tc>
        <w:tc>
          <w:tcPr>
            <w:tcW w:w="42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Accrued employee cost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15,465</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12,770</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11,674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current liabilities</w:t>
            </w: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38,705</w:t>
            </w: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38,327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420" w:type="dxa"/>
            <w:vAlign w:val="bottom"/>
            <w:gridSpan w:val="3"/>
          </w:tcPr>
          <w:p>
            <w:pPr>
              <w:spacing w:after="0" w:line="155" w:lineRule="exact"/>
              <w:rPr>
                <w:sz w:val="20"/>
                <w:szCs w:val="20"/>
                <w:color w:val="auto"/>
              </w:rPr>
            </w:pPr>
            <w:r>
              <w:rPr>
                <w:rFonts w:ascii="Arial" w:cs="Arial" w:eastAsia="Arial" w:hAnsi="Arial"/>
                <w:sz w:val="14"/>
                <w:szCs w:val="14"/>
                <w:color w:val="auto"/>
              </w:rPr>
              <w:t>Non-current liabilities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7,167</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8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45,872</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43,902</w:t>
            </w:r>
          </w:p>
        </w:tc>
        <w:tc>
          <w:tcPr>
            <w:tcW w:w="0" w:type="dxa"/>
            <w:vAlign w:val="bottom"/>
          </w:tcPr>
          <w:p>
            <w:pPr>
              <w:spacing w:after="0"/>
              <w:rPr>
                <w:sz w:val="1"/>
                <w:szCs w:val="1"/>
                <w:color w:val="auto"/>
              </w:rPr>
            </w:pPr>
          </w:p>
        </w:tc>
      </w:tr>
      <w:tr>
        <w:trPr>
          <w:trHeight w:val="156"/>
        </w:trPr>
        <w:tc>
          <w:tcPr>
            <w:tcW w:w="9420" w:type="dxa"/>
            <w:vAlign w:val="bottom"/>
            <w:gridSpan w:val="3"/>
          </w:tcPr>
          <w:p>
            <w:pPr>
              <w:spacing w:after="0" w:line="155" w:lineRule="exact"/>
              <w:rPr>
                <w:sz w:val="20"/>
                <w:szCs w:val="20"/>
                <w:color w:val="auto"/>
              </w:rPr>
            </w:pPr>
            <w:r>
              <w:rPr>
                <w:rFonts w:ascii="Arial" w:cs="Arial" w:eastAsia="Arial" w:hAnsi="Arial"/>
                <w:sz w:val="14"/>
                <w:szCs w:val="14"/>
                <w:color w:val="auto"/>
              </w:rPr>
              <w:t>Commitments and contingencies</w:t>
            </w: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 $0.001 par value; 15,000,000 shares authorized, none issued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tcPr>
          <w:p>
            <w:pPr>
              <w:spacing w:after="0" w:line="149" w:lineRule="exact"/>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w w:val="94"/>
              </w:rPr>
              <w:t>Common stock, $0.001 par value; 100,000,000 shares authorized, 29,461,594 shares issued and 29,209,092 shares outstanding as of June 30, 2010 and</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0" w:type="dxa"/>
            <w:vAlign w:val="bottom"/>
            <w:gridSpan w:val="2"/>
            <w:shd w:val="clear" w:color="auto" w:fill="CCEEFF"/>
          </w:tcPr>
          <w:p>
            <w:pPr>
              <w:ind w:left="640"/>
              <w:spacing w:after="0" w:line="159" w:lineRule="exact"/>
              <w:rPr>
                <w:sz w:val="20"/>
                <w:szCs w:val="20"/>
                <w:color w:val="auto"/>
              </w:rPr>
            </w:pPr>
            <w:r>
              <w:rPr>
                <w:rFonts w:ascii="Arial" w:cs="Arial" w:eastAsia="Arial" w:hAnsi="Arial"/>
                <w:sz w:val="14"/>
                <w:szCs w:val="14"/>
                <w:color w:val="auto"/>
              </w:rPr>
              <w:t>29,278,103 shares issued and 29,031,073 shares outstanding as of December 31, 2009</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129,518</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96,166</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85,674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100" w:type="dxa"/>
            <w:vAlign w:val="bottom"/>
          </w:tcPr>
          <w:p>
            <w:pPr>
              <w:spacing w:after="0"/>
              <w:rPr>
                <w:sz w:val="13"/>
                <w:szCs w:val="13"/>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(4,377)</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4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221,336</w:t>
            </w:r>
          </w:p>
        </w:tc>
        <w:tc>
          <w:tcPr>
            <w:tcW w:w="4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206,681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40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Less: 252,502 shares as of June 30, 2010 and 247,030 shares as of December 31, 2009, held in treasury, at cost</w:t>
            </w:r>
          </w:p>
        </w:tc>
        <w:tc>
          <w:tcPr>
            <w:tcW w:w="100" w:type="dxa"/>
            <w:vAlign w:val="bottom"/>
          </w:tcPr>
          <w:p>
            <w:pPr>
              <w:spacing w:after="0"/>
              <w:rPr>
                <w:sz w:val="14"/>
                <w:szCs w:val="14"/>
                <w:color w:val="auto"/>
              </w:rPr>
            </w:pPr>
          </w:p>
        </w:tc>
        <w:tc>
          <w:tcPr>
            <w:tcW w:w="10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(1,069)</w:t>
            </w:r>
          </w:p>
        </w:tc>
        <w:tc>
          <w:tcPr>
            <w:tcW w:w="160" w:type="dxa"/>
            <w:vAlign w:val="bottom"/>
          </w:tcPr>
          <w:p>
            <w:pPr>
              <w:spacing w:after="0"/>
              <w:rPr>
                <w:sz w:val="14"/>
                <w:szCs w:val="14"/>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ExlService Holdings, Inc. stockholders’ equity</w:t>
            </w: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220,267</w:t>
            </w:r>
          </w:p>
        </w:tc>
        <w:tc>
          <w:tcPr>
            <w:tcW w:w="4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205,705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 interest</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220,287</w:t>
            </w: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205,718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20" w:type="dxa"/>
            <w:vAlign w:val="bottom"/>
            <w:gridSpan w:val="3"/>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266,159</w:t>
            </w:r>
          </w:p>
        </w:tc>
        <w:tc>
          <w:tcPr>
            <w:tcW w:w="4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249,620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4"/>
                <w:szCs w:val="14"/>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25,827</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68,932</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4,599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8,749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17,920</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13,763</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34,448</w:t>
            </w: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29,231,812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28,906,052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29,181,036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28,874,795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30,201,092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29,159,547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30,180,283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29,119,785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10,492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Non-employee stock options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Unrealized foreign exchange gain</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(3,469)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6,601</w:t>
            </w:r>
          </w:p>
        </w:tc>
        <w:tc>
          <w:tcPr>
            <w:tcW w:w="0" w:type="dxa"/>
            <w:vAlign w:val="bottom"/>
          </w:tcPr>
          <w:p>
            <w:pPr>
              <w:spacing w:after="0"/>
              <w:rPr>
                <w:sz w:val="1"/>
                <w:szCs w:val="1"/>
                <w:color w:val="auto"/>
              </w:rPr>
            </w:pPr>
          </w:p>
        </w:tc>
      </w:tr>
      <w:tr>
        <w:trPr>
          <w:trHeight w:val="329"/>
        </w:trPr>
        <w:tc>
          <w:tcPr>
            <w:tcW w:w="96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Business acquisition (net of cash acquired)</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(42,135)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Proceeds from redemption of short-term investments</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(50,618)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(43,377)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132,215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112,174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9" w:lineRule="exact"/>
        <w:rPr>
          <w:sz w:val="20"/>
          <w:szCs w:val="20"/>
          <w:color w:val="auto"/>
        </w:rPr>
      </w:pPr>
    </w:p>
    <w:p>
      <w:pPr>
        <w:ind w:left="240" w:right="820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outsourcing services and transformation services. The Company’s clients are located principally in the United States and the United Kingdom.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unaudited interim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annual financial statements and therefore should be read in conjunction with the audited consolidated financial statements and footnotes thereto included in the Company’s Annual Report on Form 10-K for the fiscal year ended December 31, 2009.</w:t>
      </w:r>
    </w:p>
    <w:p>
      <w:pPr>
        <w:spacing w:after="0" w:line="9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unaudited consolidated statements of income for the interim periods presented are not necessarily indicative of the results for the full year or for any subsequent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non-controlling interest represents the minority partner’s interest in the operation of exlService.com (India) Private Limited (“Exl India”) and the profits associated with the minority partner’s interest in those operations, in the unaudited consolidated balance sheet and unaudited consolidated statement of income, respectively. The non-controlling partner’s interest in the operations for the three and six months ended June 30, 2010 was insignificant and is included under the general and administrative expenses in the unaudited consolidated statements of income.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preparation of the unaudited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receivables, future obligations under employee benefit plans, deferred tax valuation allowances, income-tax uncertainties and other contingencies, valuation of derivative financial instruments, stock-based compensation expense, depreciation and amortization periods, recoverability of long-term assets including goodwill and intangibles, and estimates to complete fixed price contracts.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derives its revenues from outsourcing and transformation services. Revenues from outsourcing services are recognized primarily on a time-and-material, cost-plus or unit-priced basis; revenues from transformation services are recognized primarily on a time-and material, fixed price or contingent fee basis. The services provided within our contracts generally contain one unit of accounting. Revenues are recognized under our contracts generally when persuasive evidence of an arrangement exists, the sales price is fixed or determinable and collection of amounts billed is reasonably assured.</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Revenues under time-and-material contracts are recognized as the services are performed. Revenues are recognized on cost-plus contracts on the basis of contractually agreed direct and indirect costs incurred on a client contract plus an agreed upon profit mark-up. Revenues are recognized on unit-price based contracts based on the number of specified units of work (such as the number of e-mail responses) delivered to a client.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 We have experienced minimal service credits and penalties to date.</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Revenues from software licensing arrangements are recognized at the later of time of delivery or expiration of significant termination rights. Revenues from fixed-term maintenance and support contracts are recognized ratably on a monthly basis over the period of the contract. Revenues from contracts for software modification are generally fixed price contracts and are recognized under the proportional performance method as described below.</w:t>
      </w:r>
    </w:p>
    <w:p>
      <w:pPr>
        <w:spacing w:after="0" w:line="10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Revenues are recognized on fixed-price contracts using the proportional performance method. We estimate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on contingent fee based contracts are recognized when the related contingency has been met to the client’s satisfaction.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January 2010, the Financial Accounting Standards Board (“FASB”) issued Update No. 2010-6, “</w:t>
      </w:r>
      <w:r>
        <w:rPr>
          <w:rFonts w:ascii="Arial" w:cs="Arial" w:eastAsia="Arial" w:hAnsi="Arial"/>
          <w:sz w:val="16"/>
          <w:szCs w:val="16"/>
          <w:i w:val="1"/>
          <w:iCs w:val="1"/>
          <w:color w:val="auto"/>
        </w:rPr>
        <w:t>Improving Disclosures about Fair Value Measurement</w:t>
      </w:r>
      <w:r>
        <w:rPr>
          <w:rFonts w:ascii="Arial" w:cs="Arial" w:eastAsia="Arial" w:hAnsi="Arial"/>
          <w:sz w:val="16"/>
          <w:szCs w:val="16"/>
          <w:color w:val="auto"/>
        </w:rPr>
        <w:t>” (“ASU 2010-6”) to amend the disclosure requirements related to recurring and nonrecurring fair value measurements. The guidance requires new disclosures on the transfers of assets and liabilities between Level 1 (quoted prices in active market for identical assets or liabilities) and Level 2 (significant other observable inputs) of the fair value measurement hierarchy, including the reasons and the timing of the transfers. Additionally, the guidance requires a roll forward of activities on purchases, sales, issuance and settlements of the assets and liabilities measured using significant unobservable inputs (Level 3 fair value measurements). This guidance is effective for interim and annual reporting periods beginning after December 15, 2009, except for the disclosures regarding Level 3 fair value measurements which are effective for fiscal years beginning after December 15, 2010. The adoption of this new guidance did not have a material impact on the Company’s unaudited consolidated financial statements. See Note 6 for further details.</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September 2009, the FASB issued Update No. 2009-13, “</w:t>
      </w:r>
      <w:r>
        <w:rPr>
          <w:rFonts w:ascii="Arial" w:cs="Arial" w:eastAsia="Arial" w:hAnsi="Arial"/>
          <w:sz w:val="16"/>
          <w:szCs w:val="16"/>
          <w:i w:val="1"/>
          <w:iCs w:val="1"/>
          <w:color w:val="auto"/>
        </w:rPr>
        <w:t>Multiple-Deliverable Revenue Arrangements—a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Force</w:t>
      </w:r>
      <w:r>
        <w:rPr>
          <w:rFonts w:ascii="Arial" w:cs="Arial" w:eastAsia="Arial" w:hAnsi="Arial"/>
          <w:sz w:val="16"/>
          <w:szCs w:val="16"/>
          <w:color w:val="auto"/>
        </w:rPr>
        <w:t>” (“ASU 2009-13”). It updates the existing multiple-element revenue arrangements guidance currently included under ASC topic 605-25, which originated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from the guidance in EITF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The revised guidance primarily provides two significant changes: (1) eliminates the need for objective and reliable evidence of the fair value for the undelivered element in order for a delivered item to be treated as a separate unit of accounting, and (2) eliminates the residual method to allocate the arrangement consideration. In addition, the guidance also expands the disclosure requirements for revenue recognition. ASU 2009-13 will be effective for the first annual reporting period beginning on or after June 15, 2010, with early adoption permitted provided that the revised guidance is retroactively applied to the beginning of the year of adoption. The Company has chosen to adopt the new guidance from January 1, 2011. Currently the Company does not expect there to be any impact from the adoption of ASU 2009-13 as the number of multiple-deliverable revenue arrangements are insignificant.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cash or in-kind dividends declared, if any, with respect to unvested shares of restricted stock and restricted stock units are withheld by the Company and paid to the holder of such shares of restricted stock and restricted stock units,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 However, the Company’s vested restricted stock units against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which the underlying common stock has not been issued, contain non-forfeitable rights to dividends or dividend equivalents and are therefore, after vesting, considered as participating securities for the purposes of computing basic earnings per share pursuant to the two-class method. Application of this treatment had an insignificant effect on the computation of basic earnings per share.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235"/>
              <w:spacing w:after="0"/>
              <w:rPr>
                <w:sz w:val="20"/>
                <w:szCs w:val="20"/>
                <w:color w:val="auto"/>
              </w:rPr>
            </w:pPr>
            <w:r>
              <w:rPr>
                <w:rFonts w:ascii="Arial" w:cs="Arial" w:eastAsia="Arial" w:hAnsi="Arial"/>
                <w:sz w:val="14"/>
                <w:szCs w:val="14"/>
                <w:b w:val="1"/>
                <w:bCs w:val="1"/>
                <w:color w:val="auto"/>
                <w:w w:val="96"/>
              </w:rPr>
              <w:t>Three months ended June 30,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Denominators:</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weighted average common shares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29,231,812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28,906,052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29,181,036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28,874,795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Dilutive effect of share-based awards</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969,280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253,495</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999,247</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30,201,092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29,159,547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30,180,283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29,119,785</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 average common shares considered anti-dilutive in</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7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computing diluted earnings per share</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810,843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3,611,951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879,989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3,357,512</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Company is organized around its outsourcing services and transformation services segments. The Company’s recent acquisitions of the American Express Global Travel Service Center (“GTSC”) and Professional Data Management Again, Inc. (“PDMA”) are classified as part of the outsourcing services segment.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chief operating decision maker generally reviews financial information at the consolidated statement of income level but does not review any information except for revenues and cost of revenues of the individual segments. Therefore, the Company does not allocate or evaluate depreciation, amortization, interest expense or income, capital expenditures and income taxes to its operating segments. Consequently, it is not practical to show assets, capital expenditures, depreciation or amortization by segment.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June 30, 2010 and 2009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8"/>
          </w:tcPr>
          <w:p>
            <w:pPr>
              <w:ind w:left="320"/>
              <w:spacing w:after="0"/>
              <w:rPr>
                <w:sz w:val="20"/>
                <w:szCs w:val="20"/>
                <w:color w:val="auto"/>
              </w:rPr>
            </w:pPr>
            <w:r>
              <w:rPr>
                <w:rFonts w:ascii="Arial" w:cs="Arial" w:eastAsia="Arial" w:hAnsi="Arial"/>
                <w:sz w:val="14"/>
                <w:szCs w:val="14"/>
                <w:b w:val="1"/>
                <w:bCs w:val="1"/>
                <w:color w:val="auto"/>
              </w:rPr>
              <w:t>Three months ended June 30, 2010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w w:val="98"/>
              </w:rPr>
              <w:t>Three months ended June 30,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Outsourcing</w:t>
            </w: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Transformation</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Outsourcing</w:t>
            </w:r>
          </w:p>
        </w:tc>
        <w:tc>
          <w:tcPr>
            <w:tcW w:w="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79"/>
              </w:rPr>
              <w:t>Services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79"/>
              </w:rPr>
              <w:t>Services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60,639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37,447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20,058</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23,192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16,558</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3"/>
              </w:rPr>
              <w:t>17,920</w:t>
            </w: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13,763</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Revenues and cost of revenues for each of the six months ended June 30, 2010 and 2009 for the Company’s outsourcing services and transformation services segments,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8"/>
          </w:tcPr>
          <w:p>
            <w:pPr>
              <w:ind w:left="460"/>
              <w:spacing w:after="0"/>
              <w:rPr>
                <w:sz w:val="20"/>
                <w:szCs w:val="20"/>
                <w:color w:val="auto"/>
              </w:rPr>
            </w:pPr>
            <w:r>
              <w:rPr>
                <w:rFonts w:ascii="Arial" w:cs="Arial" w:eastAsia="Arial" w:hAnsi="Arial"/>
                <w:sz w:val="14"/>
                <w:szCs w:val="14"/>
                <w:b w:val="1"/>
                <w:bCs w:val="1"/>
                <w:color w:val="auto"/>
              </w:rPr>
              <w:t>Six months ended June 30, 2010</w:t>
            </w:r>
          </w:p>
        </w:tc>
        <w:tc>
          <w:tcPr>
            <w:tcW w:w="100" w:type="dxa"/>
            <w:vAlign w:val="bottom"/>
          </w:tcPr>
          <w:p>
            <w:pPr>
              <w:spacing w:after="0"/>
              <w:rPr>
                <w:sz w:val="14"/>
                <w:szCs w:val="14"/>
                <w:color w:val="auto"/>
              </w:rPr>
            </w:pPr>
          </w:p>
        </w:tc>
        <w:tc>
          <w:tcPr>
            <w:tcW w:w="228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Six months ended June 30, 2009</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Outsourcing</w:t>
            </w:r>
          </w:p>
        </w:tc>
        <w:tc>
          <w:tcPr>
            <w:tcW w:w="3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4"/>
              </w:rPr>
              <w:t>Outsourcing</w:t>
            </w:r>
          </w:p>
        </w:tc>
        <w:tc>
          <w:tcPr>
            <w:tcW w:w="9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Transformation</w:t>
            </w: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Services</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3"/>
              </w:rPr>
              <w:t>Services</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Services</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115,128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67,900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52,180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68,932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38,319</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11,864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50,183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29,581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33,188</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34,448</w:t>
            </w:r>
          </w:p>
        </w:tc>
        <w:tc>
          <w:tcPr>
            <w:tcW w:w="3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26,110</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10,492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March 1, 2010, we acquired the operations of the GTSC, a business unit of American Express located in Gurgaon, India, that provides the travel-related business process outsourcing services of American Express. The purchase price of the transaction, which was paid in cash, was approximately $29,122.</w:t>
      </w:r>
    </w:p>
    <w:p>
      <w:pPr>
        <w:spacing w:after="0" w:line="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May 1, 2010, the company acquired a 100% stake in PDMA, maker of the LifePRO</w:t>
      </w:r>
      <w:r>
        <w:rPr>
          <w:rFonts w:ascii="Arial" w:cs="Arial" w:eastAsia="Arial" w:hAnsi="Arial"/>
          <w:sz w:val="11"/>
          <w:szCs w:val="11"/>
          <w:color w:val="auto"/>
        </w:rPr>
        <w:t>®</w:t>
      </w:r>
      <w:r>
        <w:rPr>
          <w:rFonts w:ascii="Arial" w:cs="Arial" w:eastAsia="Arial" w:hAnsi="Arial"/>
          <w:sz w:val="18"/>
          <w:szCs w:val="18"/>
          <w:color w:val="auto"/>
        </w:rPr>
        <w:t xml:space="preserve"> insurance policy administration system used by approximately 40 life, health and annuity insurers globally. The purchase consideration for PDMA, which was paid in cash, was approximately $14,052 (including cash acquired of $1,039), net of working capital adjustments.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made a preliminary allocation of the purchase price for GTSC and PDMA to the tangible and intangible assets and liabilities acquired, based on their fair values, as mentioned below:</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GTSC</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PDMA</w:t>
            </w:r>
          </w:p>
        </w:tc>
        <w:tc>
          <w:tcPr>
            <w:tcW w:w="120" w:type="dxa"/>
            <w:vAlign w:val="bottom"/>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Tangible fixed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Current assets and liabilities, net of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(1,461)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(1,724)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Leasehold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20,400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8,157</w:t>
            </w: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(2,026)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8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29,122</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14,052</w:t>
            </w:r>
          </w:p>
        </w:tc>
        <w:tc>
          <w:tcPr>
            <w:tcW w:w="12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$900 deposited in an escrow account in connection with the PDMA acquisition.</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(“ASC No. 805”), the preliminary allocation of the purchase price to the tangible and intangible assets and liabilities acquired may change up to a period of one year from the date of acquisition. The customer relationship and leasehold benefits from the GTSC acquisition are being amortized over a life of ten years and the remaining period of the lease (approximately three years), respectively. The customer relationship and developed technology from the PDMA acquisition are being amortized over a life of ten years each and the non-compete agreement is being amortized over a period of two years. The Company has considered the estimated useful life of trade names and trademarks to be indefinite and will test these for impairment at least annually.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June 30, 2010:</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Outsourcing</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7"/>
              </w:rPr>
              <w:t>Transformation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4"/>
                <w:szCs w:val="14"/>
                <w:b w:val="1"/>
                <w:bCs w:val="1"/>
                <w:color w:val="auto"/>
                <w:w w:val="83"/>
              </w:rPr>
              <w:t>Services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772</w:t>
            </w:r>
          </w:p>
        </w:tc>
        <w:tc>
          <w:tcPr>
            <w:tcW w:w="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16,785</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$17,557</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Goodwill arising from acquisition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2,062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2,834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16,785</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19,619</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Goodwill arising from acquisitions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28,557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28,557</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vMerge w:val="restart"/>
          </w:tcPr>
          <w:p>
            <w:pPr>
              <w:spacing w:after="0"/>
              <w:rPr>
                <w:sz w:val="20"/>
                <w:szCs w:val="20"/>
                <w:color w:val="auto"/>
              </w:rPr>
            </w:pPr>
            <w:r>
              <w:rPr>
                <w:rFonts w:ascii="Arial" w:cs="Arial" w:eastAsia="Arial" w:hAnsi="Arial"/>
                <w:sz w:val="18"/>
                <w:szCs w:val="18"/>
                <w:color w:val="auto"/>
              </w:rPr>
              <w:t>Balance at June 30, 2010</w:t>
            </w:r>
          </w:p>
        </w:tc>
        <w:tc>
          <w:tcPr>
            <w:tcW w:w="7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0" w:type="dxa"/>
            <w:vAlign w:val="bottom"/>
          </w:tcPr>
          <w:p>
            <w:pPr>
              <w:spacing w:after="0"/>
              <w:rPr>
                <w:sz w:val="19"/>
                <w:szCs w:val="19"/>
                <w:color w:val="auto"/>
              </w:rPr>
            </w:pPr>
          </w:p>
        </w:tc>
        <w:tc>
          <w:tcPr>
            <w:tcW w:w="5420" w:type="dxa"/>
            <w:vAlign w:val="bottom"/>
            <w:vMerge w:val="continue"/>
          </w:tcPr>
          <w:p>
            <w:pPr>
              <w:spacing w:after="0"/>
              <w:rPr>
                <w:sz w:val="19"/>
                <w:szCs w:val="19"/>
                <w:color w:val="auto"/>
              </w:rPr>
            </w:pP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31,233</w:t>
            </w:r>
          </w:p>
        </w:tc>
        <w:tc>
          <w:tcPr>
            <w:tcW w:w="5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16,785</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48,018</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Intangible Assets</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100" w:type="dxa"/>
            <w:vAlign w:val="bottom"/>
            <w:gridSpan w:val="2"/>
          </w:tcPr>
          <w:p>
            <w:pPr>
              <w:ind w:left="220"/>
              <w:spacing w:after="0"/>
              <w:rPr>
                <w:sz w:val="20"/>
                <w:szCs w:val="20"/>
                <w:color w:val="auto"/>
              </w:rPr>
            </w:pPr>
            <w:r>
              <w:rPr>
                <w:rFonts w:ascii="Arial" w:cs="Arial" w:eastAsia="Arial" w:hAnsi="Arial"/>
                <w:sz w:val="18"/>
                <w:szCs w:val="18"/>
                <w:color w:val="auto"/>
              </w:rPr>
              <w:t>Information regarding the Company’s intangible assets is set forth below:</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As of June 30, 2010</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12"/>
                <w:szCs w:val="12"/>
                <w:color w:val="auto"/>
              </w:rPr>
            </w:pPr>
          </w:p>
        </w:tc>
        <w:tc>
          <w:tcPr>
            <w:tcW w:w="13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Net Carrying</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Amortization</w:t>
            </w:r>
          </w:p>
        </w:tc>
        <w:tc>
          <w:tcPr>
            <w:tcW w:w="5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(678)</w:t>
            </w: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12,718</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Leasehold benefits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Non-compete agreements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54"/>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(860)</w:t>
            </w:r>
          </w:p>
        </w:tc>
        <w:tc>
          <w:tcPr>
            <w:tcW w:w="30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16,615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8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0"/>
              </w:rPr>
              <w:t>As of December 31, 2009</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12"/>
                <w:szCs w:val="12"/>
                <w:color w:val="auto"/>
              </w:rPr>
            </w:pPr>
          </w:p>
        </w:tc>
        <w:tc>
          <w:tcPr>
            <w:tcW w:w="13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Net Carrying</w:t>
            </w: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Amortization</w:t>
            </w:r>
          </w:p>
        </w:tc>
        <w:tc>
          <w:tcPr>
            <w:tcW w:w="5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Amortization expense for the three months ended June 30, 2010 and 2009 was $520 and $0, respectively. Amortization expense for the six months ended June 30, 2010 and 2009 was $701 and $0, respectively. The estimated amortization of intangible assets for the years ending June 30, 2011, 2012, 2013, 2014 and 2015 is $2,273, $2,033, $1,801, $1,440 and $1,440, respectively.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(“ASC No.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ASC No.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147" w:lineRule="exact"/>
        <w:rPr>
          <w:sz w:val="20"/>
          <w:szCs w:val="20"/>
          <w:color w:val="auto"/>
        </w:rPr>
      </w:pPr>
    </w:p>
    <w:tbl>
      <w:tblPr>
        <w:tblLayout w:type="fixed"/>
        <w:tblInd w:w="112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Level 1</w:t>
            </w:r>
          </w:p>
        </w:tc>
        <w:tc>
          <w:tcPr>
            <w:tcW w:w="9260" w:type="dxa"/>
            <w:vAlign w:val="bottom"/>
            <w:gridSpan w:val="2"/>
          </w:tcPr>
          <w:p>
            <w:pPr>
              <w:ind w:left="60"/>
              <w:spacing w:after="0"/>
              <w:rPr>
                <w:sz w:val="20"/>
                <w:szCs w:val="20"/>
                <w:color w:val="auto"/>
              </w:rPr>
            </w:pPr>
            <w:r>
              <w:rPr>
                <w:rFonts w:ascii="Arial" w:cs="Arial" w:eastAsia="Arial" w:hAnsi="Arial"/>
                <w:sz w:val="18"/>
                <w:szCs w:val="18"/>
                <w:color w:val="auto"/>
              </w:rPr>
              <w:t>– Quoted prices for identical instruments in active markets;</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Level 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060" w:type="dxa"/>
            <w:vAlign w:val="bottom"/>
          </w:tcPr>
          <w:p>
            <w:pPr>
              <w:ind w:left="60"/>
              <w:spacing w:after="0"/>
              <w:rPr>
                <w:sz w:val="20"/>
                <w:szCs w:val="20"/>
                <w:color w:val="auto"/>
              </w:rPr>
            </w:pPr>
            <w:r>
              <w:rPr>
                <w:rFonts w:ascii="Arial" w:cs="Arial" w:eastAsia="Arial" w:hAnsi="Arial"/>
                <w:sz w:val="18"/>
                <w:szCs w:val="18"/>
                <w:color w:val="auto"/>
                <w:w w:val="89"/>
              </w:rPr>
              <w:t>Quoted prices for similar instruments in active markets; quoted prices for identical or similar instruments in markets that are not</w:t>
            </w:r>
          </w:p>
        </w:tc>
      </w:tr>
      <w:tr>
        <w:trPr>
          <w:trHeight w:val="222"/>
        </w:trPr>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60" w:type="dxa"/>
            <w:vAlign w:val="bottom"/>
          </w:tcPr>
          <w:p>
            <w:pPr>
              <w:ind w:left="60"/>
              <w:spacing w:after="0"/>
              <w:rPr>
                <w:sz w:val="20"/>
                <w:szCs w:val="20"/>
                <w:color w:val="auto"/>
              </w:rPr>
            </w:pPr>
            <w:r>
              <w:rPr>
                <w:rFonts w:ascii="Arial" w:cs="Arial" w:eastAsia="Arial" w:hAnsi="Arial"/>
                <w:sz w:val="18"/>
                <w:szCs w:val="18"/>
                <w:color w:val="auto"/>
              </w:rPr>
              <w:t>active; and model-derived valuations in which all significant inputs are observable in active markets; and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Level 3</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9060" w:type="dxa"/>
            <w:vAlign w:val="bottom"/>
          </w:tcPr>
          <w:p>
            <w:pPr>
              <w:ind w:left="60"/>
              <w:spacing w:after="0"/>
              <w:rPr>
                <w:sz w:val="20"/>
                <w:szCs w:val="20"/>
                <w:color w:val="auto"/>
              </w:rPr>
            </w:pPr>
            <w:r>
              <w:rPr>
                <w:rFonts w:ascii="Arial" w:cs="Arial" w:eastAsia="Arial" w:hAnsi="Arial"/>
                <w:sz w:val="18"/>
                <w:szCs w:val="18"/>
                <w:color w:val="auto"/>
              </w:rPr>
              <w:t>Valuations derived from valuation techniques in which one or more significant inputs are unobservable.</w:t>
            </w:r>
          </w:p>
        </w:tc>
      </w:tr>
    </w:tbl>
    <w:p>
      <w:pPr>
        <w:spacing w:after="0" w:line="15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table sets forth the Company’s assets and liabilities that were accounted for at fair value as of June 30, 2010. The table excludes short-term investments, accounts receivable, accounts payable and accrued expenses for which fair values approximate their carrying amounts.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9"/>
              </w:rPr>
              <w:t>Level 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70,560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1,979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70,560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1,979</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72,539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 xml:space="preserve">Derivative Financial Instrument: </w:t>
      </w:r>
      <w:r>
        <w:rPr>
          <w:rFonts w:ascii="Arial" w:cs="Arial" w:eastAsia="Arial" w:hAnsi="Arial"/>
          <w:sz w:val="16"/>
          <w:szCs w:val="16"/>
          <w:color w:val="auto"/>
        </w:rPr>
        <w:t>The Company’s derivative financial instruments consist of foreign currency forward exchange contracts. Fair values for</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financial instruments are based on broker quotations and are classified as Level 2. See Note 7 for further details.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actively looks to mitigate the exposure of foreign currency market risk by entering into various hedging transactions, authorized under Company policies, with counterparties that are highly rated financial institutions. The Company’s primary exchange rate exposure is with the Indian rupee. The Company also has exposure in Philippine pesos, Czech koruna and other local currencies in which it operates.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financial instruments are largely forward foreign exchange contracts that are designated effective and that qualify as cash flow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No. 815”). The Company also uses derivatives consisting of foreign currency exchange contracts not designated as hedging instruments under ASC No. 815 to hedge intercompany balances and other monetary assets or liabilities denominated in currencies other than the functional currency.</w:t>
      </w:r>
    </w:p>
    <w:p>
      <w:pPr>
        <w:spacing w:after="0" w:line="12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Company had outstanding foreign exchange contracts totaling $125,779, GBP 6,944 and EUR 546 as of June 30, 2010 and totaling $90,000 and GBP 7,662 as of December 31, 2009. The Company estimates that approximately $1,488 of net derivative gains included in accumulated other comprehensive income (“AOCI”) could be reclassified into earnings within the next twelve months based on exchange rates prevailing as of June 30, 2010. At June 30, 2010, the maximum outstanding term of derivative instruments that hedge forecasted transactions was thirty-three months.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the unaudited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 No significant amounts of gains or losses were reclassified from AOCI into earnings as a result of forecasted transactions that failed to occur during the three and six months ended June 30, 2010.</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fair value of foreign currency exchange contracts and their location on the unaudited consolidated financial statements: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34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2"/>
              </w:rPr>
              <w:t>June 30,</w:t>
            </w:r>
          </w:p>
        </w:tc>
        <w:tc>
          <w:tcPr>
            <w:tcW w:w="1360" w:type="dxa"/>
            <w:vAlign w:val="bottom"/>
            <w:gridSpan w:val="3"/>
          </w:tcPr>
          <w:p>
            <w:pPr>
              <w:ind w:left="5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11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2009</w:t>
            </w:r>
          </w:p>
        </w:tc>
      </w:tr>
      <w:tr>
        <w:trPr>
          <w:trHeight w:val="210"/>
        </w:trPr>
        <w:tc>
          <w:tcPr>
            <w:tcW w:w="114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2260" w:type="dxa"/>
            <w:vAlign w:val="bottom"/>
            <w:gridSpan w:val="5"/>
          </w:tcPr>
          <w:p>
            <w:pPr>
              <w:jc w:val="right"/>
              <w:ind w:right="20"/>
              <w:spacing w:after="0"/>
              <w:rPr>
                <w:sz w:val="20"/>
                <w:szCs w:val="20"/>
                <w:color w:val="auto"/>
              </w:rPr>
            </w:pPr>
            <w:r>
              <w:rPr>
                <w:rFonts w:ascii="Arial" w:cs="Arial" w:eastAsia="Arial" w:hAnsi="Arial"/>
                <w:sz w:val="18"/>
                <w:szCs w:val="18"/>
                <w:color w:val="auto"/>
              </w:rPr>
              <w:t>$1,542</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1,451</w:t>
            </w:r>
          </w:p>
        </w:tc>
      </w:tr>
      <w:tr>
        <w:trPr>
          <w:trHeight w:val="216"/>
        </w:trPr>
        <w:tc>
          <w:tcPr>
            <w:tcW w:w="114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840" w:type="dxa"/>
            <w:vAlign w:val="bottom"/>
            <w:gridSpan w:val="3"/>
          </w:tcPr>
          <w:p>
            <w:pPr>
              <w:jc w:val="center"/>
              <w:ind w:left="1658"/>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16"/>
        </w:trPr>
        <w:tc>
          <w:tcPr>
            <w:tcW w:w="114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840" w:type="dxa"/>
            <w:vAlign w:val="bottom"/>
            <w:gridSpan w:val="3"/>
          </w:tcPr>
          <w:p>
            <w:pPr>
              <w:jc w:val="center"/>
              <w:ind w:left="1658"/>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 current liabilities:</w:t>
            </w: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840" w:type="dxa"/>
            <w:vAlign w:val="bottom"/>
            <w:gridSpan w:val="3"/>
          </w:tcPr>
          <w:p>
            <w:pPr>
              <w:jc w:val="center"/>
              <w:ind w:left="1658"/>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451"/>
        </w:trPr>
        <w:tc>
          <w:tcPr>
            <w:tcW w:w="6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0"/>
        </w:trPr>
        <w:tc>
          <w:tcPr>
            <w:tcW w:w="11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260" w:type="dxa"/>
            <w:vAlign w:val="bottom"/>
            <w:gridSpan w:val="5"/>
          </w:tcPr>
          <w:p>
            <w:pPr>
              <w:jc w:val="center"/>
              <w:ind w:left="1258"/>
              <w:spacing w:after="0"/>
              <w:rPr>
                <w:sz w:val="20"/>
                <w:szCs w:val="20"/>
                <w:color w:val="auto"/>
              </w:rPr>
            </w:pPr>
            <w:r>
              <w:rPr>
                <w:rFonts w:ascii="Arial" w:cs="Arial" w:eastAsia="Arial" w:hAnsi="Arial"/>
                <w:sz w:val="14"/>
                <w:szCs w:val="14"/>
                <w:b w:val="1"/>
                <w:bCs w:val="1"/>
                <w:color w:val="auto"/>
                <w:w w:val="85"/>
              </w:rPr>
              <w:t>June 30,</w:t>
            </w:r>
          </w:p>
        </w:tc>
        <w:tc>
          <w:tcPr>
            <w:tcW w:w="1360" w:type="dxa"/>
            <w:vAlign w:val="bottom"/>
            <w:gridSpan w:val="3"/>
          </w:tcPr>
          <w:p>
            <w:pPr>
              <w:ind w:left="5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11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40" w:type="dxa"/>
            <w:vAlign w:val="bottom"/>
            <w:gridSpan w:val="4"/>
          </w:tcPr>
          <w:p>
            <w:pPr>
              <w:jc w:val="center"/>
              <w:ind w:left="1478"/>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8"/>
              <w:spacing w:after="0"/>
              <w:rPr>
                <w:sz w:val="20"/>
                <w:szCs w:val="20"/>
                <w:color w:val="auto"/>
              </w:rPr>
            </w:pPr>
            <w:r>
              <w:rPr>
                <w:rFonts w:ascii="Arial" w:cs="Arial" w:eastAsia="Arial" w:hAnsi="Arial"/>
                <w:sz w:val="14"/>
                <w:szCs w:val="14"/>
                <w:b w:val="1"/>
                <w:bCs w:val="1"/>
                <w:color w:val="auto"/>
              </w:rPr>
              <w:t>2009</w:t>
            </w:r>
          </w:p>
        </w:tc>
      </w:tr>
      <w:tr>
        <w:trPr>
          <w:trHeight w:val="210"/>
        </w:trPr>
        <w:tc>
          <w:tcPr>
            <w:tcW w:w="114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79"/>
              </w:rPr>
              <w:t>42</w:t>
            </w:r>
          </w:p>
        </w:tc>
        <w:tc>
          <w:tcPr>
            <w:tcW w:w="220" w:type="dxa"/>
            <w:vAlign w:val="bottom"/>
          </w:tcPr>
          <w:p>
            <w:pPr>
              <w:spacing w:after="0"/>
              <w:rPr>
                <w:sz w:val="19"/>
                <w:szCs w:val="19"/>
                <w:color w:val="auto"/>
              </w:rPr>
            </w:pP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June 30, 2010 and 2009:</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Cash Flow</w:t>
      </w:r>
    </w:p>
    <w:p>
      <w:pPr>
        <w:spacing w:after="0" w:line="237" w:lineRule="auto"/>
        <w:rPr>
          <w:sz w:val="20"/>
          <w:szCs w:val="20"/>
          <w:color w:val="auto"/>
        </w:rPr>
      </w:pPr>
      <w:r>
        <w:rPr>
          <w:rFonts w:ascii="Arial" w:cs="Arial" w:eastAsia="Arial" w:hAnsi="Arial"/>
          <w:sz w:val="14"/>
          <w:szCs w:val="14"/>
          <w:b w:val="1"/>
          <w:bCs w:val="1"/>
          <w:color w:val="auto"/>
        </w:rPr>
        <w:t>Hedging</w:t>
      </w:r>
    </w:p>
    <w:p>
      <w:pPr>
        <w:spacing w:after="0"/>
        <w:rPr>
          <w:sz w:val="20"/>
          <w:szCs w:val="20"/>
          <w:color w:val="auto"/>
        </w:rPr>
      </w:pPr>
      <w:r>
        <w:rPr>
          <w:rFonts w:ascii="Arial" w:cs="Arial" w:eastAsia="Arial" w:hAnsi="Arial"/>
          <w:sz w:val="11"/>
          <w:szCs w:val="11"/>
          <w:b w:val="1"/>
          <w:bCs w:val="1"/>
          <w:u w:val="single" w:color="auto"/>
          <w:color w:val="auto"/>
        </w:rPr>
        <w:t>Relationships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 of Gain or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(Loss) Recognized in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AOCI on Derivative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840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ind w:left="80"/>
        <w:spacing w:after="0"/>
        <w:tabs>
          <w:tab w:leader="none" w:pos="86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 of Loss</w:t>
            </w:r>
          </w:p>
        </w:tc>
        <w:tc>
          <w:tcPr>
            <w:tcW w:w="16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Amount of</w:t>
            </w:r>
          </w:p>
        </w:tc>
      </w:tr>
      <w:tr>
        <w:trPr>
          <w:trHeight w:val="149"/>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Recognized in Income on</w:t>
            </w:r>
          </w:p>
        </w:tc>
        <w:tc>
          <w:tcPr>
            <w:tcW w:w="16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Loss Recognized in</w:t>
            </w:r>
          </w:p>
        </w:tc>
      </w:tr>
      <w:tr>
        <w:trPr>
          <w:trHeight w:val="149"/>
        </w:trPr>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 or</w:t>
            </w:r>
          </w:p>
        </w:tc>
        <w:tc>
          <w:tcPr>
            <w:tcW w:w="16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Amount of Gain or</w:t>
            </w:r>
          </w:p>
        </w:tc>
        <w:tc>
          <w:tcPr>
            <w:tcW w:w="2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Derivative (Ineffective</w:t>
            </w:r>
          </w:p>
        </w:tc>
        <w:tc>
          <w:tcPr>
            <w:tcW w:w="16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Income on Derivative</w:t>
            </w:r>
          </w:p>
        </w:tc>
      </w:tr>
      <w:tr>
        <w:trPr>
          <w:trHeight w:val="149"/>
        </w:trPr>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16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2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Portion and Amount</w:t>
            </w:r>
          </w:p>
        </w:tc>
        <w:tc>
          <w:tcPr>
            <w:tcW w:w="16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(Ineffective Portion and</w:t>
            </w:r>
          </w:p>
        </w:tc>
      </w:tr>
      <w:tr>
        <w:trPr>
          <w:trHeight w:val="149"/>
        </w:trPr>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16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AOCI into Income</w:t>
            </w:r>
          </w:p>
        </w:tc>
        <w:tc>
          <w:tcPr>
            <w:tcW w:w="26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Excluded from</w:t>
            </w:r>
          </w:p>
        </w:tc>
        <w:tc>
          <w:tcPr>
            <w:tcW w:w="16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Amount Excluded from</w:t>
            </w:r>
          </w:p>
        </w:tc>
      </w:tr>
      <w:tr>
        <w:trPr>
          <w:trHeight w:val="175"/>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160" w:type="dxa"/>
            <w:vAlign w:val="bottom"/>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26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Effectiveness Testing)</w:t>
            </w:r>
          </w:p>
        </w:tc>
        <w:tc>
          <w:tcPr>
            <w:tcW w:w="160" w:type="dxa"/>
            <w:vAlign w:val="bottom"/>
          </w:tcPr>
          <w:p>
            <w:pPr>
              <w:spacing w:after="0"/>
              <w:rPr>
                <w:sz w:val="15"/>
                <w:szCs w:val="15"/>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Effectiveness Testing)</w:t>
            </w:r>
          </w:p>
        </w:tc>
      </w:tr>
      <w:tr>
        <w:trPr>
          <w:trHeight w:val="142"/>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r>
    </w:tbl>
    <w:p>
      <w:pPr>
        <w:spacing w:after="0" w:line="1" w:lineRule="exact"/>
        <w:rPr>
          <w:sz w:val="20"/>
          <w:szCs w:val="20"/>
          <w:color w:val="auto"/>
        </w:rPr>
      </w:pPr>
    </w:p>
    <w:p>
      <w:pPr>
        <w:sectPr>
          <w:pgSz w:w="11900" w:h="16838" w:orient="portrait"/>
          <w:cols w:equalWidth="0" w:num="3">
            <w:col w:w="1620" w:space="720"/>
            <w:col w:w="1200" w:space="240"/>
            <w:col w:w="7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560" w:type="dxa"/>
            <w:vAlign w:val="bottom"/>
            <w:tcBorders>
              <w:top w:val="single" w:sz="8" w:color="auto"/>
            </w:tcBorders>
            <w:gridSpan w:val="2"/>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88"/>
              </w:rPr>
              <w:t>Foreign exchange</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2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Foreign exchange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31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$(2,217)</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$2,999  gain/(loss)</w:t>
            </w:r>
          </w:p>
        </w:tc>
        <w:tc>
          <w:tcPr>
            <w:tcW w:w="15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635</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w:t>
            </w:r>
          </w:p>
        </w:tc>
        <w:tc>
          <w:tcPr>
            <w:tcW w:w="20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gain/(loss)</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r>
      <w:tr>
        <w:trPr>
          <w:trHeight w:val="338"/>
        </w:trPr>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6"/>
              </w:rPr>
              <w:t>Amount of Loss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60" w:type="dxa"/>
            <w:vAlign w:val="bottom"/>
            <w:gridSpan w:val="5"/>
          </w:tcPr>
          <w:p>
            <w:pPr>
              <w:jc w:val="center"/>
              <w:ind w:left="72"/>
              <w:spacing w:after="0" w:line="149" w:lineRule="exact"/>
              <w:rPr>
                <w:sz w:val="20"/>
                <w:szCs w:val="20"/>
                <w:color w:val="auto"/>
              </w:rPr>
            </w:pPr>
            <w:r>
              <w:rPr>
                <w:rFonts w:ascii="Arial" w:cs="Arial" w:eastAsia="Arial" w:hAnsi="Arial"/>
                <w:sz w:val="14"/>
                <w:szCs w:val="14"/>
                <w:b w:val="1"/>
                <w:bCs w:val="1"/>
                <w:color w:val="auto"/>
                <w:w w:val="85"/>
              </w:rPr>
              <w:t>Location of Loss</w:t>
            </w: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8"/>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Recognized in Income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920" w:type="dxa"/>
            <w:vAlign w:val="bottom"/>
          </w:tcPr>
          <w:p>
            <w:pPr>
              <w:spacing w:after="0"/>
              <w:rPr>
                <w:sz w:val="14"/>
                <w:szCs w:val="14"/>
                <w:color w:val="auto"/>
              </w:rPr>
            </w:pPr>
          </w:p>
        </w:tc>
        <w:tc>
          <w:tcPr>
            <w:tcW w:w="2180" w:type="dxa"/>
            <w:vAlign w:val="bottom"/>
            <w:gridSpan w:val="4"/>
          </w:tcPr>
          <w:p>
            <w:pPr>
              <w:spacing w:after="0"/>
              <w:rPr>
                <w:sz w:val="20"/>
                <w:szCs w:val="20"/>
                <w:color w:val="auto"/>
              </w:rPr>
            </w:pPr>
            <w:r>
              <w:rPr>
                <w:rFonts w:ascii="Arial" w:cs="Arial" w:eastAsia="Arial" w:hAnsi="Arial"/>
                <w:sz w:val="14"/>
                <w:szCs w:val="14"/>
                <w:b w:val="1"/>
                <w:bCs w:val="1"/>
                <w:color w:val="auto"/>
              </w:rPr>
              <w:t>Derivatives not designated</w:t>
            </w: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gridSpan w:val="5"/>
          </w:tcPr>
          <w:p>
            <w:pPr>
              <w:jc w:val="center"/>
              <w:ind w:left="72"/>
              <w:spacing w:after="0"/>
              <w:rPr>
                <w:sz w:val="20"/>
                <w:szCs w:val="20"/>
                <w:color w:val="auto"/>
              </w:rPr>
            </w:pPr>
            <w:r>
              <w:rPr>
                <w:rFonts w:ascii="Arial" w:cs="Arial" w:eastAsia="Arial" w:hAnsi="Arial"/>
                <w:sz w:val="14"/>
                <w:szCs w:val="14"/>
                <w:b w:val="1"/>
                <w:bCs w:val="1"/>
                <w:color w:val="auto"/>
                <w:w w:val="86"/>
              </w:rPr>
              <w:t>Recognized in Income</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7"/>
              </w:rPr>
              <w:t>on Derivatives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6"/>
        </w:trPr>
        <w:tc>
          <w:tcPr>
            <w:tcW w:w="920" w:type="dxa"/>
            <w:vAlign w:val="bottom"/>
          </w:tcPr>
          <w:p>
            <w:pPr>
              <w:spacing w:after="0"/>
              <w:rPr>
                <w:sz w:val="11"/>
                <w:szCs w:val="11"/>
                <w:color w:val="auto"/>
              </w:rPr>
            </w:pPr>
          </w:p>
        </w:tc>
        <w:tc>
          <w:tcPr>
            <w:tcW w:w="162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as Hedging Instruments</w:t>
            </w:r>
          </w:p>
        </w:tc>
        <w:tc>
          <w:tcPr>
            <w:tcW w:w="56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5"/>
          </w:tcPr>
          <w:p>
            <w:pPr>
              <w:jc w:val="center"/>
              <w:ind w:left="72"/>
              <w:spacing w:after="0" w:line="129" w:lineRule="exact"/>
              <w:rPr>
                <w:sz w:val="20"/>
                <w:szCs w:val="20"/>
                <w:color w:val="auto"/>
              </w:rPr>
            </w:pPr>
            <w:r>
              <w:rPr>
                <w:rFonts w:ascii="Arial" w:cs="Arial" w:eastAsia="Arial" w:hAnsi="Arial"/>
                <w:sz w:val="14"/>
                <w:szCs w:val="14"/>
                <w:b w:val="1"/>
                <w:bCs w:val="1"/>
                <w:color w:val="auto"/>
                <w:w w:val="87"/>
              </w:rPr>
              <w:t>on Derivatives</w:t>
            </w:r>
          </w:p>
        </w:tc>
        <w:tc>
          <w:tcPr>
            <w:tcW w:w="9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w w:val="76"/>
              </w:rPr>
              <w:t>2009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920" w:type="dxa"/>
            <w:vAlign w:val="bottom"/>
          </w:tcPr>
          <w:p>
            <w:pPr>
              <w:spacing w:after="0"/>
              <w:rPr>
                <w:sz w:val="18"/>
                <w:szCs w:val="18"/>
                <w:color w:val="auto"/>
              </w:rPr>
            </w:pPr>
          </w:p>
        </w:tc>
        <w:tc>
          <w:tcPr>
            <w:tcW w:w="21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7"/>
              </w:rPr>
              <w:t>Foreign exchange contracts</w:t>
            </w:r>
          </w:p>
        </w:tc>
        <w:tc>
          <w:tcPr>
            <w:tcW w:w="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80" w:type="dxa"/>
            <w:vAlign w:val="bottom"/>
            <w:gridSpan w:val="7"/>
            <w:shd w:val="clear" w:color="auto" w:fill="CCEEFF"/>
          </w:tcPr>
          <w:p>
            <w:pPr>
              <w:jc w:val="right"/>
              <w:ind w:right="400"/>
              <w:spacing w:after="0"/>
              <w:rPr>
                <w:sz w:val="20"/>
                <w:szCs w:val="20"/>
                <w:color w:val="auto"/>
              </w:rPr>
            </w:pPr>
            <w:r>
              <w:rPr>
                <w:rFonts w:ascii="Arial" w:cs="Arial" w:eastAsia="Arial" w:hAnsi="Arial"/>
                <w:sz w:val="18"/>
                <w:szCs w:val="18"/>
                <w:color w:val="auto"/>
                <w:w w:val="88"/>
              </w:rPr>
              <w:t>Foreign exchange gain/(loss)</w:t>
            </w:r>
          </w:p>
        </w:tc>
        <w:tc>
          <w:tcPr>
            <w:tcW w:w="2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(44)</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3"/>
        </w:trPr>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six months ended June 30, 2010 and 2009:</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Amount of Gain or</w:t>
            </w:r>
          </w:p>
        </w:tc>
      </w:tr>
      <w:tr>
        <w:trPr>
          <w:trHeight w:val="149"/>
        </w:trPr>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(Loss) Recognized in</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Derivatives in Cash Flow</w:t>
            </w:r>
          </w:p>
        </w:tc>
        <w:tc>
          <w:tcPr>
            <w:tcW w:w="7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AOCI on Derivative</w:t>
            </w:r>
          </w:p>
        </w:tc>
      </w:tr>
      <w:tr>
        <w:trPr>
          <w:trHeight w:val="161"/>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Hedging Relationships</w:t>
            </w:r>
          </w:p>
        </w:tc>
        <w:tc>
          <w:tcPr>
            <w:tcW w:w="76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(Effective Portion)</w:t>
            </w:r>
          </w:p>
        </w:tc>
      </w:tr>
      <w:tr>
        <w:trPr>
          <w:trHeight w:val="142"/>
        </w:trPr>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r>
    </w:tbl>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 of Loss</w:t>
            </w:r>
          </w:p>
        </w:tc>
        <w:tc>
          <w:tcPr>
            <w:tcW w:w="1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Amount of</w:t>
            </w:r>
          </w:p>
        </w:tc>
      </w:tr>
      <w:tr>
        <w:trPr>
          <w:trHeight w:val="149"/>
        </w:trPr>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Recognized in Income on</w:t>
            </w:r>
          </w:p>
        </w:tc>
        <w:tc>
          <w:tcPr>
            <w:tcW w:w="16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Loss Recognized in</w:t>
            </w:r>
          </w:p>
        </w:tc>
      </w:tr>
      <w:tr>
        <w:trPr>
          <w:trHeight w:val="149"/>
        </w:trPr>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of Gain or</w:t>
            </w:r>
          </w:p>
        </w:tc>
        <w:tc>
          <w:tcPr>
            <w:tcW w:w="180" w:type="dxa"/>
            <w:vAlign w:val="bottom"/>
          </w:tcPr>
          <w:p>
            <w:pPr>
              <w:spacing w:after="0"/>
              <w:rPr>
                <w:sz w:val="12"/>
                <w:szCs w:val="12"/>
                <w:color w:val="auto"/>
              </w:rPr>
            </w:pPr>
          </w:p>
        </w:tc>
        <w:tc>
          <w:tcPr>
            <w:tcW w:w="14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Amount of Gain or</w:t>
            </w:r>
          </w:p>
        </w:tc>
        <w:tc>
          <w:tcPr>
            <w:tcW w:w="26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Derivative (Ineffective</w:t>
            </w:r>
          </w:p>
        </w:tc>
        <w:tc>
          <w:tcPr>
            <w:tcW w:w="16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Income on Derivative</w:t>
            </w:r>
          </w:p>
        </w:tc>
      </w:tr>
      <w:tr>
        <w:trPr>
          <w:trHeight w:val="149"/>
        </w:trPr>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180" w:type="dxa"/>
            <w:vAlign w:val="bottom"/>
          </w:tcPr>
          <w:p>
            <w:pPr>
              <w:spacing w:after="0"/>
              <w:rPr>
                <w:sz w:val="12"/>
                <w:szCs w:val="12"/>
                <w:color w:val="auto"/>
              </w:rPr>
            </w:pPr>
          </w:p>
        </w:tc>
        <w:tc>
          <w:tcPr>
            <w:tcW w:w="1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(Loss) Reclassified from</w:t>
            </w:r>
          </w:p>
        </w:tc>
        <w:tc>
          <w:tcPr>
            <w:tcW w:w="26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Portion and Amount</w:t>
            </w:r>
          </w:p>
        </w:tc>
        <w:tc>
          <w:tcPr>
            <w:tcW w:w="16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(Ineffective Portion and</w:t>
            </w:r>
          </w:p>
        </w:tc>
      </w:tr>
      <w:tr>
        <w:trPr>
          <w:trHeight w:val="149"/>
        </w:trPr>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AOCI into Income</w:t>
            </w:r>
          </w:p>
        </w:tc>
        <w:tc>
          <w:tcPr>
            <w:tcW w:w="180" w:type="dxa"/>
            <w:vAlign w:val="bottom"/>
          </w:tcPr>
          <w:p>
            <w:pPr>
              <w:spacing w:after="0"/>
              <w:rPr>
                <w:sz w:val="12"/>
                <w:szCs w:val="12"/>
                <w:color w:val="auto"/>
              </w:rPr>
            </w:pPr>
          </w:p>
        </w:tc>
        <w:tc>
          <w:tcPr>
            <w:tcW w:w="14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AOCI into Income</w:t>
            </w:r>
          </w:p>
        </w:tc>
        <w:tc>
          <w:tcPr>
            <w:tcW w:w="26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Excluded from</w:t>
            </w:r>
          </w:p>
        </w:tc>
        <w:tc>
          <w:tcPr>
            <w:tcW w:w="16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Amount Excluded from</w:t>
            </w:r>
          </w:p>
        </w:tc>
      </w:tr>
      <w:tr>
        <w:trPr>
          <w:trHeight w:val="175"/>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(Effective Portion)</w:t>
            </w:r>
          </w:p>
        </w:tc>
        <w:tc>
          <w:tcPr>
            <w:tcW w:w="180" w:type="dxa"/>
            <w:vAlign w:val="bottom"/>
          </w:tcPr>
          <w:p>
            <w:pPr>
              <w:spacing w:after="0"/>
              <w:rPr>
                <w:sz w:val="15"/>
                <w:szCs w:val="15"/>
                <w:color w:val="auto"/>
              </w:rPr>
            </w:pPr>
          </w:p>
        </w:tc>
        <w:tc>
          <w:tcPr>
            <w:tcW w:w="14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(Effective Portion)</w:t>
            </w:r>
          </w:p>
        </w:tc>
        <w:tc>
          <w:tcPr>
            <w:tcW w:w="26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Effectiveness Testing)</w:t>
            </w:r>
          </w:p>
        </w:tc>
        <w:tc>
          <w:tcPr>
            <w:tcW w:w="160" w:type="dxa"/>
            <w:vAlign w:val="bottom"/>
          </w:tcPr>
          <w:p>
            <w:pPr>
              <w:spacing w:after="0"/>
              <w:rPr>
                <w:sz w:val="15"/>
                <w:szCs w:val="15"/>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Effectiveness Testing)</w:t>
            </w:r>
          </w:p>
        </w:tc>
      </w:tr>
      <w:tr>
        <w:trPr>
          <w:trHeight w:val="142"/>
        </w:trPr>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r>
    </w:tbl>
    <w:p>
      <w:pPr>
        <w:spacing w:after="0" w:line="1" w:lineRule="exact"/>
        <w:rPr>
          <w:sz w:val="20"/>
          <w:szCs w:val="20"/>
          <w:color w:val="auto"/>
        </w:rPr>
      </w:pPr>
    </w:p>
    <w:p>
      <w:pPr>
        <w:sectPr>
          <w:pgSz w:w="11900" w:h="16838" w:orient="portrait"/>
          <w:cols w:equalWidth="0" w:num="2">
            <w:col w:w="3560" w:space="260"/>
            <w:col w:w="76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500" w:type="dxa"/>
            <w:vAlign w:val="bottom"/>
            <w:tcBorders>
              <w:top w:val="single" w:sz="8" w:color="auto"/>
            </w:tcBorders>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4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Foreign exchange</w:t>
            </w: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2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Foreign exchange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29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738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(927)  gain/(loss)</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1,224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(3,232)</w:t>
            </w:r>
          </w:p>
        </w:tc>
        <w:tc>
          <w:tcPr>
            <w:tcW w:w="19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gain/(loss)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r>
      <w:tr>
        <w:trPr>
          <w:trHeight w:val="338"/>
        </w:trPr>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Amount of Gain or (Loss)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40" w:type="dxa"/>
            <w:vAlign w:val="bottom"/>
            <w:gridSpan w:val="6"/>
          </w:tcPr>
          <w:p>
            <w:pPr>
              <w:jc w:val="center"/>
              <w:ind w:left="599"/>
              <w:spacing w:after="0" w:line="149" w:lineRule="exact"/>
              <w:rPr>
                <w:sz w:val="20"/>
                <w:szCs w:val="20"/>
                <w:color w:val="auto"/>
              </w:rPr>
            </w:pPr>
            <w:r>
              <w:rPr>
                <w:rFonts w:ascii="Arial" w:cs="Arial" w:eastAsia="Arial" w:hAnsi="Arial"/>
                <w:sz w:val="14"/>
                <w:szCs w:val="14"/>
                <w:b w:val="1"/>
                <w:bCs w:val="1"/>
                <w:color w:val="auto"/>
                <w:w w:val="87"/>
              </w:rPr>
              <w:t>Location of Gain or (Loss)</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Recognized in Income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920" w:type="dxa"/>
            <w:vAlign w:val="bottom"/>
          </w:tcPr>
          <w:p>
            <w:pPr>
              <w:spacing w:after="0"/>
              <w:rPr>
                <w:sz w:val="14"/>
                <w:szCs w:val="14"/>
                <w:color w:val="auto"/>
              </w:rPr>
            </w:pPr>
          </w:p>
        </w:tc>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Derivatives not designated</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6"/>
              </w:rPr>
              <w:t>Recognized in Income</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on Derivatives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6"/>
        </w:trPr>
        <w:tc>
          <w:tcPr>
            <w:tcW w:w="920" w:type="dxa"/>
            <w:vAlign w:val="bottom"/>
          </w:tcPr>
          <w:p>
            <w:pPr>
              <w:spacing w:after="0"/>
              <w:rPr>
                <w:sz w:val="11"/>
                <w:szCs w:val="11"/>
                <w:color w:val="auto"/>
              </w:rPr>
            </w:pPr>
          </w:p>
        </w:tc>
        <w:tc>
          <w:tcPr>
            <w:tcW w:w="162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as Hedging Instruments</w:t>
            </w: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jc w:val="center"/>
              <w:ind w:right="340"/>
              <w:spacing w:after="0" w:line="129" w:lineRule="exact"/>
              <w:rPr>
                <w:sz w:val="20"/>
                <w:szCs w:val="20"/>
                <w:color w:val="auto"/>
              </w:rPr>
            </w:pPr>
            <w:r>
              <w:rPr>
                <w:rFonts w:ascii="Arial" w:cs="Arial" w:eastAsia="Arial" w:hAnsi="Arial"/>
                <w:sz w:val="14"/>
                <w:szCs w:val="14"/>
                <w:b w:val="1"/>
                <w:bCs w:val="1"/>
                <w:color w:val="auto"/>
                <w:w w:val="87"/>
              </w:rPr>
              <w:t>on Derivatives</w:t>
            </w:r>
          </w:p>
        </w:tc>
        <w:tc>
          <w:tcPr>
            <w:tcW w:w="6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ind w:right="212"/>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920" w:type="dxa"/>
            <w:vAlign w:val="bottom"/>
          </w:tcPr>
          <w:p>
            <w:pPr>
              <w:spacing w:after="0"/>
              <w:rPr>
                <w:sz w:val="18"/>
                <w:szCs w:val="18"/>
                <w:color w:val="auto"/>
              </w:rPr>
            </w:pPr>
          </w:p>
        </w:tc>
        <w:tc>
          <w:tcPr>
            <w:tcW w:w="20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0"/>
              </w:rPr>
              <w:t>Foreign exchange contracts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40" w:type="dxa"/>
            <w:vAlign w:val="bottom"/>
            <w:gridSpan w:val="6"/>
            <w:shd w:val="clear" w:color="auto" w:fill="CCEEFF"/>
          </w:tcPr>
          <w:p>
            <w:pPr>
              <w:jc w:val="right"/>
              <w:ind w:right="600"/>
              <w:spacing w:after="0"/>
              <w:rPr>
                <w:sz w:val="20"/>
                <w:szCs w:val="20"/>
                <w:color w:val="auto"/>
              </w:rPr>
            </w:pPr>
            <w:r>
              <w:rPr>
                <w:rFonts w:ascii="Arial" w:cs="Arial" w:eastAsia="Arial" w:hAnsi="Arial"/>
                <w:sz w:val="18"/>
                <w:szCs w:val="18"/>
                <w:color w:val="auto"/>
                <w:w w:val="87"/>
              </w:rPr>
              <w:t>Foreign exchange gain/(loss)</w:t>
            </w:r>
          </w:p>
        </w:tc>
        <w:tc>
          <w:tcPr>
            <w:tcW w:w="1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931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change in the components of comprehensive income/(loss) for the three and six months ended June 30, 2010 and 2009:</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86"/>
              </w:rPr>
              <w:t>Three months ended June 30,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10,492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Other comprehensive income/(loss):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Unrealized gain/(loss) on effective cash flow hedges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(2,852)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(2,941)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Retirement benefits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420"/>
              <w:spacing w:after="0"/>
              <w:rPr>
                <w:sz w:val="20"/>
                <w:szCs w:val="20"/>
                <w:color w:val="auto"/>
              </w:rPr>
            </w:pPr>
            <w:r>
              <w:rPr>
                <w:rFonts w:ascii="Arial" w:cs="Arial" w:eastAsia="Arial" w:hAnsi="Arial"/>
                <w:sz w:val="18"/>
                <w:szCs w:val="18"/>
                <w:color w:val="auto"/>
              </w:rPr>
              <w:t>Total other comprehensive income/(loss)</w:t>
            </w: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(5,755)</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7,917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income/(loss)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40" w:type="dxa"/>
            <w:vAlign w:val="bottom"/>
            <w:vMerge w:val="restart"/>
          </w:tcPr>
          <w:p>
            <w:pPr>
              <w:jc w:val="right"/>
              <w:ind w:right="872"/>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three and six months ended June 30, 2010, the Company acquired 5,472 shares of common stock from employees in connection with withholding tax payments related to the vesting of restricted stock for a total consideration of $93. The purchase price of $16.96 per share was the average of the high and low price of the Company’s shares of common stock on the Nasdaq Global Select Market on the trading day prior to the vesting date of the shares of restricted stock. These shares are held as treasury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Gratuity Plans in India and the Philippines provide a lump sum payment to vested employees on retirement or on termination of employment in an amount based on the respective employee’s salary and years of employment with the Company. Liabilities with regard to the Gratuity Plan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w w:val="87"/>
              </w:rPr>
              <w:t>Three months ended June 30,</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Net gratuity cost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215</w:t>
            </w:r>
          </w:p>
        </w:tc>
        <w:tc>
          <w:tcPr>
            <w:tcW w:w="5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412</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maintains both the ExlService Inc. 401(k) Plan and the Inductis 401(k) Profit Sharing Plan, (the “401(k) Plans”) under Section 401(k) of the Internal Revenue Code of 1986 covering all eligible employees. The Company may make discretionary contributions of up to a maximum of 3% of employee compensation within certain limits. The Company’s contribution to the 401(k) Plans amounted to $81 and $75 during the three month periods ended June 30, 2010 and June 30, 2009, respectively and $158 and $157 during the six month periods ended June 30, 2010 and June 30, 2009, respectively.</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three and six month periods ended June 30, 2010 and 2009, the Company contributed the following amounts to various defined contribution plans on behalf of its employees in India, the Philippines, Romania and the Czech Republic:</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2010</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Three months ended June 30, 2009</w:t>
            </w:r>
          </w:p>
        </w:tc>
        <w:tc>
          <w:tcPr>
            <w:tcW w:w="4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2010</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1,732</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Six months ended June 30, 2009</w:t>
            </w:r>
          </w:p>
        </w:tc>
        <w:tc>
          <w:tcPr>
            <w:tcW w:w="42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356"/>
        </w:trPr>
        <w:tc>
          <w:tcPr>
            <w:tcW w:w="3120" w:type="dxa"/>
            <w:vAlign w:val="bottom"/>
          </w:tcPr>
          <w:p>
            <w:pPr>
              <w:spacing w:after="0"/>
              <w:rPr>
                <w:sz w:val="24"/>
                <w:szCs w:val="24"/>
                <w:color w:val="auto"/>
              </w:rPr>
            </w:pPr>
          </w:p>
        </w:tc>
        <w:tc>
          <w:tcPr>
            <w:tcW w:w="4220" w:type="dxa"/>
            <w:vAlign w:val="bottom"/>
          </w:tcPr>
          <w:p>
            <w:pPr>
              <w:jc w:val="right"/>
              <w:ind w:right="3292"/>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leases motor vehicles for some of its employees. Such leases are recorded as capital leases. Future minimum lease payments under these capital leases at June 30, 2010 are set forth below:</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2011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9"/>
              </w:rPr>
              <w:t>$251</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2013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1"/>
        </w:trPr>
        <w:tc>
          <w:tcPr>
            <w:tcW w:w="738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633</w:t>
            </w:r>
          </w:p>
        </w:tc>
      </w:tr>
      <w:tr>
        <w:trPr>
          <w:trHeight w:val="218"/>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1"/>
        </w:trPr>
        <w:tc>
          <w:tcPr>
            <w:tcW w:w="738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556</w:t>
            </w:r>
          </w:p>
        </w:tc>
      </w:tr>
      <w:tr>
        <w:trPr>
          <w:trHeight w:val="218"/>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2"/>
        </w:trPr>
        <w:tc>
          <w:tcPr>
            <w:tcW w:w="7380" w:type="dxa"/>
            <w:vAlign w:val="bottom"/>
          </w:tcPr>
          <w:p>
            <w:pPr>
              <w:spacing w:after="0"/>
              <w:rPr>
                <w:sz w:val="20"/>
                <w:szCs w:val="20"/>
                <w:color w:val="auto"/>
              </w:rPr>
            </w:pPr>
            <w:r>
              <w:rPr>
                <w:rFonts w:ascii="Arial" w:cs="Arial" w:eastAsia="Arial" w:hAnsi="Arial"/>
                <w:sz w:val="18"/>
                <w:szCs w:val="18"/>
                <w:color w:val="auto"/>
              </w:rPr>
              <w:t>Long term capital lease obligation</w:t>
            </w: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344</w:t>
            </w: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conducts its operations using facilities leased under non-cancelable operating lease agreements that expire at various dates. Future minimum lease payments under non-cancelable operating lease agreements expiring after more than twelve months are set forth below:</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5,791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2,989</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2016 and 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r>
      <w:tr>
        <w:trPr>
          <w:trHeight w:val="222"/>
        </w:trPr>
        <w:tc>
          <w:tcPr>
            <w:tcW w:w="716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16,387</w:t>
            </w: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accounts for scheduled rent on a straight line basis over the lease period. Rent expense under both cancellable and non-cancellable operating leases was $2,510 and $1,425 for the three months ended June 30, 2010 and 2009, respectively and $4,358 and $2,682 for the six months ended June 30, 2010 and 2009, respectively. Deferred rent as of June 30, 2010 and December 31, 2009 was $2,401 and $1,437, respectively, and is included in “Accrued expenses and other current liabilities” in the unaudited consolidated balance sheet as of June 30, 2010 and the audited balance sheet as of December 31, 2009.</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recorded income tax expense of $1,620 and $109 for the three months ended June 30, 2010 and 2009, respectively and $3,497 and $372 for the six months ended June 30, 2010 and 2009, respectively. The effective rate of taxes attributable to continuing operations was 25.0% and 8.0% for each of the three and six months ended June 30, 2010 and 2009. The increase in overall effective tax rate is primarily due to the expiration of a tax holiday under Indian law for some of our operating units in India during the three months ended June 30, 2010 and also due to the recent GTSC and PDMA acquisitions, income from which is fully taxable.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units of the Company’s Indian subsidiaries qualify for an exemption from taxable income under Section 10A or 10B of the Indian Income Tax Act, as their profits are attributable to work performed under the export promotion schemes. This exemption is available for a period of ten consecutive years beginning with the financial year in which the entity begins to manufacture or produce eligible goods and services and originally expired on March 31, 2010. In July 2009, the Indian government extended the tax holiday period by one year from March 31, 2010 to March 31, 2011. The tax holiday period for some of the units of the Company expired on April 1, 2010 and any profits from such units after such date is fully taxable at the Indian statutory rate, which is 33.22%.</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June 30, 2010, the Company performed an analysis of the deferred tax asset valuation allowance for certain units of its Indian subsidiaries and net operating loss carry forward for its domestic entities. Based on this analysis, the Company continues to record a valuation allowance on deferred tax assets pertaining to such units of the Company’s subsidiaries for which the tax holiday period is currently scheduled to expire on April 1, 2011 and the deferred tax assets on net operating loss carry forwards. The valuation allowance as of June 30, 2010 and December 31, 2009 was approximately $2,370 and $2,254, respectively.</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During 2007, the Indian government passed tax legislation that, among other items, subjects Indian taxpayers to a Minimum Alternative Tax (“MAT”). As of June 30, 2010 and December 31, 2009, income tax credits related to the MAT were approximately $4,974 and $4,269, respectively.</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provision for income taxes also includes the impact of provisions established for uncertain income tax positions determined in accordance with ASC topic No. 740, “</w:t>
      </w:r>
      <w:r>
        <w:rPr>
          <w:rFonts w:ascii="Arial" w:cs="Arial" w:eastAsia="Arial" w:hAnsi="Arial"/>
          <w:sz w:val="16"/>
          <w:szCs w:val="16"/>
          <w:i w:val="1"/>
          <w:iCs w:val="1"/>
          <w:color w:val="auto"/>
        </w:rPr>
        <w:t>Income Taxes</w:t>
      </w:r>
      <w:r>
        <w:rPr>
          <w:rFonts w:ascii="Arial" w:cs="Arial" w:eastAsia="Arial" w:hAnsi="Arial"/>
          <w:sz w:val="16"/>
          <w:szCs w:val="16"/>
          <w:color w:val="auto"/>
        </w:rPr>
        <w:t>” as well as the related net interest. Tax exposures can involve complex issues and may require an extended period to resolve.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provision for income taxes in the period in which such determination is made.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the gross unrecognized tax benefits from January 1, 2010 through June 30, 2010:</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$4,156</w:t>
            </w: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Increases related to prior year tax positions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Decreases related to prior year tax positions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Increases related to current year tax positions</w:t>
            </w:r>
          </w:p>
        </w:tc>
        <w:tc>
          <w:tcPr>
            <w:tcW w:w="50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Balance as of June 30, 2010</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5,128</w:t>
            </w:r>
          </w:p>
        </w:tc>
        <w:tc>
          <w:tcPr>
            <w:tcW w:w="12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June 30, 2010 of $5,128, if recognized, would impact the effective tax rate.</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has recognized interest and penalties of $36 and $132 during the three and six months ended June 30, 2010, respectively, and is included in the income tax provision in the unaudited consolidated statements of income. The unrecognized tax benefits may increase or decrease in the next twelve months depending on the Company’s tax positions.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costs related to the Company’s stock-based compensation plan are included in the unaudited consolidated statements of income: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right"/>
              <w:ind w:right="36"/>
              <w:spacing w:after="0"/>
              <w:rPr>
                <w:sz w:val="20"/>
                <w:szCs w:val="20"/>
                <w:color w:val="auto"/>
              </w:rPr>
            </w:pPr>
            <w:r>
              <w:rPr>
                <w:rFonts w:ascii="Arial" w:cs="Arial" w:eastAsia="Arial" w:hAnsi="Arial"/>
                <w:sz w:val="14"/>
                <w:szCs w:val="14"/>
                <w:b w:val="1"/>
                <w:bCs w:val="1"/>
                <w:color w:val="auto"/>
                <w:w w:val="86"/>
              </w:rPr>
              <w:t>Three months ended June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5"/>
              </w:rPr>
              <w:t>Six months ended June 30,</w:t>
            </w:r>
          </w:p>
        </w:tc>
      </w:tr>
      <w:tr>
        <w:trPr>
          <w:trHeight w:val="142"/>
        </w:trPr>
        <w:tc>
          <w:tcPr>
            <w:tcW w:w="6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0" w:type="dxa"/>
            <w:vAlign w:val="bottom"/>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1,670</w:t>
            </w:r>
          </w:p>
        </w:tc>
        <w:tc>
          <w:tcPr>
            <w:tcW w:w="2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0" w:type="dxa"/>
            <w:vAlign w:val="bottom"/>
          </w:tcPr>
          <w:p>
            <w:pPr>
              <w:spacing w:after="0"/>
              <w:rPr>
                <w:sz w:val="18"/>
                <w:szCs w:val="18"/>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2,404</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4,231</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3,513</w:t>
            </w:r>
          </w:p>
        </w:tc>
      </w:tr>
      <w:tr>
        <w:trPr>
          <w:trHeight w:val="20"/>
        </w:trPr>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8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2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5440" w:type="dxa"/>
            <w:vAlign w:val="bottom"/>
          </w:tcPr>
          <w:p>
            <w:pPr>
              <w:spacing w:after="0"/>
              <w:rPr>
                <w:sz w:val="12"/>
                <w:szCs w:val="12"/>
                <w:color w:val="auto"/>
              </w:rPr>
            </w:pPr>
          </w:p>
        </w:tc>
        <w:tc>
          <w:tcPr>
            <w:tcW w:w="7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2010</w:t>
            </w: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Expected life (years)</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120" w:type="dxa"/>
            <w:vAlign w:val="bottom"/>
            <w:gridSpan w:val="3"/>
          </w:tcPr>
          <w:p>
            <w:pPr>
              <w:jc w:val="right"/>
              <w:ind w:right="740"/>
              <w:spacing w:after="0"/>
              <w:rPr>
                <w:sz w:val="20"/>
                <w:szCs w:val="20"/>
                <w:color w:val="auto"/>
              </w:rPr>
            </w:pPr>
            <w:r>
              <w:rPr>
                <w:rFonts w:ascii="Arial" w:cs="Arial" w:eastAsia="Arial" w:hAnsi="Arial"/>
                <w:sz w:val="18"/>
                <w:szCs w:val="18"/>
                <w:color w:val="auto"/>
              </w:rPr>
              <w:t>5.98</w:t>
            </w:r>
          </w:p>
        </w:tc>
        <w:tc>
          <w:tcPr>
            <w:tcW w:w="1460" w:type="dxa"/>
            <w:vAlign w:val="bottom"/>
            <w:gridSpan w:val="2"/>
          </w:tcPr>
          <w:p>
            <w:pPr>
              <w:jc w:val="right"/>
              <w:ind w:right="920"/>
              <w:spacing w:after="0"/>
              <w:rPr>
                <w:sz w:val="20"/>
                <w:szCs w:val="20"/>
                <w:color w:val="auto"/>
              </w:rPr>
            </w:pPr>
            <w:r>
              <w:rPr>
                <w:rFonts w:ascii="Arial" w:cs="Arial" w:eastAsia="Arial" w:hAnsi="Arial"/>
                <w:sz w:val="18"/>
                <w:szCs w:val="18"/>
                <w:color w:val="auto"/>
              </w:rPr>
              <w:t>5.33</w:t>
            </w:r>
          </w:p>
        </w:tc>
        <w:tc>
          <w:tcPr>
            <w:tcW w:w="56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2.76%</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Volatility</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120" w:type="dxa"/>
            <w:vAlign w:val="bottom"/>
            <w:gridSpan w:val="3"/>
          </w:tcPr>
          <w:p>
            <w:pPr>
              <w:jc w:val="right"/>
              <w:ind w:right="600"/>
              <w:spacing w:after="0"/>
              <w:rPr>
                <w:sz w:val="20"/>
                <w:szCs w:val="20"/>
                <w:color w:val="auto"/>
              </w:rPr>
            </w:pPr>
            <w:r>
              <w:rPr>
                <w:rFonts w:ascii="Arial" w:cs="Arial" w:eastAsia="Arial" w:hAnsi="Arial"/>
                <w:sz w:val="18"/>
                <w:szCs w:val="18"/>
                <w:color w:val="auto"/>
              </w:rPr>
              <w:t>50%</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40%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estimated expected term of options granted has been based on historical experience since October 2006, which is representative of the expected term of the options. Volatility has been calculated based on the volatility of the Company’s common stock and the volatility of stocks of comparable companies. The risk-free interest rate that the Company uses in the option valuation model is based on U.S. treasury zero-coupon bonds with a remaining term similar to the expected term of the options.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set forth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Average</w:t>
            </w: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0"/>
              </w:rPr>
              <w:t>Aggregate</w:t>
            </w:r>
          </w:p>
        </w:tc>
        <w:tc>
          <w:tcPr>
            <w:tcW w:w="48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Exercise</w:t>
            </w: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Intrinsic</w:t>
            </w:r>
          </w:p>
        </w:tc>
        <w:tc>
          <w:tcPr>
            <w:tcW w:w="48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2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3,188,066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21,999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Granted</w:t>
            </w:r>
          </w:p>
        </w:tc>
        <w:tc>
          <w:tcPr>
            <w:tcW w:w="2800" w:type="dxa"/>
            <w:vAlign w:val="bottom"/>
            <w:gridSpan w:val="3"/>
          </w:tcPr>
          <w:p>
            <w:pPr>
              <w:jc w:val="right"/>
              <w:ind w:right="320"/>
              <w:spacing w:after="0"/>
              <w:rPr>
                <w:sz w:val="20"/>
                <w:szCs w:val="20"/>
                <w:color w:val="auto"/>
              </w:rPr>
            </w:pPr>
            <w:r>
              <w:rPr>
                <w:rFonts w:ascii="Arial" w:cs="Arial" w:eastAsia="Arial" w:hAnsi="Arial"/>
                <w:sz w:val="18"/>
                <w:szCs w:val="18"/>
                <w:color w:val="auto"/>
              </w:rPr>
              <w:t>60,069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2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(74,699)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7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(108,330)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2010</w:t>
            </w:r>
          </w:p>
        </w:tc>
        <w:tc>
          <w:tcPr>
            <w:tcW w:w="1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3,065,106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18,108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June 30, 2010</w:t>
            </w:r>
          </w:p>
        </w:tc>
        <w:tc>
          <w:tcPr>
            <w:tcW w:w="1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1,316,137</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6,950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June 30, 2010</w:t>
            </w:r>
          </w:p>
        </w:tc>
        <w:tc>
          <w:tcPr>
            <w:tcW w:w="1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3,675,431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unrecognized compensation cost for unvested options as of June 30, 2010 is $6,628, which is expected to be expensed over a weighted average period of 2.15 years. The weighted-average fair value of options granted during the three months ended June 30, 2010 and 2009 was $0 and $4.06, respectively and for the six months ended June 30, 2010 and 2009 was $7.44 and $3.47, respectively. The total fair value of shares vested during the three months period ending June 30, 2010 is $979 and for the six months period ending June 30, 2010 is $2,255.</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set forth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9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Restricted Stock</w:t>
            </w:r>
          </w:p>
        </w:tc>
        <w:tc>
          <w:tcPr>
            <w:tcW w:w="1600" w:type="dxa"/>
            <w:vAlign w:val="bottom"/>
            <w:gridSpan w:val="5"/>
          </w:tcPr>
          <w:p>
            <w:pPr>
              <w:ind w:left="140"/>
              <w:spacing w:after="0"/>
              <w:rPr>
                <w:sz w:val="20"/>
                <w:szCs w:val="20"/>
                <w:color w:val="auto"/>
              </w:rPr>
            </w:pPr>
            <w:r>
              <w:rPr>
                <w:rFonts w:ascii="Arial" w:cs="Arial" w:eastAsia="Arial" w:hAnsi="Arial"/>
                <w:sz w:val="14"/>
                <w:szCs w:val="14"/>
                <w:b w:val="1"/>
                <w:bCs w:val="1"/>
                <w:color w:val="auto"/>
                <w:w w:val="96"/>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Intrinsic</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Value</w:t>
            </w:r>
          </w:p>
        </w:tc>
        <w:tc>
          <w:tcPr>
            <w:tcW w:w="300" w:type="dxa"/>
            <w:vAlign w:val="bottom"/>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379,810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21.78</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601,119</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(108,792)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18.85</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(6,766)</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16.11</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(10,250)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264,252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23.13</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614,869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2010, unrecognized compensation cost of $14,015 is expected to be expensed over a weighted average period of 3.06 years.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provides services to Duane Reade Holdings, Inc., a New York City drugstore chain. Duane Reade Holdings, Inc. was until April 2010, indirectly owned by entities related to the Oak Hill Capital Partners, L.P., one of the Company’s significant stockholders. The Company recognized revenues of $1 and $162 during the three months ended June 30, 2010 and 2009, respectively, and $17 and $220 during the six months ended June 30, 2010 and 2009, respectively for fees and expense reimbursements from Duane Reade Holdings, Inc. At June 30, 2010 and December 31, 2009, the Company had an account receivable of $0 and $43, respectively, related to these services.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provides services to Oak Hill Capital Partners, an affiliate of the Oak Hill Capital Partners, L.P., one of the Company’s significant stockholders. The Company recognized revenues of approximately $23 and $6 during the three months ended June 30, 2010 and 2009, respectively, and $38 and $6 during the six months ended June 30, 2010 and 2009, respectively. At June 30, 2010 and December 31, 2009, the Company had an account receivable of $11 and $13, respectively, related to these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4"/>
              </w:rPr>
              <w:t>Three months ended June 30,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7"/>
          </w:tcPr>
          <w:p>
            <w:pPr>
              <w:ind w:left="60"/>
              <w:spacing w:after="0"/>
              <w:rPr>
                <w:sz w:val="20"/>
                <w:szCs w:val="20"/>
                <w:color w:val="auto"/>
              </w:rPr>
            </w:pPr>
            <w:r>
              <w:rPr>
                <w:rFonts w:ascii="Arial" w:cs="Arial" w:eastAsia="Arial" w:hAnsi="Arial"/>
                <w:sz w:val="14"/>
                <w:szCs w:val="14"/>
                <w:b w:val="1"/>
                <w:bCs w:val="1"/>
                <w:color w:val="auto"/>
                <w:w w:val="90"/>
              </w:rPr>
              <w:t>Six months ended June 30,</w:t>
            </w:r>
          </w:p>
        </w:tc>
      </w:tr>
      <w:tr>
        <w:trPr>
          <w:trHeight w:val="142"/>
        </w:trPr>
        <w:tc>
          <w:tcPr>
            <w:tcW w:w="9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r>
      <w:tr>
        <w:trPr>
          <w:trHeight w:val="21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44,298</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27,418</w:t>
            </w:r>
          </w:p>
        </w:tc>
        <w:tc>
          <w:tcPr>
            <w:tcW w:w="46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82,880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54,221</w:t>
            </w:r>
          </w:p>
        </w:tc>
        <w:tc>
          <w:tcPr>
            <w:tcW w:w="2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28,481</w:t>
            </w:r>
          </w:p>
        </w:tc>
        <w:tc>
          <w:tcPr>
            <w:tcW w:w="20" w:type="dxa"/>
            <w:vAlign w:val="bottom"/>
          </w:tcPr>
          <w:p>
            <w:pPr>
              <w:spacing w:after="0"/>
              <w:rPr>
                <w:sz w:val="18"/>
                <w:szCs w:val="18"/>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19"/>
                <w:szCs w:val="19"/>
                <w:color w:val="auto"/>
              </w:rPr>
            </w:pPr>
          </w:p>
        </w:tc>
      </w:tr>
      <w:tr>
        <w:trPr>
          <w:trHeight w:val="216"/>
        </w:trPr>
        <w:tc>
          <w:tcPr>
            <w:tcW w:w="9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60,639</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4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115,128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83,371</w:t>
            </w:r>
          </w:p>
        </w:tc>
        <w:tc>
          <w:tcPr>
            <w:tcW w:w="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2"/>
        </w:trPr>
        <w:tc>
          <w:tcPr>
            <w:tcW w:w="9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24"/>
                <w:szCs w:val="24"/>
                <w:color w:val="auto"/>
              </w:rPr>
            </w:pPr>
          </w:p>
        </w:tc>
        <w:tc>
          <w:tcPr>
            <w:tcW w:w="106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1"/>
        </w:trPr>
        <w:tc>
          <w:tcPr>
            <w:tcW w:w="9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India</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$24,263</w:t>
            </w:r>
          </w:p>
        </w:tc>
        <w:tc>
          <w:tcPr>
            <w:tcW w:w="160" w:type="dxa"/>
            <w:vAlign w:val="bottom"/>
          </w:tcPr>
          <w:p>
            <w:pPr>
              <w:spacing w:after="0"/>
              <w:rPr>
                <w:sz w:val="18"/>
                <w:szCs w:val="18"/>
                <w:color w:val="auto"/>
              </w:rPr>
            </w:pP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18,768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Philippines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28,981</w:t>
            </w:r>
          </w:p>
        </w:tc>
        <w:tc>
          <w:tcPr>
            <w:tcW w:w="160" w:type="dxa"/>
            <w:vAlign w:val="bottom"/>
          </w:tcPr>
          <w:p>
            <w:pPr>
              <w:spacing w:after="0"/>
              <w:rPr>
                <w:sz w:val="19"/>
                <w:szCs w:val="19"/>
                <w:color w:val="auto"/>
              </w:rPr>
            </w:pP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23,964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540" w:hanging="232"/>
        <w:spacing w:after="0" w:line="417" w:lineRule="auto"/>
        <w:tabs>
          <w:tab w:leader="none" w:pos="275"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June 30, 2010, the Company had committed to spend approximately $6,754 under agreements to purchase fixed assets. This amount is net of advances paid in respect of these purchases.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delivery centers or units in India have been established as 100% Export-Oriented units under the “Export Import Policy” (the “Policy”) or Software Technology Parks of India units (“STPI”) under the STPI guidelines issued by the Government of India that has provided the Company with certain incentives on imported and indigenous capital goods. Under the Policy, these units must achieve certain export ratios and realize revenues attributable to exports over a specified period. In the event that these units are unable to meet the requirements over the specified period, the Company may be required to refund these incentives along with penalties and fines. However, management believes that these units will continue to achieve the export levels within the required timeframe as they have consistently generated the required levels of export revenues.</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ExlService Philippines, Inc. (“Exl Philippines”) is registered as an Ecozone IT Enterprise with the Philippines Economic Zone Authority. The registration has also provided the Company with certain incentives on the import of capital goods. Exl Philippines has an export obligation of $39,273 during the three year period ending March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assessment orders from the Indian tax authorities with respect to their audit of certain of the Company’s subsidiaries. The Indian tax authorities are examining income tax returns for other tax years.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details of the assessment orders received from the Indian tax authorities as of June 30, 2010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Demanded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9"/>
              </w:rPr>
              <w:t>Bank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12"/>
                <w:szCs w:val="12"/>
                <w:color w:val="auto"/>
              </w:rPr>
            </w:pPr>
          </w:p>
        </w:tc>
        <w:tc>
          <w:tcPr>
            <w:tcW w:w="726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Issue</w:t>
            </w:r>
          </w:p>
        </w:tc>
        <w:tc>
          <w:tcPr>
            <w:tcW w:w="2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(Including</w:t>
            </w:r>
          </w:p>
        </w:tc>
        <w:tc>
          <w:tcPr>
            <w:tcW w:w="2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Guarantee</w:t>
            </w:r>
          </w:p>
        </w:tc>
        <w:tc>
          <w:tcPr>
            <w:tcW w:w="0" w:type="dxa"/>
            <w:vAlign w:val="bottom"/>
          </w:tcPr>
          <w:p>
            <w:pPr>
              <w:spacing w:after="0"/>
              <w:rPr>
                <w:sz w:val="1"/>
                <w:szCs w:val="1"/>
                <w:color w:val="auto"/>
              </w:rPr>
            </w:pPr>
          </w:p>
        </w:tc>
      </w:tr>
      <w:tr>
        <w:trPr>
          <w:trHeight w:val="16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4"/>
                <w:szCs w:val="14"/>
                <w:color w:val="auto"/>
              </w:rPr>
            </w:pPr>
          </w:p>
        </w:tc>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Interest)</w:t>
            </w:r>
          </w:p>
        </w:tc>
        <w:tc>
          <w:tcPr>
            <w:tcW w:w="2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2"/>
              </w:rPr>
              <w:t>Deposited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85"/>
              </w:rPr>
              <w:t>Issued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2003-04</w:t>
            </w:r>
          </w:p>
        </w:tc>
        <w:tc>
          <w:tcPr>
            <w:tcW w:w="74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88"/>
              </w:rPr>
              <w:t>The assessment order alleges that the transfer price we applied to transactions between EXL India and</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EXL Inc. was not appropriate and also disallows certain expenses claimed as tax deductible by EXL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2004-05</w:t>
            </w:r>
          </w:p>
        </w:tc>
        <w:tc>
          <w:tcPr>
            <w:tcW w:w="7480" w:type="dxa"/>
            <w:vAlign w:val="bottom"/>
            <w:gridSpan w:val="2"/>
          </w:tcPr>
          <w:p>
            <w:pPr>
              <w:ind w:left="220"/>
              <w:spacing w:after="0"/>
              <w:rPr>
                <w:sz w:val="20"/>
                <w:szCs w:val="20"/>
                <w:color w:val="auto"/>
              </w:rPr>
            </w:pPr>
            <w:r>
              <w:rPr>
                <w:rFonts w:ascii="Arial" w:cs="Arial" w:eastAsia="Arial" w:hAnsi="Arial"/>
                <w:sz w:val="18"/>
                <w:szCs w:val="18"/>
                <w:color w:val="auto"/>
                <w:w w:val="88"/>
              </w:rPr>
              <w:t>The assessment order alleges that the transfer price we applied to transactions between EXL India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80" w:type="dxa"/>
            <w:vAlign w:val="bottom"/>
            <w:gridSpan w:val="2"/>
          </w:tcPr>
          <w:p>
            <w:pPr>
              <w:ind w:left="220"/>
              <w:spacing w:after="0"/>
              <w:rPr>
                <w:sz w:val="20"/>
                <w:szCs w:val="20"/>
                <w:color w:val="auto"/>
              </w:rPr>
            </w:pPr>
            <w:r>
              <w:rPr>
                <w:rFonts w:ascii="Arial" w:cs="Arial" w:eastAsia="Arial" w:hAnsi="Arial"/>
                <w:sz w:val="18"/>
                <w:szCs w:val="18"/>
                <w:color w:val="auto"/>
                <w:w w:val="91"/>
              </w:rPr>
              <w:t>EXL Inc. was not appropriate and also disallows certain expenses claimed as tax deductible by EXL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80" w:type="dxa"/>
            <w:vAlign w:val="bottom"/>
            <w:gridSpan w:val="2"/>
          </w:tcPr>
          <w:p>
            <w:pPr>
              <w:ind w:left="220"/>
              <w:spacing w:after="0"/>
              <w:rPr>
                <w:sz w:val="20"/>
                <w:szCs w:val="20"/>
                <w:color w:val="auto"/>
              </w:rPr>
            </w:pPr>
            <w:r>
              <w:rPr>
                <w:rFonts w:ascii="Arial" w:cs="Arial" w:eastAsia="Arial" w:hAnsi="Arial"/>
                <w:sz w:val="18"/>
                <w:szCs w:val="18"/>
                <w:color w:val="auto"/>
              </w:rPr>
              <w:t>India</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2,029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2,029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India</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2005-06</w:t>
            </w:r>
          </w:p>
        </w:tc>
        <w:tc>
          <w:tcPr>
            <w:tcW w:w="7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8"/>
              </w:rPr>
              <w:t>The assessment order alleges that the transfer price we applied to transactions between EXL India and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EXL Inc. was not appropriate and also disallows certain expenses claimed as tax deductible by EXL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Exl India</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2006-07</w:t>
            </w:r>
          </w:p>
        </w:tc>
        <w:tc>
          <w:tcPr>
            <w:tcW w:w="7480" w:type="dxa"/>
            <w:vAlign w:val="bottom"/>
            <w:gridSpan w:val="2"/>
          </w:tcPr>
          <w:p>
            <w:pPr>
              <w:ind w:left="220"/>
              <w:spacing w:after="0"/>
              <w:rPr>
                <w:sz w:val="20"/>
                <w:szCs w:val="20"/>
                <w:color w:val="auto"/>
              </w:rPr>
            </w:pPr>
            <w:r>
              <w:rPr>
                <w:rFonts w:ascii="Arial" w:cs="Arial" w:eastAsia="Arial" w:hAnsi="Arial"/>
                <w:sz w:val="18"/>
                <w:szCs w:val="18"/>
                <w:color w:val="auto"/>
                <w:w w:val="88"/>
              </w:rPr>
              <w:t>The assessment order alleges that the transfer price we applied to transactions between EXL India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80" w:type="dxa"/>
            <w:vAlign w:val="bottom"/>
            <w:gridSpan w:val="2"/>
          </w:tcPr>
          <w:p>
            <w:pPr>
              <w:ind w:left="220"/>
              <w:spacing w:after="0"/>
              <w:rPr>
                <w:sz w:val="20"/>
                <w:szCs w:val="20"/>
                <w:color w:val="auto"/>
              </w:rPr>
            </w:pPr>
            <w:r>
              <w:rPr>
                <w:rFonts w:ascii="Arial" w:cs="Arial" w:eastAsia="Arial" w:hAnsi="Arial"/>
                <w:sz w:val="18"/>
                <w:szCs w:val="18"/>
                <w:color w:val="auto"/>
                <w:w w:val="91"/>
              </w:rPr>
              <w:t>EXL Inc. was not appropriate and also disallows certain expenses claimed as tax deductible by EXL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80" w:type="dxa"/>
            <w:vAlign w:val="bottom"/>
            <w:gridSpan w:val="2"/>
          </w:tcPr>
          <w:p>
            <w:pPr>
              <w:ind w:left="220"/>
              <w:spacing w:after="0"/>
              <w:rPr>
                <w:sz w:val="20"/>
                <w:szCs w:val="20"/>
                <w:color w:val="auto"/>
              </w:rPr>
            </w:pPr>
            <w:r>
              <w:rPr>
                <w:rFonts w:ascii="Arial" w:cs="Arial" w:eastAsia="Arial" w:hAnsi="Arial"/>
                <w:sz w:val="18"/>
                <w:szCs w:val="18"/>
                <w:color w:val="auto"/>
              </w:rPr>
              <w:t>India</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3,868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2003-04</w:t>
            </w:r>
          </w:p>
        </w:tc>
        <w:tc>
          <w:tcPr>
            <w:tcW w:w="7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Exl Inc.</w:t>
            </w:r>
          </w:p>
        </w:tc>
        <w:tc>
          <w:tcPr>
            <w:tcW w:w="580" w:type="dxa"/>
            <w:vAlign w:val="bottom"/>
          </w:tcPr>
          <w:p>
            <w:pPr>
              <w:jc w:val="center"/>
              <w:spacing w:after="0"/>
              <w:rPr>
                <w:sz w:val="20"/>
                <w:szCs w:val="20"/>
                <w:color w:val="auto"/>
              </w:rPr>
            </w:pPr>
            <w:r>
              <w:rPr>
                <w:rFonts w:ascii="Arial" w:cs="Arial" w:eastAsia="Arial" w:hAnsi="Arial"/>
                <w:sz w:val="18"/>
                <w:szCs w:val="18"/>
                <w:color w:val="auto"/>
                <w:w w:val="87"/>
              </w:rPr>
              <w:t>2004-05</w:t>
            </w:r>
          </w:p>
        </w:tc>
        <w:tc>
          <w:tcPr>
            <w:tcW w:w="7480" w:type="dxa"/>
            <w:vAlign w:val="bottom"/>
            <w:gridSpan w:val="2"/>
          </w:tcPr>
          <w:p>
            <w:pPr>
              <w:ind w:left="22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2005-06</w:t>
            </w:r>
          </w:p>
        </w:tc>
        <w:tc>
          <w:tcPr>
            <w:tcW w:w="7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18,173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7,944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With the exception of the assessment order relating to the 2006-07 tax year of EXL India, which order was recently received, the Company has deposited amounts with the Indian government and provided bank guarantees. The Company does not expect any impact from these assessments on its future income tax expense.</w:t>
      </w:r>
    </w:p>
    <w:p>
      <w:pPr>
        <w:spacing w:after="0" w:line="9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order to resolve the transfer pricing and permanent establishment tax disputes with the Indian tax authorities, the Company filed requests with the competent authorities in the U.S. to invoke a Mutual Agreement Procedure (“MAP”), under the United States – India Tax Treaty. As required by the MAP, the Company obtained bank guarantees in the amounts set forth above to stop the collection of the outstanding tax demands and interest by the Indian tax authorities. If additional assessment orders are received for subsequent years, the Company may invoke the MAP for such orders and would be required to obtain additional bank guarantees.</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 a result of commencing the MAP, the U.S. Competent Authority negotiated with the Indian Competent Authority to reach a proposed resolution to the outstanding transfer pricing dispute. After negotiations, no proposed resolution was reached on the permanent establishment dispute. The proposed resolution under MAP is not binding on the Company. After due consideration, the Company has rejected the proposed resolution because it was largely based on the negotiated position for a broad group of companies. The Company believes that its factual circumstances and its unique transfer pricing position set it apart from other companies that were included in these broad negotiations. Accordingly, the Company will continue to seek resolution of these disputes through judicial proceedings.</w:t>
      </w:r>
    </w:p>
    <w:p>
      <w:pPr>
        <w:spacing w:after="0" w:line="14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Amounts paid as deposits in respect of the assessments described above aggregating to $7,944 and $7,770 as of June 30, 2010 and December 31, 2009, respectively, are included in “Other assets” and amounts deposited for bank guarantees aggregating to $6,361 and $2,847 as of June 30, 2010 and December 31, 2009, respectively, are included in “Restricted cash” in the Company’s unaudited consolidated balance sheet as of June 30, 2010 and the audited consolidated balance sheet as of December 31, 2009.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2009. Some of the statements in the following discussion are forward looking statements. See “Forward Looking Statements.” Dollar amounts within Item 2 are presented as actual dollar amounts.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by outsourcing and transforming their business processes. Our outsourcing services provide integrated front-, middle- and back-office process outsourcing services for our principally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number of transformation services that include decision analytics, risk and financial management and operations and process excellence services. These transformation services help our clients improve their operating environments through cost reduction, enhanced efficiency and productivity initiatives, and improve the risk and control environments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Global 1000 companies in the insurance, utilities, banking and financial services, transportation and logistics, and travel sectors.</w:t>
      </w:r>
    </w:p>
    <w:p>
      <w:pPr>
        <w:spacing w:after="0" w:line="12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market our services directly through our sales and marketing and strategic account management teams, which operate out of the United States and the United Kingdom, and our business development team, which operates out of Noida, India. We currently operate eleven operations centers in India, including a new operations center in Jaipur, India, which became operational in July 2010, one operations center in the Philippines, one operations center in Cluj, Romania and one operations center in Olomouc, the Czech Republic. We are also in the process of establishing a new operations center in Noida, India.</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July 3, 2009, we acquired a 100% stake in Schneider Logistics Europe S.R.O. (“Schneider S.R.O.”) which is located in the Czech Republic and which provides complex transaction processing services to clients in Europe and the U.S. The acquisition provided us with multi-lingual delivery capabilities and a cost-effective delivery location in Eastern Europe.</w:t>
      </w:r>
    </w:p>
    <w:p>
      <w:pPr>
        <w:spacing w:after="0" w:line="14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On March 1, 2010, we acquired the operations of the American Express Global Travel Service Center (“GTSC”), a business unit of American Express located in Gurgaon, India, that provides the travel-related business process outsourcing services of American Express. The purchase price of the transaction, which was paid in cash, was approximately $29.1 million.</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May 1, 2010, the Company acquired a 100% stake in Professional Data Management Again, Inc. (“PDMA”), maker of the LifePRO</w:t>
      </w:r>
      <w:r>
        <w:rPr>
          <w:rFonts w:ascii="Arial" w:cs="Arial" w:eastAsia="Arial" w:hAnsi="Arial"/>
          <w:sz w:val="11"/>
          <w:szCs w:val="11"/>
          <w:color w:val="auto"/>
        </w:rPr>
        <w:t>®</w:t>
      </w:r>
      <w:r>
        <w:rPr>
          <w:rFonts w:ascii="Arial" w:cs="Arial" w:eastAsia="Arial" w:hAnsi="Arial"/>
          <w:sz w:val="18"/>
          <w:szCs w:val="18"/>
          <w:color w:val="auto"/>
        </w:rPr>
        <w:t xml:space="preserve"> insurance policy administration system used by approximately 40 life, health and annuity insurers globally. The purchase consideration for PDMA, which was paid in cash, was approximately $14.1 million (including cash acquired of $1.0 million), net of working capital adjustments.</w:t>
      </w:r>
    </w:p>
    <w:p>
      <w:pPr>
        <w:spacing w:after="0" w:line="14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generate revenues principally from contracts to provide outsourcing and transformation services. For the three and six months ended June 30, 2010, we had total revenues of $60.6 million and $115.1 million, respectively, compared to total revenues of $42.4 million and $83.4 million, respectively, in the three and six months ended June 30, 2009, an increase of $18.2 million and $31.8 million, respectively, or 43.1% and 38.1%, respectively. Revenues from outsourcing services were higher by $12.0 million and $20.3 million in the three and six months ended June 30, 2010, respectively, compared to the three and six months ended June 30, 2009, primarily due to revenues of $9.1 million and $12.5 million, respectively, from our acquisitions mentioned above, net volume increases within existing clients of approximately $2.3 million and $6.1 million and an increase of approximately $0.6 million and $1.8 million due to the appreciation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of the Indian rupee against the U.S. dollar and the U.K. pound sterling in the three and six months ended June 30, 2010 compared to the three and six months ended June 30, 2009. Revenues from transformation services were higher by $6.2 million and $11.5 million during the three and six months ended June 30, 2010 compared to the three and six months ended June 30, 2009, primarily due to a combination of increased revenues in recurring or annuity decision analytics services and an increase in project-based engagements both in our decision analytics and risk and financial management practices. We believe this reflects increased spending by our clients for decision analytics services, particularly in the areas of customer management, process improvement and risk management, as compared to the previous year.</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anticipate that our revenues will grow as we expand our service offerings and client base, both organically and through acquisitions. We provide our clients with a range of outsourcing services, including insurance services, banking and financial services, utilities support services, finance and accounting services, and collection services. Our clients transfer the management and execution of their processes or business functions to us.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outsourcing services, we enter into long-term agreements with our clients with initial terms ranging generally from three to five years. Some client contracts have significantly longer terms.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transformation services include various services such as decision analytics services, which are intended to facilitate more effective data-based strategic and operating decisions by our clients, risk and financial management services and operations and process excellence services.</w:t>
      </w:r>
    </w:p>
    <w:p>
      <w:pPr>
        <w:spacing w:after="0" w:line="8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consist primarily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serve clients mainly in the United States and the United Kingdom, with these two regions generating approximately 73.1% and 23.3%, respectively, of our total revenues for the three months ended June 30, 2010 and approximately 64.7% and 34.2%, respectively, of our total revenues for the three months ended June 30, 2009. For the six months ended June 30, 2010, these two regions generated approximately 72.0% and 24.7%, respectively, of our total revenues and approximately 65.0% and 34.2%, respectively, of our total revenues for the six months ended June 30, 2009.</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derive a significant portion of our revenues from a limited number of large clients. In the three months ended June 30, 2010 and 2009, our total revenues from our three largest clients were $26.4 million and $19.8 million, respectively, accounting for 43.5% and 46.7% of our total revenues, respectively, during these periods. In the six months ended June 30, 2010 and 2009, our total revenues from our three largest clients were $48.2 million and $36.6 million, respectively, accounting for 41.9% and 43.9% of our total revenues, respectively, during these periods.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provide services to Centrica, which represented $9.5 million, or 15.6%, and $19.0 million or 16.5% of our total revenues for the three and six months ended June 30, 2010 and $10.0 million, or 23.5%, and $18.7 million, or 22.4 % of our total revenues for the three and six months ended June 30, 2009, under an agreement that is scheduled to expire in April 2012. Centrica may terminate the agreement without cause upon three months prior notice and payment of a breakup fee.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provide services to Travelers, which represented $8.6 million, or 14.2%, and $17.1 million, or 14.8% of our total revenues for the three and six months ended June 30, 2010, and $5.5 million, or 13.0% and $10.5 million, or 12.6% of our total revenues for the three and six months ended June 30, 2009, under a services agreement. Travelers may terminate the services agreement, or any work assignment or work order thereunder, each of which expires in December 2013, without cause upon 60 days prior notice.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provide services to subsidiaries of American Express Company (“American Express”) under (i) a master services agreement for our outsourcing services, which agreement cannot be terminated by American Express for convenience and which provides us with a minimum volume commitment over a period of eight years and (ii) a master agreement for our transformation services, which agreement may be terminated by American Express for convenience upon five days prior written notice. Our revenues from American Express represented $8.3 million, or 13.7%, and $12.2 million or 10.6% of our total revenues for the three and six months ended June 30, 2010, respectively. Revenues for the three and six months ended June 30, 2009 were insignificant as a percentage of our total revenues.</w:t>
      </w:r>
    </w:p>
    <w:p>
      <w:pPr>
        <w:spacing w:after="0" w:line="14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derived revenues from six and three new clients for our services, in the three months ended June 30, 2010 and 2009, respectively, and ten and five new clients for our services, in the six months ended June 30, 2010 and 2009, respectively. Although we are increasing and diversifying our customer base, we expect in the near future that a significant portion of our revenues will continue to be contributed by a limited number of large clients.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June 30, 2010 and 2009, 4.4% and 5.9%, respectively, of our revenues represent reimbursement of such expenses. For the six months ended June 30, 2010 and 2009, 4.5%, and 4.8%, respectively, of our revenues represent reimbursement of such expenses.</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To the extent our client contracts do not contain provisions to the contrary, we bear the risk of inflation and fluctuations in currency exchange rates with respect to our contracts. We hedge a substantial portion of our Indian rupee/U.S. dollar and U.K. pound sterling/U.S. dollar foreign currency exposure.</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Our management has observed in recent periods a shift in industry pricing models toward transaction-based pricing and other pricing models. We believe this trend will continue and we have begun to use transaction-based pricing models with some of our current clients and are seeking to move certain other clients from a billing rate model to a transaction-based pricing model. Transaction-based pricing places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favourable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favourable contract terms from other vendors, our operating margins and revenues may be reduced with regard to such clients to the extent we are required to modify the terms of our relationship with such clients.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description of our critical accounting policies and estimates, refer to our Annual Report on Form 10-K for the year ended December 31, 2009.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87"/>
              </w:rPr>
              <w:t>Three months ended June 30,</w:t>
            </w:r>
          </w:p>
        </w:tc>
        <w:tc>
          <w:tcPr>
            <w:tcW w:w="120" w:type="dxa"/>
            <w:vAlign w:val="bottom"/>
          </w:tcPr>
          <w:p>
            <w:pPr>
              <w:spacing w:after="0"/>
              <w:rPr>
                <w:sz w:val="14"/>
                <w:szCs w:val="14"/>
                <w:color w:val="auto"/>
              </w:rPr>
            </w:pPr>
          </w:p>
        </w:tc>
        <w:tc>
          <w:tcPr>
            <w:tcW w:w="18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2009</w:t>
            </w:r>
          </w:p>
        </w:tc>
        <w:tc>
          <w:tcPr>
            <w:tcW w:w="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20" w:type="dxa"/>
            <w:vAlign w:val="bottom"/>
          </w:tcPr>
          <w:p>
            <w:pPr>
              <w:spacing w:after="0"/>
              <w:rPr>
                <w:sz w:val="20"/>
                <w:szCs w:val="20"/>
                <w:color w:val="auto"/>
              </w:rPr>
            </w:pPr>
            <w:r>
              <w:rPr>
                <w:rFonts w:ascii="Arial" w:cs="Arial" w:eastAsia="Arial" w:hAnsi="Arial"/>
                <w:sz w:val="12"/>
                <w:szCs w:val="12"/>
                <w:b w:val="1"/>
                <w:bCs w:val="1"/>
                <w:color w:val="auto"/>
                <w:w w:val="80"/>
              </w:rPr>
              <w:t>millions)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115.1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Arial" w:cs="Arial" w:eastAsia="Arial" w:hAnsi="Arial"/>
                <w:sz w:val="18"/>
                <w:szCs w:val="18"/>
                <w:color w:val="auto"/>
              </w:rPr>
              <w:t>68.9</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2"/>
        </w:trPr>
        <w:tc>
          <w:tcPr>
            <w:tcW w:w="6500" w:type="dxa"/>
            <w:vAlign w:val="bottom"/>
            <w:gridSpan w:val="3"/>
          </w:tcPr>
          <w:p>
            <w:pPr>
              <w:ind w:left="460"/>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Selling and marketing expenses(3)</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expenses(4)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080" w:type="dxa"/>
            <w:vAlign w:val="bottom"/>
            <w:gridSpan w:val="2"/>
          </w:tcPr>
          <w:p>
            <w:pPr>
              <w:jc w:val="right"/>
              <w:ind w:right="358"/>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exchange gain/(loss)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0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include reimbursable expenses of $2.7 million and $2.5 million for the three months ended June 30, 2010 and 2009, respectively, and $5.2 million and $4.0 million for the six months ended June 30, 2010 and 2009.</w:t>
      </w: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revenues includes $0.6 million and $0.5 million for the three months ended June 30, 2010 and 2009, respectively, and $1.0 million and $0.8 million for the six months ended June 30, 2010 and 2009, respectively, of non-cash amortization of stock compensation expense relating to the issuance of equity awards to employees directly involved in providing services to our clients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 $1.8 million and $1.5 million for the three months ended June 30, 2010 and 2009, respectively, and $3.2 million and $2.8 million for the six months ended June 30, 2010 and 2009 of non-cash amortization of stock compensation expense relating to the issuance of equity awards to our non-operations staff as described in Note 13 to our Unaudited Consolidated Financial Statements contained herein.</w:t>
      </w:r>
    </w:p>
    <w:p>
      <w:pPr>
        <w:spacing w:after="0" w:line="1"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and amortization includes $0.5 million and $0 million for the three months ended June 30, 2010 and 2009, respectively, and $0.7 million and $0 million for the six months ended June 30, 2010 and 2009, respectively, of amortization of intangibles as described in Note 5 to our Unaudited Consolidated Financial Statements contained herein.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June 30, 2010 Compared to Three Months Ended June 30, 2009</w:t>
      </w:r>
    </w:p>
    <w:p>
      <w:pPr>
        <w:spacing w:after="0" w:line="90" w:lineRule="exact"/>
        <w:rPr>
          <w:sz w:val="20"/>
          <w:szCs w:val="20"/>
          <w:color w:val="auto"/>
        </w:rPr>
      </w:pPr>
    </w:p>
    <w:p>
      <w:pPr>
        <w:jc w:val="both"/>
        <w:ind w:right="220" w:firstLine="456"/>
        <w:spacing w:after="0" w:line="294"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43.1% from $42.4 million for the three months ended June 30, 2009 to $60.6 million for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2010. Revenues from outsourcing services increased from $34.5 million for the three months ended June 30, 2009 to $46.6 million for the three months ended June 30, 2010. The increase in revenues from outsourcing services is primarily driven by revenues from our acquisitions of $9.1 million, net volume increases within existing clients aggregating to $2.3 million and revenues of $0.6 million due to the appreciation of the Indian rupee against the U.S. dollar and the U.K. pound sterling during the three months ended June 30, 2010 compared to the three months ended June 30, 2009.</w:t>
      </w:r>
    </w:p>
    <w:p>
      <w:pPr>
        <w:spacing w:after="0" w:line="11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Revenues from transformation services increased from $7.9 million for the three months ended June 30, 2009 to $14.1 million for the three months ended June 30, 2010. The increase is primarily due to a combination of increased revenues in recurring or annuity decision analytics services and an increase in project-based engagements both in our decision analytics and risk and financial management practices. Revenues from new clients for transformation services were $0.8 million and $0.1 million during the three months ended June 30, 2010 and 2009, respectively.</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45.0% from $25.8 million for the three months ended June 30, 2009 to $37.4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2010. The increase in cost of revenues is primarily due to increases in employee-related costs of $8.2 million as a result of an increase in our headcount of personnel directly involved in providing services to our clients, including $5.1 million of employee-related costs related to our acquisitions, an increase in reimbursable expenses of $1.0 million (resulting in an increase in revenues), an increase in facilities operating expenses by $1.0 million, primarily due to the new operating centers from our acquisitions and an increase of $1.3 million due to the appreciation of the Indian rupee and the Philippine peso against the U.S. dollar during the three months ended June 30, 2010 compared to the three months ended June 30, 2009. As a percentage of revenues, cost of revenues increased from 60.9% for the three months ended June 30, 2009 to 61.8% for the three months ended June 30, 2010.</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40.1% from $16.6 million for the three months ended June 30, 2009 to $23.2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2010. The increase in gross profit was primarily due to an increase in revenues of $18.2 million, offset by an increase in cost of revenues of $11.6 million. Gross profit as a percentage of revenues decreased marginally from 39.1% for the three months ended June 30, 2009 to 38.2% for the three months ended June 30, 2010, primarily due to an increase in cost of revenues as mentioned above.</w:t>
      </w:r>
    </w:p>
    <w:p>
      <w:pPr>
        <w:spacing w:after="0" w:line="14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b w:val="1"/>
          <w:bCs w:val="1"/>
          <w:i w:val="1"/>
          <w:iCs w:val="1"/>
          <w:color w:val="auto"/>
        </w:rPr>
        <w:t>SG&amp;A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expenses increased 28.2% from $11.0 million for the three months ended June 30, 2009 to $14.1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2010. The increase in SG&amp;A expenses is primarily due to an increase in employee-related costs of $1.7 million, an increase in facilities related costs of $0.7 million, primarily related to our new operations centers in Jaipur and Noida, India, acquisition-related costs of $0.2 million and an increase of $0.3 million due to the appreciation of the Indian rupee against the U.S. dollar during the three months ended June 30, 2010 compared to the three months ended June 30, 2009. As a percentage of revenues, SG&amp;A decreased from 25.9% for the three months ended June 30, 2009 to 23.2% for the three months ended June 30, 2010.</w:t>
      </w:r>
    </w:p>
    <w:p>
      <w:pPr>
        <w:spacing w:after="0" w:line="144"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b w:val="1"/>
          <w:bCs w:val="1"/>
          <w:i w:val="1"/>
          <w:iCs w:val="1"/>
          <w:color w:val="auto"/>
        </w:rPr>
        <w:t>Depreciation and Amortization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Depreciation and amortization increased 38.3% from $2.8 million for the three months ended June 30, 2009 to $3.9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months ended June 30, 2010. The increase is primarily due to the amortization of acquisition related intangibles of $0.5 million, depreciation related to our new operations centers as a result of our acquistions of $0.5 million and increase of $0.2 million due to the appreciation of the Indian rupee against the U.S. dollar during the three months ended June 30, 2010 compared to the three months ended June 30, 2009. As we add more operations centers, we expect that depreciation expense will increase to reflect the additional investment in equipment and facility build outs necessary to meet our service requirements.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from operations increased 88.6% from $2.8 million for the three months ended June 30, 2009 to $5.3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2010. As a percentage of revenues, income from operations increased from 6.6% for the three months ended June 30, 2009 to 8.7% for the three months ended June 30, 2010. The increase in income from operations was primarily due to an increase in gross profit by $6.6 million, offset by an increase in operating expenses of $4.2 million as mentioned above.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Other Income/(Expense)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income/(expense) is comprised of foreign exchange gains and losses, interest income, interest expense and other.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income/(expense) increased from an expense of ($1.4) million for the three months ended June 30, 2009 to an income of $1.2 million for the three months ended June 30, 2010, primarily as a result of net foreign exchange gain of $0.9 million during the three months ended June 30, 2010 compared to the net foreign exchange losses of $1.7 million during the three months ended June 30, 2009 attributable to movement of the U.S. dollar against the Indian rupee and the U.K. pound sterling relative to our foreign exchange hedged positions. The average exchange rate of the Indian rupee against the U.S. dollar was 45.73 during the three months ended June 30, 2010 compared to 48.35 during the three months ended June 30, 2009.</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Provision for Income Taxes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for income taxes increased from $0.1 million for the three months ended June 30, 2009 to $1.6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2010. The effective rate of taxes increased significantly from 8.0% for the three months ended June 30, 2009 to 25% for the three months ended June 30, 2010, primarily as a result of the expiration of a tax holiday at certain units of our Indian operations. Refer to Note 12 to the Unaudited Consolidated Financial Statements for further details.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income increased from $1.3 million for the three months ended June 30, 2009 to $4.9 million for the three months ended June 30,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$2.5 million and other income of $2.7 million, partially offset by an increase in the provision for income taxes of $1.5 million. As a percentage of revenues, net income increased from 3.0% for the three months ended June 30, 2009 to 8.0% for the three months ended June 30,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Six Months Ended June 30, 2010 Compared to Six Months Ended June 30, 2009</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color w:val="auto"/>
        </w:rPr>
        <w:t>. Revenues increased 38.1% from $83.4 million for the six months ended June 30, 2009 to $115.1 million for the six months ended June 30,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from outsourcing services increased from $67.9 million for the six months ended June 30, 2009 to $88.1 million for the six months ended June 30, 2010. The increase is primarily driven by revenues from our acquisitions of $12.5 million, net volume increases within existing clients aggregating to $6.1 million and revenues of $1.8 million due to the appreciation of the Indian rupee against the U.S. dollar and the U.K. pound sterling during the six months ended June 30, 2010 compared to the six months ended June 30, 2009.</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Revenues from transformation services increased from $15.5 million for the six months ended June 30, 2009 to $27.0 million for the six months ended June 30, 2010. The increase is primarily due to a combination of increased revenues in recurring or annuity decision analytics services and an increase in project-based engagements both in our decision analytics and risk and financial management practices. Revenues from new clients for transformation services were $0.4 million and $1.5 million during the six months ended June 30, 2009 and 2010, respectively.</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37.4% from $50.2 million for the six months ended June 30, 2009 to $68.9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2010. The increase in cost of revenues is primarily due to increases in employee-related costs of $11.8 million as a result of an increase in our headcount of personnel directly involved in providing services to our clients, including $7.1 million of employee-related costs related to our acquisitions, increase in reimbursable expenses of $2.1 million (resulting in an increase in revenues) increase in facilities operating expenses by $1.5 million, primarily due to the new operating centers from our acquisitions and an increase of $3.2 million due to the appreciation of the Indian rupee and the Philippine peso against the U.S. dollar during the six months ended June 30, 2010 compared to the six months ended June 30, 2009. As a percentage of revenues, cost of revenues decreased marginally from 60.2% for the six months ended June 30, 2009 to 59.9% for the six months ended June 30, 2010.</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39.2% from $33.2 million for the six months ended June 30, 2009 to $46.2 million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The increase in gross profit was primarily due to an increase in revenues of $31.8 million, offset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an increase in cost of revenues of $18.8 million. Gross profit as a percentage of revenues increased marginally from 39.8% for the six months ended June 30, 2009 to 40.1% for the six months ended June 30, 2010, primarily due to an increase in revenues as mentioned above.</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expenses increased 31.7% from $20.9 million for the six months ended June 30, 2009 to $27.5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2010. The increase in SG&amp;A expenses is primarily due to an increase in salaries and personnel expenses of $3.8 million, an increase in facilities related costs of $1.0 million, primarily related to our new operations centers in Jaipur and Noida, India, acquisition-related costs of $0.4 million, an increase in travel and other marketing related costs of $0.7 million and an increase of $0.7 million due to the appreciation of the Indian rupee against the U.S. dollar during the six months ended June 30, 2010 compared to the six months ended June 30, 2009. As a percentage of revenues, SG&amp;A decreased marginally from 25.1% for the six months ended June 30, 2009 to 23.9% for the six months ended June 30, 2010.</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increased 32.8% from $5.2 million for the six months ended June 30, 2009 to $6.9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months ended June 30, 2010. The increase is primarily due to amortization of acquisition related intangibles of $0.7 million, depreciation related to our new operations centers as a result of our acquisitions of $0.7 million and increase of $0.4 million due to the appreciation of the Indian rupee against the U.S. dollar during the six months ended June 30, 2010 compared to the six months ended June 30, 2009. As we add more operations centers, we expect that depreciation expense will increase to reflect the additional investment in equipment and facility build outs necessary to meet our service requirements.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from operations increased 66.0% from $7.1 million for the six months ended June 30, 2009 to $11.7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2010. As a percentage of revenues, income from operations increased from 8.5% for the six months ended June 30, 2009 to 10.2% for the six months ended June 30, 2010. The increase in income from operations was primarily due to an increase in gross profit by $13.0 million, offset by an increase in operating expenses of $8.3 million as mentioned above.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Other Income/(Expense)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income/(expense) is comprised of foreign exchange gains and losses, interest income, interest expense and others.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income/(expense) increased from an expense of ($2.4) million for the six months ended June 30, 2009 to an income of $2.2 million for the six months ended June 30, 2010, primarily as a result of net foreign exchange gain of $1.5 million during the six months ended June 30, 2010 compared to the net foreign exchange losses of $3.0 million during the six months ended June 30, 2009 attributable to movement of the U.S. dollar against the Indian rupee and the U.K. pound sterling relative to our foreign exchange hedged positions. The average exchange rate of the Indian rupee against the U.S. dollar was 45.72 during the six months ended June 30, 2010 compared to 49.30 during the six months ended June 30, 2009.</w:t>
      </w:r>
    </w:p>
    <w:p>
      <w:pPr>
        <w:spacing w:after="0" w:line="12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i w:val="1"/>
          <w:iCs w:val="1"/>
          <w:color w:val="auto"/>
        </w:rPr>
        <w:t>Provision for Income Taxes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for income taxes increased from $0.4 million for the six months ended June 30, 2009 to $3.5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2010. The effective rate of taxes increased significantly from 8.0% for the six months ended June 30, 2009 to 25% for the six months ended June 30, 2010, primarily as a result of the expiration of a tax holiday at certain units of our Indian operations. Refer to Note 12 to the Unaudited Consolidated Financial Statements for further details.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income increased from $4.1 million for the six months ended June 30, 2009 to $10.5 million for the six months ended June 30,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an increase in operating income of $4.7 million and other income of $4.7 million, partially offset by an increase in the provision for income taxes of $3.1 million. As a percentage of revenues, net income increased from 5.0% for the six months ended June 30, 2009 to 9.1% for the six months ended June 30, 2010.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2010, we had $91.4 million in cash, cash equivalents and short-term investments.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Cash flows provided by operating activities increased from $6.6 million in the six months ended June 30, 2009 to $7.0 million in the six months ended June 30, 2010. Cash flows from net income adjusted for non-cash items increased by $8.3 million, primarily due to higher net income, depreciation and amortization and share-based compensation expense. The increase is offset by a decrease in cash flows from changes in working capital by $7.9 million. Changes in working capital arose primarily from an increase in accounts receivables of $5.5 million during the six months ended June 30, 2010 compared to a decrease of $3.0 million during the six months ended June 30, 2009, primarily due to increase in revenues.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flows used for investing activities increased from $5.2 million in the six months ended June 30, 2009 to $50.6 million in the six months ended</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June 30, 2010. The increase is primarily due to the payment of the purchase consideration of approximately $29.1 million for the GTSC acquisition, $13.0 million for the acquisition of PDMA (net of cash acquired) and an increase in capital expenditures of $3.2 million during the six months ended June 30, 2010 compared to the six months ended June 30, 2009.</w:t>
      </w:r>
    </w:p>
    <w:p>
      <w:pPr>
        <w:spacing w:after="0" w:line="144"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Cash flows provided by financing activities was $0.6 million during the six months ended June 30, 2010, primarily representing the proceeds from exercises of stock options.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activities, we continue to make capital investments, primarily related to new facilities and capital expenditures associated with leasehold improvements to build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 our facilities and purchase of telecommunications equipment and computer hardware and software in connection with managing client operations.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approximately $10.0 million of capital expenditures in the six months ended June 30, 2010. We expect to incur capital expenditures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to $12.0 million in the remainder of 2010 primarily to meet the growth requirements of our clients, including additions to our existing facilities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establishing a new operations center in Noida, India as well as to improve our internal technology. The timing and volume of such capital expenditures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will be affected by new client contracts we may enter into or the expansion of business under our existing client contracts.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tax assessment orders issued against Exl India and Exl Inc. we may be required to deposit additional amounts with respect to the assessment orders received by us and for similar orders for subsequent years that may be received by us. As required by the MAP, we obtained bank guarantees of approximately $2.9 million in April 2009 and approximately $3.5 million in January 2010, and might need to obtain additional bank guarantees, in favor of the Government of India to stop the collection of the outstanding tax demands and interest for various tax years. Refer to Note 16 to our Unaudited Consolidated Financial Statements for further details.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rely upon cash from operating activities to finance our acquisitions, capital expenditures and working capital needs.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If we have significant growth through acquisitions, we may need to obtain additional financing.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2010 and December 31, 2009, we had no off-balance sheet arrangements or obligations.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June 30,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4"/>
              </w:rPr>
              <w:t>Payment Due by Period</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520" w:type="dxa"/>
            <w:vAlign w:val="bottom"/>
            <w:gridSpan w:val="2"/>
          </w:tcPr>
          <w:p>
            <w:pPr>
              <w:jc w:val="right"/>
              <w:ind w:right="22"/>
              <w:spacing w:after="0" w:line="129" w:lineRule="exact"/>
              <w:rPr>
                <w:sz w:val="20"/>
                <w:szCs w:val="20"/>
                <w:color w:val="auto"/>
              </w:rPr>
            </w:pPr>
            <w:r>
              <w:rPr>
                <w:rFonts w:ascii="Arial" w:cs="Arial" w:eastAsia="Arial" w:hAnsi="Arial"/>
                <w:sz w:val="14"/>
                <w:szCs w:val="14"/>
                <w:b w:val="1"/>
                <w:bCs w:val="1"/>
                <w:color w:val="auto"/>
              </w:rPr>
              <w:t>1-3</w:t>
            </w:r>
          </w:p>
        </w:tc>
        <w:tc>
          <w:tcPr>
            <w:tcW w:w="60" w:type="dxa"/>
            <w:vAlign w:val="bottom"/>
          </w:tcPr>
          <w:p>
            <w:pPr>
              <w:spacing w:after="0"/>
              <w:rPr>
                <w:sz w:val="11"/>
                <w:szCs w:val="11"/>
                <w:color w:val="auto"/>
              </w:rPr>
            </w:pPr>
          </w:p>
        </w:tc>
        <w:tc>
          <w:tcPr>
            <w:tcW w:w="620" w:type="dxa"/>
            <w:vAlign w:val="bottom"/>
            <w:gridSpan w:val="2"/>
          </w:tcPr>
          <w:p>
            <w:pPr>
              <w:jc w:val="right"/>
              <w:ind w:right="5"/>
              <w:spacing w:after="0" w:line="129" w:lineRule="exact"/>
              <w:rPr>
                <w:sz w:val="20"/>
                <w:szCs w:val="20"/>
                <w:color w:val="auto"/>
              </w:rPr>
            </w:pPr>
            <w:r>
              <w:rPr>
                <w:rFonts w:ascii="Arial" w:cs="Arial" w:eastAsia="Arial" w:hAnsi="Arial"/>
                <w:sz w:val="14"/>
                <w:szCs w:val="14"/>
                <w:b w:val="1"/>
                <w:bCs w:val="1"/>
                <w:color w:val="auto"/>
              </w:rPr>
              <w:t>4-5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After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78"/>
              </w:rPr>
              <w:t>5 years</w:t>
            </w:r>
          </w:p>
        </w:tc>
        <w:tc>
          <w:tcPr>
            <w:tcW w:w="320" w:type="dxa"/>
            <w:vAlign w:val="bottom"/>
          </w:tcPr>
          <w:p>
            <w:pPr>
              <w:spacing w:after="0"/>
              <w:rPr>
                <w:sz w:val="14"/>
                <w:szCs w:val="14"/>
                <w:color w:val="auto"/>
              </w:rPr>
            </w:pP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75"/>
              </w:rPr>
              <w:t>millions)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900" w:type="dxa"/>
            <w:vAlign w:val="bottom"/>
            <w:gridSpan w:val="2"/>
            <w:shd w:val="clear" w:color="auto" w:fill="CCEEFF"/>
          </w:tcPr>
          <w:p>
            <w:pPr>
              <w:ind w:left="28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$ 0.3</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Other obligations(a)</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900" w:type="dxa"/>
            <w:vAlign w:val="bottom"/>
            <w:gridSpan w:val="2"/>
            <w:shd w:val="clear" w:color="auto" w:fill="CCEEFF"/>
          </w:tcPr>
          <w:p>
            <w:pPr>
              <w:ind w:left="28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$ 8.5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Represents estimated payments under the Company’s Gratuity Plan.</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Certain units of our Indian subsidiaries have been established as 100% Export-Oriented units under the “Export Import Policy” (the “Policy”) or Software Technology Parks of India units (“STPI”) under the STPI guidelines issued by the Government of India that has provided us with certain incentives on imported and indigenous capital goods. Under the Policy, these units must achieve certain export ratios and realize revenues attributable to exports over a specified period. In the event that these units are unable to meet the requirements over the specified period, we may be required to refund these incentives along with penalties and fines. However, we believe that these units will continue to achieve the export levels within the required timeframe as they have consistently generated the required levels of export revenues.</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Exl Philippines is registered as an Ecozone IT Enterprise with the Philippines Economic Zone Authority. The registration has provided the Company with certain incentives on the import of capital goods. Exl Philippines has an export obligation of $39.3 million during the three year period ending March 2011.</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January 2010, the Financial Accounting Standards Board (“FASB”) issued Update No. 2010-6, “</w:t>
      </w:r>
      <w:r>
        <w:rPr>
          <w:rFonts w:ascii="Arial" w:cs="Arial" w:eastAsia="Arial" w:hAnsi="Arial"/>
          <w:sz w:val="16"/>
          <w:szCs w:val="16"/>
          <w:i w:val="1"/>
          <w:iCs w:val="1"/>
          <w:color w:val="auto"/>
        </w:rPr>
        <w:t>Improving Disclosures about Fair Value Measurement</w:t>
      </w:r>
      <w:r>
        <w:rPr>
          <w:rFonts w:ascii="Arial" w:cs="Arial" w:eastAsia="Arial" w:hAnsi="Arial"/>
          <w:sz w:val="16"/>
          <w:szCs w:val="16"/>
          <w:color w:val="auto"/>
        </w:rPr>
        <w:t>” (“ASU 2010-6”) to amend the disclosure requirements related to recurring and nonrecurring fair value measurements. The guidance requires new disclosures on the transfers of assets and liabilities between Level 1 (quoted prices in active market for identical assets or liabilities) and Level 2 (significant other observable inputs) of the fair value measurement hierarchy, including the reasons and the timing of the transfers. Additionally, the guidance requires a roll forward of activities on purchases, sales, issuance and settlements of the assets and liabilities measured using significant unobservable inputs (Level 3 fair value measurements). This guidance is effective for interim and annual reporting periods beginning after December 15, 2009, except for the disclosures regarding Level 3 fair value measurements which are effective for fiscal years beginning after December 15, 2010. The adoption of this new guidance did not have a material impact on our unaudited consolidated financial statements. See Note 6 to our Unaudited Consolidated Financial Statements for further details.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September 2009, the FASB issued Update No. 2009-13, “</w:t>
      </w:r>
      <w:r>
        <w:rPr>
          <w:rFonts w:ascii="Arial" w:cs="Arial" w:eastAsia="Arial" w:hAnsi="Arial"/>
          <w:sz w:val="18"/>
          <w:szCs w:val="18"/>
          <w:i w:val="1"/>
          <w:iCs w:val="1"/>
          <w:color w:val="auto"/>
        </w:rPr>
        <w:t>Multiple-Deliverable Revenue Arrangements—a consensus of the FASB Emerging Issues Task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Force </w:t>
      </w:r>
      <w:r>
        <w:rPr>
          <w:rFonts w:ascii="Arial" w:cs="Arial" w:eastAsia="Arial" w:hAnsi="Arial"/>
          <w:sz w:val="18"/>
          <w:szCs w:val="18"/>
          <w:color w:val="auto"/>
        </w:rPr>
        <w:t>(“ASU 2009-13”). It updates the existing multiple-element revenue arrangements guidance currently included under ASC topic 605-25, which originated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from the guidance in EITF Issue No.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 The revised guidance primarily provides two significant changes: first,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eliminates the need for objective and reliable evidence of the fair value for the undelivered element in order for a delivered item to be treated as a separate unit of accounting, and second, it eliminates the residual method to allocate the arrangement consideration. In addition, the guidance also expands the disclosure requirements for revenue recognition. ASU 2009-13 will be effective for the first annual reporting period beginning on or after June 15, 2010, with early adoption permitted provided that the revised guidance is retroactively applied to the beginning of the year of adoption. We have chosen to adopt this new guidance with effect from January 1, 2011. Currently, we do not expect there to be any impact from the adoption of ASU 2009-13 as the number of multiple-deliverable revenue arrangements are insignificant.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of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these events or how they may affect us. We have no obligation to update any forward looking statements in this Quarterly Report on Form 10-Q after the date of this Quarterly Report on Form 10-Q, except as required by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six months ended June 30, 2010,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2009.</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June 30, 2010. Based upon that evaluation, the CEO and CFO have concluded that, as of June 30, 2010,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During the six months ended June 30, 2010,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16 in the Notes to Unaudited Consolidated Financial Statements contained herein for the information regarding our ongoing legal proceedings.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disclosed under the heading “Risk Factors” in our Annual Report on Form 10-K for the year ended December 31, 2009 the risk factors which materially affect our business, financial condition or results of operations. You should carefully consider the “Risk Factors” set forth in our Annual Report on Form 10-K for the year ended December 31, 2009 and the other information set forth elsewhere in this Quarterly Report on Form 10-Q. You should be aware that these risk factors and other information may not describe every risk facing our Company. Additional risks and uncertainties not currently known to us also may materially adversely affect our business, financial condition and/or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three and six months ended June 30, 2010, we acquired 5,472 shares of common stock from employees in connection with withholding tax payments related to the vesting of restricted stock for a total consideration of approximately $92,500. The purchase price of $16.96 per share was the average of the high and low price of the our shares of common stock on the Nasdaq Global Select Market on the trading day prior to the vesting date of the shares of restricted stock. These shares are held as treasury stock.</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12" w:lineRule="exact"/>
        <w:rPr>
          <w:sz w:val="20"/>
          <w:szCs w:val="20"/>
          <w:color w:val="auto"/>
        </w:rPr>
      </w:pPr>
    </w:p>
    <w:p>
      <w:pPr>
        <w:ind w:left="700" w:right="160" w:hanging="688"/>
        <w:spacing w:after="0" w:line="268"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effective June 2, 2010, to the Amended and Restated Employment and Non-Competition Agreement, dated December 16, 2008 between Vikram Talwar and ExlService Holdings, Inc.</w:t>
      </w:r>
    </w:p>
    <w:p>
      <w:pPr>
        <w:spacing w:after="0" w:line="78" w:lineRule="exact"/>
        <w:rPr>
          <w:sz w:val="20"/>
          <w:szCs w:val="20"/>
          <w:color w:val="auto"/>
        </w:rPr>
      </w:pPr>
    </w:p>
    <w:p>
      <w:pPr>
        <w:ind w:left="700" w:right="20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Executive Chairman of ExlService Holdings, pursuant to Rule 13a-14 of the Exchange Act, as adopted pursuant to Section 302 of the Sarbanes-Oxley Act of 2002.</w:t>
      </w:r>
    </w:p>
    <w:p>
      <w:pPr>
        <w:spacing w:after="0" w:line="78" w:lineRule="exact"/>
        <w:rPr>
          <w:sz w:val="20"/>
          <w:szCs w:val="20"/>
          <w:color w:val="auto"/>
        </w:rPr>
      </w:pPr>
    </w:p>
    <w:p>
      <w:pPr>
        <w:ind w:left="700" w:right="2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President and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the Executive Chairman pursuant to Rule 13a-14(b) of the Exchange Act and 18 U.S.C. Section 1350, as adopted pursuant to Section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906 of the Sarbanes-Oxley Act of 2002.</w:t>
      </w:r>
    </w:p>
    <w:p>
      <w:pPr>
        <w:spacing w:after="0" w:line="111" w:lineRule="exact"/>
        <w:rPr>
          <w:sz w:val="20"/>
          <w:szCs w:val="20"/>
          <w:color w:val="auto"/>
        </w:rPr>
      </w:pPr>
    </w:p>
    <w:p>
      <w:pPr>
        <w:ind w:left="700" w:right="380" w:hanging="688"/>
        <w:spacing w:after="0" w:line="268"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President and Chief Executive Officer pursuant to Rule 13a-14(b) of the Exchange Act and 18 U.S.C. Section 1350, as adopted pursuant to Section 906 of the Sarbanes-Oxley Act of 2002.</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5"/>
          <w:szCs w:val="15"/>
          <w:color w:val="auto"/>
        </w:rPr>
        <w:t>Certification of the Chief Financial Officer pursuant to Rule 13a-14(b) of the Exchange Act and 18 U.S.C. Section 1350, as adopted pursuant to Section</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906 of the Sarbanes-Oxley Act of 2002.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480" w:val="left"/>
          <w:tab w:leader="none" w:pos="7700" w:val="left"/>
          <w:tab w:leader="none" w:pos="8060" w:val="left"/>
        </w:tabs>
        <w:rPr>
          <w:sz w:val="20"/>
          <w:szCs w:val="20"/>
          <w:color w:val="auto"/>
        </w:rPr>
      </w:pPr>
      <w:r>
        <w:rPr>
          <w:rFonts w:ascii="Arial" w:cs="Arial" w:eastAsia="Arial" w:hAnsi="Arial"/>
          <w:sz w:val="18"/>
          <w:szCs w:val="18"/>
          <w:color w:val="auto"/>
        </w:rPr>
        <w:t>Date: August 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Vishal Chhibbar</w:t>
      </w:r>
    </w:p>
    <w:p>
      <w:pPr>
        <w:jc w:val="center"/>
        <w:ind w:left="60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060"/>
        <w:spacing w:after="0"/>
        <w:rPr>
          <w:sz w:val="20"/>
          <w:szCs w:val="20"/>
          <w:color w:val="auto"/>
        </w:rPr>
      </w:pPr>
      <w:r>
        <w:rPr>
          <w:rFonts w:ascii="Arial" w:cs="Arial" w:eastAsia="Arial" w:hAnsi="Arial"/>
          <w:sz w:val="12"/>
          <w:szCs w:val="12"/>
          <w:b w:val="1"/>
          <w:bCs w:val="1"/>
          <w:color w:val="auto"/>
        </w:rPr>
        <w:t>(Duly Authorized Signatory, Principal Financial and Accounting Officer)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40"/>
          </w:cols>
          <w:pgMar w:left="240" w:top="459" w:right="8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EMPLOYMENT LETTER</w:t>
      </w:r>
    </w:p>
    <w:p>
      <w:pPr>
        <w:spacing w:after="0" w:line="165"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Amended and Restated Employment And Non-Competition Agreement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dated as of December 16, 2008, between ExlService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Vikram Talwar, is hereby amended as follows, effective as of the date set forth below unless provided otherwise herein: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 Section 2 of the Employment Agreement is hereby amended by adding the following immediately at the end thereof:</w:t>
      </w:r>
    </w:p>
    <w:p>
      <w:pPr>
        <w:spacing w:after="0" w:line="90" w:lineRule="exact"/>
        <w:rPr>
          <w:sz w:val="20"/>
          <w:szCs w:val="20"/>
          <w:color w:val="auto"/>
        </w:rPr>
      </w:pPr>
    </w:p>
    <w:p>
      <w:pPr>
        <w:ind w:left="920" w:right="60"/>
        <w:spacing w:after="0" w:line="306" w:lineRule="auto"/>
        <w:rPr>
          <w:sz w:val="20"/>
          <w:szCs w:val="20"/>
          <w:color w:val="auto"/>
        </w:rPr>
      </w:pPr>
      <w:r>
        <w:rPr>
          <w:rFonts w:ascii="Arial" w:cs="Arial" w:eastAsia="Arial" w:hAnsi="Arial"/>
          <w:sz w:val="16"/>
          <w:szCs w:val="16"/>
          <w:color w:val="auto"/>
        </w:rPr>
        <w:t>“Notwithstanding the foregoing, either party hereto may end the Employment Term on March 31, 2011 by giving advance written notice to the other party at any time prior to October 1, 2010, and any such termination of employment shall be treated as a termination of Executive’s employment pursuant to Section 7(c) hereof and not as a termination without Cause pursuant to Section 7(d) hereof.”</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 The last sentence of Section 3(a) of the Employment Agreement is hereby amended to read in its entirety as follows:</w:t>
      </w:r>
    </w:p>
    <w:p>
      <w:pPr>
        <w:spacing w:after="0" w:line="90" w:lineRule="exact"/>
        <w:rPr>
          <w:sz w:val="20"/>
          <w:szCs w:val="20"/>
          <w:color w:val="auto"/>
        </w:rPr>
      </w:pPr>
    </w:p>
    <w:p>
      <w:pPr>
        <w:ind w:left="920" w:right="240"/>
        <w:spacing w:after="0" w:line="259" w:lineRule="auto"/>
        <w:rPr>
          <w:sz w:val="20"/>
          <w:szCs w:val="20"/>
          <w:color w:val="auto"/>
        </w:rPr>
      </w:pPr>
      <w:r>
        <w:rPr>
          <w:rFonts w:ascii="Arial" w:cs="Arial" w:eastAsia="Arial" w:hAnsi="Arial"/>
          <w:sz w:val="18"/>
          <w:szCs w:val="18"/>
          <w:color w:val="auto"/>
        </w:rPr>
        <w:t>“The Executive shall be based at the Company’s executive offices in the Republic of India until March 31, 2009. On and after April 1, 2009, the Executive shall not be required to be based in the Republic of India, and shall be expected to spend the majority of his business time in the United States and the United Kingdom.”</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 The second sentence of Section 7(c) of the Employment Agreement is hereby amended to read in its entirety as follows:</w:t>
      </w:r>
    </w:p>
    <w:p>
      <w:pPr>
        <w:spacing w:after="0" w:line="90" w:lineRule="exact"/>
        <w:rPr>
          <w:sz w:val="20"/>
          <w:szCs w:val="20"/>
          <w:color w:val="auto"/>
        </w:rPr>
      </w:pPr>
    </w:p>
    <w:p>
      <w:pPr>
        <w:jc w:val="both"/>
        <w:ind w:left="920" w:right="240"/>
        <w:spacing w:after="0" w:line="306" w:lineRule="auto"/>
        <w:rPr>
          <w:sz w:val="20"/>
          <w:szCs w:val="20"/>
          <w:color w:val="auto"/>
        </w:rPr>
      </w:pPr>
      <w:r>
        <w:rPr>
          <w:rFonts w:ascii="Arial" w:cs="Arial" w:eastAsia="Arial" w:hAnsi="Arial"/>
          <w:sz w:val="16"/>
          <w:szCs w:val="16"/>
          <w:color w:val="auto"/>
        </w:rPr>
        <w:t>“In addition, Executive’s employment shall be terminated at the end of the Employment Term following (x) either party hereto giving the other a notice of its or his desire not to extend the Employment Term or (y) either party hereto giving the other advance written notice at any time prior to October 1, 2010 that the Employment Term shall end on March 31, 2011, in each case in accordance with Section 2 hereof.”</w:t>
      </w:r>
    </w:p>
    <w:p>
      <w:pPr>
        <w:spacing w:after="0" w:line="107" w:lineRule="exact"/>
        <w:rPr>
          <w:sz w:val="20"/>
          <w:szCs w:val="20"/>
          <w:color w:val="auto"/>
        </w:rPr>
      </w:pPr>
    </w:p>
    <w:p>
      <w:pPr>
        <w:ind w:left="1100" w:hanging="179"/>
        <w:spacing w:after="0"/>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last sentence of Section 7(f) of the Employment Agreement is amended by replacing “the Effective Date” with “September 30, 2006”.</w:t>
      </w:r>
    </w:p>
    <w:p>
      <w:pPr>
        <w:spacing w:after="0" w:line="194" w:lineRule="exact"/>
        <w:rPr>
          <w:rFonts w:ascii="Arial" w:cs="Arial" w:eastAsia="Arial" w:hAnsi="Arial"/>
          <w:sz w:val="16"/>
          <w:szCs w:val="16"/>
          <w:color w:val="auto"/>
        </w:rPr>
      </w:pPr>
    </w:p>
    <w:p>
      <w:pPr>
        <w:ind w:left="1100" w:hanging="179"/>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12(n) is amended in its entirety to read as follows:</w:t>
      </w:r>
    </w:p>
    <w:p>
      <w:pPr>
        <w:spacing w:after="0" w:line="90" w:lineRule="exact"/>
        <w:rPr>
          <w:sz w:val="20"/>
          <w:szCs w:val="20"/>
          <w:color w:val="auto"/>
        </w:rPr>
      </w:pPr>
    </w:p>
    <w:p>
      <w:pPr>
        <w:jc w:val="both"/>
        <w:ind w:left="92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Tax Equalization</w:t>
      </w:r>
      <w:r>
        <w:rPr>
          <w:rFonts w:ascii="Arial" w:cs="Arial" w:eastAsia="Arial" w:hAnsi="Arial"/>
          <w:sz w:val="18"/>
          <w:szCs w:val="18"/>
          <w:color w:val="auto"/>
        </w:rPr>
        <w:t>. The Company shall be entitled to withhold from any payment due to Executive hereunder any amounts required to be withheld by applicable tax laws or regulations. Solely with respect to taxes assessed by the Republic of India in respect of tax years ending on or before March 31, 2009, the Company shall provide Executive such additional</w:t>
      </w:r>
    </w:p>
    <w:p>
      <w:pPr>
        <w:sectPr>
          <w:pgSz w:w="11900" w:h="16838" w:orient="portrait"/>
          <w:cols w:equalWidth="0" w:num="1">
            <w:col w:w="11420"/>
          </w:cols>
          <w:pgMar w:left="240" w:top="125" w:right="239" w:bottom="1440" w:gutter="0" w:footer="0" w:header="0"/>
        </w:sectPr>
      </w:pPr>
    </w:p>
    <w:bookmarkStart w:id="40" w:name="page41"/>
    <w:bookmarkEnd w:id="40"/>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if any, as is reasonably necessary after payment by Executive of all taxes and related interest and penalties owed to the Republic of India as a result of Executive working and/or residing in the Republic of India to ensure that Executive’s total compensation, benefits and bonus payments have the same after-tax value as if Executive were employed in and subject to taxation only in the United States. These equalization payments shall include a tax restoration payment that takes into account the impact of the reimbursements. For the avoidance of doubt, the Company’s obligation to provide such equalization payments shall not be affected by whether Executive’s Indian tax liability is fixed and determined at the time a regularly scheduled tax filing, return, report or payment to the Republic of India is due, or whether such liability is determined or assessed at a later time. Executive agrees that if he receives a refund or other credit on his taxes, he shall repay the Company any amount in excess of the amount necessary such that the after-tax amount retained by Executive is equal to the amount he would have retained had he remained employed in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6. Schedule 6 to the Employment Agreement is amended by revising clause (i) of Item 3 thereof to read as follows:</w:t>
      </w:r>
    </w:p>
    <w:p>
      <w:pPr>
        <w:spacing w:after="0" w:line="90"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“(i) maintain one automobile for use by the Executive and shall pay the costs of an automobile for the Executive in the United States, with lease or loan payments not to exceed $1,200 per month; provided that if such automobile is purchased by the Executive during the Employment Term, the Company shall thereafter pay the Executive during the remainder of the Employment Term an amount each month equal to the monthly amount of such lease or loan payments that were being paid by the Company immediately prior to such purchase by the Executive;”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7. Schedule 6 to the Employment Agreement is amended by adding the following Item 10 to the end thereof:</w:t>
      </w:r>
    </w:p>
    <w:p>
      <w:pPr>
        <w:spacing w:after="0" w:line="90"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“10. During Executive’s travel to the United Kingdom in connection with Company business while Executive’s domicile is outside the United Kingdom, Executive shall be provided a $275 per diem billeting allowance for each night Executive does not stay in a hotel.”</w:t>
      </w:r>
    </w:p>
    <w:p>
      <w:pPr>
        <w:spacing w:after="0" w:line="85" w:lineRule="exact"/>
        <w:rPr>
          <w:sz w:val="20"/>
          <w:szCs w:val="20"/>
          <w:color w:val="auto"/>
        </w:rPr>
      </w:pPr>
    </w:p>
    <w:p>
      <w:pPr>
        <w:ind w:left="-920" w:right="320" w:firstLine="921"/>
        <w:spacing w:after="0" w:line="268" w:lineRule="auto"/>
        <w:tabs>
          <w:tab w:leader="none" w:pos="16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Continuing Effect of the Employment Agreement</w:t>
      </w:r>
      <w:r>
        <w:rPr>
          <w:rFonts w:ascii="Arial" w:cs="Arial" w:eastAsia="Arial" w:hAnsi="Arial"/>
          <w:sz w:val="18"/>
          <w:szCs w:val="18"/>
          <w:color w:val="auto"/>
        </w:rPr>
        <w:t>. Except as expressly modified hereby, the provisions of the Employment Agreement are and shall remain in full force and effect.</w:t>
      </w:r>
    </w:p>
    <w:p>
      <w:pPr>
        <w:sectPr>
          <w:pgSz w:w="11900" w:h="16838" w:orient="portrait"/>
          <w:cols w:equalWidth="0" w:num="1">
            <w:col w:w="10500"/>
          </w:cols>
          <w:pgMar w:left="1160" w:top="280"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HEREOF, the undersigned have acknowledged and executed this amendment to the Employment Agreement on June 2, 2010.</w:t>
      </w:r>
    </w:p>
    <w:p>
      <w:pPr>
        <w:spacing w:after="0" w:line="2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Amit Shashank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Amit Shashank</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bl>
    <w:p>
      <w:pPr>
        <w:spacing w:after="0" w:line="21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Vikram Talwar</w:t>
      </w:r>
    </w:p>
    <w:p>
      <w:pPr>
        <w:sectPr>
          <w:pgSz w:w="11900" w:h="16838" w:orient="portrait"/>
          <w:cols w:equalWidth="0" w:num="1">
            <w:col w:w="10500"/>
          </w:cols>
          <w:pgMar w:left="1160" w:top="2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p>
      <w:pPr>
        <w:spacing w:after="0" w:line="212"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Vikram Talwar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Executive Chairman</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p>
      <w:pPr>
        <w:spacing w:after="0" w:line="212"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58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p>
      <w:pPr>
        <w:spacing w:after="0" w:line="212"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2010 as filed with the Securities and Exchange Commission on the date hereof (the “Report”), I, Vikram Talwar, Executive Chairman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Vikram Talwar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Executive Chairman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2010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Rohit Kapoor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2010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80"/>
        <w:spacing w:after="0"/>
        <w:tabs>
          <w:tab w:leader="none" w:pos="1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Vishal Chhibbar</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6"/>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1."/>
      <w:numFmt w:val="decimal"/>
      <w:start w:val="8"/>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2019-12-11T00:39:13Z</dcterms:created>
  <dcterms:modified xsi:type="dcterms:W3CDTF">2019-12-11T00:39:13Z</dcterms:modified>
</cp:coreProperties>
</file>