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104140</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2"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8"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13" w:lineRule="exact"/>
        <w:rPr>
          <w:sz w:val="24"/>
          <w:szCs w:val="24"/>
          <w:color w:val="auto"/>
        </w:rPr>
      </w:pPr>
    </w:p>
    <w:p>
      <w:pPr>
        <w:ind w:left="300" w:hanging="278"/>
        <w:spacing w:after="0"/>
        <w:tabs>
          <w:tab w:leader="none" w:pos="3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26" w:lineRule="exact"/>
        <w:rPr>
          <w:sz w:val="24"/>
          <w:szCs w:val="24"/>
          <w:color w:val="auto"/>
        </w:rPr>
      </w:pPr>
    </w:p>
    <w:p>
      <w:pPr>
        <w:ind w:left="300" w:hanging="278"/>
        <w:spacing w:after="0"/>
        <w:tabs>
          <w:tab w:leader="none" w:pos="3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97" w:lineRule="exact"/>
        <w:rPr>
          <w:sz w:val="24"/>
          <w:szCs w:val="24"/>
          <w:color w:val="auto"/>
        </w:rPr>
      </w:pPr>
    </w:p>
    <w:p>
      <w:pPr>
        <w:ind w:left="3220"/>
        <w:spacing w:after="0"/>
        <w:tabs>
          <w:tab w:leader="none" w:pos="69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3912235</wp:posOffset>
            </wp:positionH>
            <wp:positionV relativeFrom="paragraph">
              <wp:posOffset>-7620</wp:posOffset>
            </wp:positionV>
            <wp:extent cx="1191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255"/>
                    </a:xfrm>
                    <a:prstGeom prst="rect">
                      <a:avLst/>
                    </a:prstGeom>
                    <a:noFill/>
                  </pic:spPr>
                </pic:pic>
              </a:graphicData>
            </a:graphic>
          </wp:anchor>
        </w:drawing>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001-33089</w:t>
      </w:r>
    </w:p>
    <w:p>
      <w:pPr>
        <w:spacing w:after="0" w:line="15"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EXLSERVICE HOLDINGS,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130" w:lineRule="exact"/>
        <w:rPr>
          <w:sz w:val="24"/>
          <w:szCs w:val="24"/>
          <w:color w:val="auto"/>
        </w:rPr>
      </w:pPr>
    </w:p>
    <w:tbl>
      <w:tblPr>
        <w:tblLayout w:type="fixed"/>
        <w:tblInd w:w="350" w:type="dxa"/>
        <w:tblCellMar>
          <w:top w:w="0" w:type="dxa"/>
          <w:left w:w="0" w:type="dxa"/>
          <w:bottom w:w="0" w:type="dxa"/>
          <w:right w:w="0" w:type="dxa"/>
        </w:tblCellMar>
      </w:tblPr>
      <w:tr>
        <w:trPr>
          <w:trHeight w:val="201"/>
        </w:trPr>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gridSpan w:val="2"/>
          </w:tcPr>
          <w:p>
            <w:pPr>
              <w:jc w:val="center"/>
              <w:ind w:right="1040"/>
              <w:spacing w:after="0"/>
              <w:rPr>
                <w:sz w:val="20"/>
                <w:szCs w:val="20"/>
                <w:color w:val="auto"/>
              </w:rPr>
            </w:pPr>
            <w:r>
              <w:rPr>
                <w:rFonts w:ascii="Arial" w:cs="Arial" w:eastAsia="Arial" w:hAnsi="Arial"/>
                <w:sz w:val="16"/>
                <w:szCs w:val="16"/>
                <w:b w:val="1"/>
                <w:bCs w:val="1"/>
                <w:color w:val="auto"/>
                <w:w w:val="91"/>
              </w:rPr>
              <w:t>Delaware</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80" w:type="dxa"/>
            <w:vAlign w:val="bottom"/>
            <w:gridSpan w:val="2"/>
          </w:tcPr>
          <w:p>
            <w:pPr>
              <w:jc w:val="right"/>
              <w:ind w:right="2006"/>
              <w:spacing w:after="0"/>
              <w:rPr>
                <w:sz w:val="20"/>
                <w:szCs w:val="20"/>
                <w:color w:val="auto"/>
              </w:rPr>
            </w:pPr>
            <w:r>
              <w:rPr>
                <w:rFonts w:ascii="Arial" w:cs="Arial" w:eastAsia="Arial" w:hAnsi="Arial"/>
                <w:sz w:val="16"/>
                <w:szCs w:val="16"/>
                <w:b w:val="1"/>
                <w:bCs w:val="1"/>
                <w:color w:val="auto"/>
              </w:rPr>
              <w:t>82-0572194</w:t>
            </w:r>
          </w:p>
        </w:tc>
        <w:tc>
          <w:tcPr>
            <w:tcW w:w="600" w:type="dxa"/>
            <w:vAlign w:val="bottom"/>
          </w:tcPr>
          <w:p>
            <w:pPr>
              <w:spacing w:after="0"/>
              <w:rPr>
                <w:sz w:val="17"/>
                <w:szCs w:val="17"/>
                <w:color w:val="auto"/>
              </w:rPr>
            </w:pPr>
          </w:p>
        </w:tc>
      </w:tr>
      <w:tr>
        <w:trPr>
          <w:trHeight w:val="144"/>
        </w:trPr>
        <w:tc>
          <w:tcPr>
            <w:tcW w:w="1320" w:type="dxa"/>
            <w:vAlign w:val="bottom"/>
          </w:tcPr>
          <w:p>
            <w:pPr>
              <w:spacing w:after="0"/>
              <w:rPr>
                <w:sz w:val="12"/>
                <w:szCs w:val="12"/>
                <w:color w:val="auto"/>
              </w:rPr>
            </w:pPr>
          </w:p>
        </w:tc>
        <w:tc>
          <w:tcPr>
            <w:tcW w:w="3000" w:type="dxa"/>
            <w:vAlign w:val="bottom"/>
            <w:gridSpan w:val="3"/>
          </w:tcPr>
          <w:p>
            <w:pPr>
              <w:jc w:val="center"/>
              <w:ind w:left="67"/>
              <w:spacing w:after="0" w:line="145" w:lineRule="exact"/>
              <w:rPr>
                <w:sz w:val="20"/>
                <w:szCs w:val="20"/>
                <w:color w:val="auto"/>
              </w:rPr>
            </w:pPr>
            <w:r>
              <w:rPr>
                <w:rFonts w:ascii="Arial" w:cs="Arial" w:eastAsia="Arial" w:hAnsi="Arial"/>
                <w:sz w:val="14"/>
                <w:szCs w:val="14"/>
                <w:b w:val="1"/>
                <w:bCs w:val="1"/>
                <w:color w:val="auto"/>
                <w:w w:val="90"/>
              </w:rPr>
              <w:t>(State or other jurisdiction of</w:t>
            </w: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80" w:type="dxa"/>
            <w:vAlign w:val="bottom"/>
            <w:gridSpan w:val="3"/>
          </w:tcPr>
          <w:p>
            <w:pPr>
              <w:jc w:val="center"/>
              <w:ind w:right="2440"/>
              <w:spacing w:after="0" w:line="145" w:lineRule="exact"/>
              <w:rPr>
                <w:sz w:val="20"/>
                <w:szCs w:val="20"/>
                <w:color w:val="auto"/>
              </w:rPr>
            </w:pPr>
            <w:r>
              <w:rPr>
                <w:rFonts w:ascii="Arial" w:cs="Arial" w:eastAsia="Arial" w:hAnsi="Arial"/>
                <w:sz w:val="14"/>
                <w:szCs w:val="14"/>
                <w:b w:val="1"/>
                <w:bCs w:val="1"/>
                <w:color w:val="auto"/>
                <w:w w:val="93"/>
              </w:rPr>
              <w:t>(I.R.S. Employer</w:t>
            </w:r>
          </w:p>
        </w:tc>
      </w:tr>
      <w:tr>
        <w:trPr>
          <w:trHeight w:val="183"/>
        </w:trPr>
        <w:tc>
          <w:tcPr>
            <w:tcW w:w="1320" w:type="dxa"/>
            <w:vAlign w:val="bottom"/>
          </w:tcPr>
          <w:p>
            <w:pPr>
              <w:spacing w:after="0"/>
              <w:rPr>
                <w:sz w:val="15"/>
                <w:szCs w:val="15"/>
                <w:color w:val="auto"/>
              </w:rPr>
            </w:pPr>
          </w:p>
        </w:tc>
        <w:tc>
          <w:tcPr>
            <w:tcW w:w="3000" w:type="dxa"/>
            <w:vAlign w:val="bottom"/>
            <w:gridSpan w:val="3"/>
          </w:tcPr>
          <w:p>
            <w:pPr>
              <w:jc w:val="center"/>
              <w:ind w:left="67"/>
              <w:spacing w:after="0"/>
              <w:rPr>
                <w:sz w:val="20"/>
                <w:szCs w:val="20"/>
                <w:color w:val="auto"/>
              </w:rPr>
            </w:pPr>
            <w:r>
              <w:rPr>
                <w:rFonts w:ascii="Arial" w:cs="Arial" w:eastAsia="Arial" w:hAnsi="Arial"/>
                <w:sz w:val="14"/>
                <w:szCs w:val="14"/>
                <w:b w:val="1"/>
                <w:bCs w:val="1"/>
                <w:color w:val="auto"/>
                <w:w w:val="91"/>
              </w:rPr>
              <w:t>incorporation or organization)</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80" w:type="dxa"/>
            <w:vAlign w:val="bottom"/>
            <w:gridSpan w:val="3"/>
          </w:tcPr>
          <w:p>
            <w:pPr>
              <w:jc w:val="center"/>
              <w:ind w:right="2440"/>
              <w:spacing w:after="0"/>
              <w:rPr>
                <w:sz w:val="20"/>
                <w:szCs w:val="20"/>
                <w:color w:val="auto"/>
              </w:rPr>
            </w:pPr>
            <w:r>
              <w:rPr>
                <w:rFonts w:ascii="Arial" w:cs="Arial" w:eastAsia="Arial" w:hAnsi="Arial"/>
                <w:sz w:val="14"/>
                <w:szCs w:val="14"/>
                <w:b w:val="1"/>
                <w:bCs w:val="1"/>
                <w:color w:val="auto"/>
                <w:w w:val="91"/>
              </w:rPr>
              <w:t>Identification No.)</w:t>
            </w:r>
          </w:p>
        </w:tc>
      </w:tr>
      <w:tr>
        <w:trPr>
          <w:trHeight w:val="266"/>
        </w:trPr>
        <w:tc>
          <w:tcPr>
            <w:tcW w:w="1320" w:type="dxa"/>
            <w:vAlign w:val="bottom"/>
          </w:tcPr>
          <w:p>
            <w:pPr>
              <w:spacing w:after="0"/>
              <w:rPr>
                <w:sz w:val="23"/>
                <w:szCs w:val="23"/>
                <w:color w:val="auto"/>
              </w:rPr>
            </w:pPr>
          </w:p>
        </w:tc>
        <w:tc>
          <w:tcPr>
            <w:tcW w:w="3000" w:type="dxa"/>
            <w:vAlign w:val="bottom"/>
            <w:gridSpan w:val="3"/>
          </w:tcPr>
          <w:p>
            <w:pPr>
              <w:jc w:val="center"/>
              <w:ind w:left="67"/>
              <w:spacing w:after="0"/>
              <w:rPr>
                <w:sz w:val="20"/>
                <w:szCs w:val="20"/>
                <w:color w:val="auto"/>
              </w:rPr>
            </w:pPr>
            <w:r>
              <w:rPr>
                <w:rFonts w:ascii="Arial" w:cs="Arial" w:eastAsia="Arial" w:hAnsi="Arial"/>
                <w:sz w:val="16"/>
                <w:szCs w:val="16"/>
                <w:b w:val="1"/>
                <w:bCs w:val="1"/>
                <w:color w:val="auto"/>
                <w:w w:val="88"/>
              </w:rPr>
              <w:t>320 Park Avenue, 29th Floor,</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07"/>
        </w:trPr>
        <w:tc>
          <w:tcPr>
            <w:tcW w:w="1320" w:type="dxa"/>
            <w:vAlign w:val="bottom"/>
          </w:tcPr>
          <w:p>
            <w:pPr>
              <w:spacing w:after="0"/>
              <w:rPr>
                <w:sz w:val="17"/>
                <w:szCs w:val="17"/>
                <w:color w:val="auto"/>
              </w:rPr>
            </w:pPr>
          </w:p>
        </w:tc>
        <w:tc>
          <w:tcPr>
            <w:tcW w:w="3000" w:type="dxa"/>
            <w:vAlign w:val="bottom"/>
            <w:gridSpan w:val="3"/>
          </w:tcPr>
          <w:p>
            <w:pPr>
              <w:ind w:left="1080"/>
              <w:spacing w:after="0"/>
              <w:rPr>
                <w:sz w:val="20"/>
                <w:szCs w:val="20"/>
                <w:color w:val="auto"/>
              </w:rPr>
            </w:pPr>
            <w:r>
              <w:rPr>
                <w:rFonts w:ascii="Arial" w:cs="Arial" w:eastAsia="Arial" w:hAnsi="Arial"/>
                <w:sz w:val="16"/>
                <w:szCs w:val="16"/>
                <w:b w:val="1"/>
                <w:bCs w:val="1"/>
                <w:color w:val="auto"/>
              </w:rPr>
              <w:t>New York, New York</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80" w:type="dxa"/>
            <w:vAlign w:val="bottom"/>
            <w:gridSpan w:val="2"/>
          </w:tcPr>
          <w:p>
            <w:pPr>
              <w:jc w:val="right"/>
              <w:ind w:right="2186"/>
              <w:spacing w:after="0"/>
              <w:rPr>
                <w:sz w:val="20"/>
                <w:szCs w:val="20"/>
                <w:color w:val="auto"/>
              </w:rPr>
            </w:pPr>
            <w:r>
              <w:rPr>
                <w:rFonts w:ascii="Arial" w:cs="Arial" w:eastAsia="Arial" w:hAnsi="Arial"/>
                <w:sz w:val="16"/>
                <w:szCs w:val="16"/>
                <w:b w:val="1"/>
                <w:bCs w:val="1"/>
                <w:color w:val="auto"/>
              </w:rPr>
              <w:t>10022</w:t>
            </w:r>
          </w:p>
        </w:tc>
        <w:tc>
          <w:tcPr>
            <w:tcW w:w="600" w:type="dxa"/>
            <w:vAlign w:val="bottom"/>
          </w:tcPr>
          <w:p>
            <w:pPr>
              <w:spacing w:after="0"/>
              <w:rPr>
                <w:sz w:val="17"/>
                <w:szCs w:val="17"/>
                <w:color w:val="auto"/>
              </w:rPr>
            </w:pPr>
          </w:p>
        </w:tc>
      </w:tr>
      <w:tr>
        <w:trPr>
          <w:trHeight w:val="183"/>
        </w:trPr>
        <w:tc>
          <w:tcPr>
            <w:tcW w:w="1320" w:type="dxa"/>
            <w:vAlign w:val="bottom"/>
          </w:tcPr>
          <w:p>
            <w:pPr>
              <w:spacing w:after="0"/>
              <w:rPr>
                <w:sz w:val="15"/>
                <w:szCs w:val="15"/>
                <w:color w:val="auto"/>
              </w:rPr>
            </w:pPr>
          </w:p>
        </w:tc>
        <w:tc>
          <w:tcPr>
            <w:tcW w:w="3000" w:type="dxa"/>
            <w:vAlign w:val="bottom"/>
            <w:gridSpan w:val="3"/>
          </w:tcPr>
          <w:p>
            <w:pPr>
              <w:jc w:val="center"/>
              <w:ind w:left="47"/>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0" w:type="dxa"/>
            <w:vAlign w:val="bottom"/>
            <w:gridSpan w:val="2"/>
          </w:tcPr>
          <w:p>
            <w:pPr>
              <w:jc w:val="center"/>
              <w:ind w:right="2720"/>
              <w:spacing w:after="0"/>
              <w:rPr>
                <w:sz w:val="20"/>
                <w:szCs w:val="20"/>
                <w:color w:val="auto"/>
              </w:rPr>
            </w:pPr>
            <w:r>
              <w:rPr>
                <w:rFonts w:ascii="Arial" w:cs="Arial" w:eastAsia="Arial" w:hAnsi="Arial"/>
                <w:sz w:val="14"/>
                <w:szCs w:val="14"/>
                <w:b w:val="1"/>
                <w:bCs w:val="1"/>
                <w:color w:val="auto"/>
                <w:w w:val="89"/>
              </w:rPr>
              <w:t>(Zip code)</w:t>
            </w:r>
          </w:p>
        </w:tc>
      </w:tr>
      <w:tr>
        <w:trPr>
          <w:trHeight w:val="306"/>
        </w:trPr>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gridSpan w:val="2"/>
          </w:tcPr>
          <w:p>
            <w:pPr>
              <w:jc w:val="center"/>
              <w:ind w:left="364"/>
              <w:spacing w:after="0"/>
              <w:rPr>
                <w:sz w:val="20"/>
                <w:szCs w:val="20"/>
                <w:color w:val="auto"/>
              </w:rPr>
            </w:pPr>
            <w:r>
              <w:rPr>
                <w:rFonts w:ascii="Arial" w:cs="Arial" w:eastAsia="Arial" w:hAnsi="Arial"/>
                <w:sz w:val="16"/>
                <w:szCs w:val="16"/>
                <w:b w:val="1"/>
                <w:bCs w:val="1"/>
                <w:color w:val="auto"/>
                <w:w w:val="89"/>
              </w:rPr>
              <w:t>(212) 277-7100</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6"/>
        </w:trPr>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40" w:type="dxa"/>
            <w:vAlign w:val="bottom"/>
            <w:gridSpan w:val="6"/>
          </w:tcPr>
          <w:p>
            <w:pPr>
              <w:jc w:val="center"/>
              <w:ind w:left="1084"/>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2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89"/>
        </w:trPr>
        <w:tc>
          <w:tcPr>
            <w:tcW w:w="1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gridSpan w:val="3"/>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gridSpan w:val="3"/>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r>
      <w:tr>
        <w:trPr>
          <w:trHeight w:val="200"/>
        </w:trPr>
        <w:tc>
          <w:tcPr>
            <w:tcW w:w="1320" w:type="dxa"/>
            <w:vAlign w:val="bottom"/>
            <w:tcBorders>
              <w:left w:val="single" w:sz="8" w:color="auto"/>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120" w:type="dxa"/>
            <w:vAlign w:val="bottom"/>
            <w:tcBorders>
              <w:bottom w:val="single" w:sz="8" w:color="auto"/>
              <w:right w:val="single" w:sz="8" w:color="auto"/>
            </w:tcBorders>
            <w:gridSpan w:val="9"/>
          </w:tcPr>
          <w:p>
            <w:pPr>
              <w:jc w:val="center"/>
              <w:ind w:right="2500"/>
              <w:spacing w:after="0"/>
              <w:rPr>
                <w:sz w:val="20"/>
                <w:szCs w:val="20"/>
                <w:color w:val="auto"/>
              </w:rPr>
            </w:pPr>
            <w:r>
              <w:rPr>
                <w:rFonts w:ascii="Arial" w:cs="Arial" w:eastAsia="Arial" w:hAnsi="Arial"/>
                <w:sz w:val="16"/>
                <w:szCs w:val="16"/>
                <w:b w:val="1"/>
                <w:bCs w:val="1"/>
                <w:color w:val="auto"/>
                <w:w w:val="87"/>
              </w:rPr>
              <w:t>Securities registered pursuant to Section 12(b) of the Act:</w:t>
            </w:r>
          </w:p>
        </w:tc>
      </w:tr>
      <w:tr>
        <w:trPr>
          <w:trHeight w:val="173"/>
        </w:trPr>
        <w:tc>
          <w:tcPr>
            <w:tcW w:w="3820" w:type="dxa"/>
            <w:vAlign w:val="bottom"/>
            <w:tcBorders>
              <w:left w:val="single" w:sz="8" w:color="auto"/>
              <w:right w:val="single" w:sz="8" w:color="auto"/>
            </w:tcBorders>
            <w:gridSpan w:val="3"/>
          </w:tcPr>
          <w:p>
            <w:pPr>
              <w:jc w:val="center"/>
              <w:spacing w:after="0" w:line="137" w:lineRule="exact"/>
              <w:rPr>
                <w:sz w:val="20"/>
                <w:szCs w:val="20"/>
                <w:color w:val="auto"/>
              </w:rPr>
            </w:pPr>
            <w:r>
              <w:rPr>
                <w:rFonts w:ascii="Arial" w:cs="Arial" w:eastAsia="Arial" w:hAnsi="Arial"/>
                <w:sz w:val="14"/>
                <w:szCs w:val="14"/>
                <w:b w:val="1"/>
                <w:bCs w:val="1"/>
                <w:color w:val="auto"/>
                <w:w w:val="89"/>
              </w:rPr>
              <w:t>Title of Each Class:</w:t>
            </w:r>
          </w:p>
        </w:tc>
        <w:tc>
          <w:tcPr>
            <w:tcW w:w="500" w:type="dxa"/>
            <w:vAlign w:val="bottom"/>
          </w:tcPr>
          <w:p>
            <w:pPr>
              <w:spacing w:after="0"/>
              <w:rPr>
                <w:sz w:val="15"/>
                <w:szCs w:val="15"/>
                <w:color w:val="auto"/>
              </w:rPr>
            </w:pPr>
          </w:p>
        </w:tc>
        <w:tc>
          <w:tcPr>
            <w:tcW w:w="2320" w:type="dxa"/>
            <w:vAlign w:val="bottom"/>
            <w:tcBorders>
              <w:right w:val="single" w:sz="8" w:color="auto"/>
            </w:tcBorders>
            <w:gridSpan w:val="3"/>
          </w:tcPr>
          <w:p>
            <w:pPr>
              <w:jc w:val="center"/>
              <w:ind w:right="540"/>
              <w:spacing w:after="0" w:line="138" w:lineRule="exact"/>
              <w:rPr>
                <w:sz w:val="20"/>
                <w:szCs w:val="20"/>
                <w:color w:val="auto"/>
              </w:rPr>
            </w:pPr>
            <w:r>
              <w:rPr>
                <w:rFonts w:ascii="Arial" w:cs="Arial" w:eastAsia="Arial" w:hAnsi="Arial"/>
                <w:sz w:val="15"/>
                <w:szCs w:val="15"/>
                <w:b w:val="1"/>
                <w:bCs w:val="1"/>
                <w:color w:val="auto"/>
                <w:w w:val="93"/>
              </w:rPr>
              <w:t>Trading symbol(s)</w:t>
            </w:r>
          </w:p>
        </w:tc>
        <w:tc>
          <w:tcPr>
            <w:tcW w:w="280" w:type="dxa"/>
            <w:vAlign w:val="bottom"/>
          </w:tcPr>
          <w:p>
            <w:pPr>
              <w:spacing w:after="0"/>
              <w:rPr>
                <w:sz w:val="15"/>
                <w:szCs w:val="15"/>
                <w:color w:val="auto"/>
              </w:rPr>
            </w:pPr>
          </w:p>
        </w:tc>
        <w:tc>
          <w:tcPr>
            <w:tcW w:w="3680" w:type="dxa"/>
            <w:vAlign w:val="bottom"/>
            <w:tcBorders>
              <w:right w:val="single" w:sz="8" w:color="auto"/>
            </w:tcBorders>
            <w:gridSpan w:val="3"/>
          </w:tcPr>
          <w:p>
            <w:pPr>
              <w:jc w:val="center"/>
              <w:ind w:right="320"/>
              <w:spacing w:after="0" w:line="137" w:lineRule="exact"/>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1320" w:type="dxa"/>
            <w:vAlign w:val="bottom"/>
            <w:tcBorders>
              <w:left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r>
      <w:tr>
        <w:trPr>
          <w:trHeight w:val="192"/>
        </w:trPr>
        <w:tc>
          <w:tcPr>
            <w:tcW w:w="38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w w:val="87"/>
              </w:rPr>
              <w:t>Common Stock, par value $0.001 per share</w:t>
            </w:r>
          </w:p>
        </w:tc>
        <w:tc>
          <w:tcPr>
            <w:tcW w:w="5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14"/>
                <w:szCs w:val="14"/>
                <w:color w:val="auto"/>
              </w:rPr>
              <w:t>EXLS</w:t>
            </w: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right w:val="single" w:sz="8" w:color="auto"/>
            </w:tcBorders>
            <w:gridSpan w:val="2"/>
          </w:tcPr>
          <w:p>
            <w:pPr>
              <w:jc w:val="center"/>
              <w:ind w:right="600"/>
              <w:spacing w:after="0"/>
              <w:rPr>
                <w:sz w:val="20"/>
                <w:szCs w:val="20"/>
                <w:color w:val="auto"/>
              </w:rPr>
            </w:pPr>
            <w:r>
              <w:rPr>
                <w:rFonts w:ascii="Arial" w:cs="Arial" w:eastAsia="Arial" w:hAnsi="Arial"/>
                <w:sz w:val="16"/>
                <w:szCs w:val="16"/>
                <w:color w:val="auto"/>
                <w:w w:val="94"/>
              </w:rPr>
              <w:t>NASDAQ</w:t>
            </w:r>
          </w:p>
        </w:tc>
      </w:tr>
    </w:tbl>
    <w:p>
      <w:pPr>
        <w:spacing w:after="0" w:line="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rPr>
          <w:sz w:val="20"/>
          <w:szCs w:val="20"/>
          <w:color w:val="auto"/>
        </w:rPr>
      </w:pPr>
      <w:r>
        <w:rPr>
          <w:rFonts w:ascii="Arial" w:cs="Arial" w:eastAsia="Arial" w:hAnsi="Arial"/>
          <w:sz w:val="17"/>
          <w:szCs w:val="17"/>
          <w:b w:val="1"/>
          <w:bCs w:val="1"/>
          <w:color w:val="auto"/>
        </w:rPr>
        <w:t>________________________________________________________</w:t>
      </w:r>
    </w:p>
    <w:p>
      <w:pPr>
        <w:spacing w:after="0" w:line="226" w:lineRule="exact"/>
        <w:rPr>
          <w:sz w:val="24"/>
          <w:szCs w:val="24"/>
          <w:color w:val="auto"/>
        </w:rPr>
      </w:pPr>
    </w:p>
    <w:p>
      <w:pPr>
        <w:ind w:firstLine="315"/>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19" w:lineRule="exact"/>
        <w:tabs>
          <w:tab w:leader="none" w:pos="5020" w:val="left"/>
        </w:tabs>
        <w:rPr>
          <w:sz w:val="20"/>
          <w:szCs w:val="20"/>
          <w:color w:val="auto"/>
        </w:rPr>
      </w:pPr>
      <w:r>
        <w:rPr>
          <w:rFonts w:ascii="Arial" w:cs="Arial" w:eastAsia="Arial" w:hAnsi="Arial"/>
          <w:sz w:val="16"/>
          <w:szCs w:val="16"/>
          <w:color w:val="auto"/>
        </w:rPr>
        <w:t xml:space="preserve">(2)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6"/>
          <w:szCs w:val="16"/>
          <w:color w:val="auto"/>
        </w:rPr>
        <w:tab/>
        <w:t xml:space="preserve">No </w:t>
      </w:r>
      <w:r>
        <w:rPr>
          <w:rFonts w:ascii="MS PGothic" w:cs="MS PGothic" w:eastAsia="MS PGothic" w:hAnsi="MS PGothic"/>
          <w:sz w:val="19"/>
          <w:szCs w:val="19"/>
          <w:color w:val="auto"/>
        </w:rPr>
        <w:t>☐</w:t>
      </w:r>
    </w:p>
    <w:p>
      <w:pPr>
        <w:spacing w:after="0" w:line="252" w:lineRule="exact"/>
        <w:rPr>
          <w:sz w:val="24"/>
          <w:szCs w:val="24"/>
          <w:color w:val="auto"/>
        </w:rPr>
      </w:pPr>
    </w:p>
    <w:p>
      <w:pPr>
        <w:ind w:firstLine="315"/>
        <w:spacing w:after="0" w:line="22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5"/>
          <w:szCs w:val="15"/>
          <w:color w:val="auto"/>
        </w:rPr>
        <w:t xml:space="preserve"> No </w:t>
      </w:r>
      <w:r>
        <w:rPr>
          <w:rFonts w:ascii="MS PGothic" w:cs="MS PGothic" w:eastAsia="MS PGothic" w:hAnsi="MS PGothic"/>
          <w:sz w:val="18"/>
          <w:szCs w:val="18"/>
          <w:color w:val="auto"/>
        </w:rPr>
        <w:t>☐</w:t>
      </w:r>
    </w:p>
    <w:p>
      <w:pPr>
        <w:spacing w:after="0" w:line="215" w:lineRule="exact"/>
        <w:rPr>
          <w:sz w:val="24"/>
          <w:szCs w:val="24"/>
          <w:color w:val="auto"/>
        </w:rPr>
      </w:pPr>
    </w:p>
    <w:p>
      <w:pPr>
        <w:ind w:firstLine="315"/>
        <w:spacing w:after="0" w:line="31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340" w:type="dxa"/>
        <w:tblCellMar>
          <w:top w:w="0" w:type="dxa"/>
          <w:left w:w="0" w:type="dxa"/>
          <w:bottom w:w="0" w:type="dxa"/>
          <w:right w:w="0" w:type="dxa"/>
        </w:tblCellMar>
      </w:tblPr>
      <w:tr>
        <w:trPr>
          <w:trHeight w:val="246"/>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52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2"/>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31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52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2"/>
        </w:trPr>
        <w:tc>
          <w:tcPr>
            <w:tcW w:w="22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spacing w:after="0"/>
              <w:rPr>
                <w:sz w:val="22"/>
                <w:szCs w:val="22"/>
                <w:color w:val="auto"/>
              </w:rPr>
            </w:pPr>
          </w:p>
        </w:tc>
        <w:tc>
          <w:tcPr>
            <w:tcW w:w="620" w:type="dxa"/>
            <w:vAlign w:val="bottom"/>
          </w:tcPr>
          <w:p>
            <w:pPr>
              <w:spacing w:after="0"/>
              <w:rPr>
                <w:sz w:val="22"/>
                <w:szCs w:val="22"/>
                <w:color w:val="auto"/>
              </w:rPr>
            </w:pPr>
          </w:p>
        </w:tc>
      </w:tr>
    </w:tbl>
    <w:p>
      <w:pPr>
        <w:spacing w:after="0" w:line="57" w:lineRule="exact"/>
        <w:rPr>
          <w:sz w:val="24"/>
          <w:szCs w:val="24"/>
          <w:color w:val="auto"/>
        </w:rPr>
      </w:pPr>
    </w:p>
    <w:p>
      <w:pPr>
        <w:ind w:firstLine="315"/>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5" w:lineRule="exact"/>
        <w:rPr>
          <w:sz w:val="24"/>
          <w:szCs w:val="24"/>
          <w:color w:val="auto"/>
        </w:rPr>
      </w:pPr>
    </w:p>
    <w:p>
      <w:pPr>
        <w:spacing w:after="0" w:line="173" w:lineRule="exact"/>
        <w:tabs>
          <w:tab w:leader="none" w:pos="778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341" w:lineRule="exact"/>
        <w:rPr>
          <w:sz w:val="24"/>
          <w:szCs w:val="24"/>
          <w:color w:val="auto"/>
        </w:rPr>
      </w:pPr>
    </w:p>
    <w:p>
      <w:pPr>
        <w:ind w:left="320"/>
        <w:spacing w:after="0"/>
        <w:rPr>
          <w:sz w:val="20"/>
          <w:szCs w:val="20"/>
          <w:color w:val="auto"/>
        </w:rPr>
      </w:pPr>
      <w:r>
        <w:rPr>
          <w:rFonts w:ascii="Arial" w:cs="Arial" w:eastAsia="Arial" w:hAnsi="Arial"/>
          <w:sz w:val="16"/>
          <w:szCs w:val="16"/>
          <w:color w:val="auto"/>
        </w:rPr>
        <w:t>As of October 25, 2022, there were 33,064,611 shares of the registrant’s common stock outstanding,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114300</wp:posOffset>
            </wp:positionV>
            <wp:extent cx="7136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81280</wp:posOffset>
            </wp:positionV>
            <wp:extent cx="713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540" w:type="dxa"/>
            <w:vAlign w:val="bottom"/>
            <w:gridSpan w:val="2"/>
            <w:vMerge w:val="restart"/>
          </w:tcPr>
          <w:p>
            <w:pPr>
              <w:spacing w:after="0"/>
              <w:rPr>
                <w:sz w:val="20"/>
                <w:szCs w:val="20"/>
                <w:color w:val="auto"/>
              </w:rPr>
            </w:pPr>
            <w:r>
              <w:rPr>
                <w:rFonts w:ascii="Arial" w:cs="Arial" w:eastAsia="Arial" w:hAnsi="Arial"/>
                <w:sz w:val="17"/>
                <w:szCs w:val="17"/>
                <w:color w:val="auto"/>
              </w:rPr>
              <w:t>ITEM</w:t>
            </w: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9040" w:type="dxa"/>
            <w:vAlign w:val="bottom"/>
            <w:gridSpan w:val="20"/>
            <w:vMerge w:val="restart"/>
          </w:tcPr>
          <w:p>
            <w:pPr>
              <w:spacing w:after="0"/>
              <w:rPr>
                <w:sz w:val="20"/>
                <w:szCs w:val="20"/>
                <w:color w:val="auto"/>
              </w:rPr>
            </w:pPr>
            <w:r>
              <w:rPr>
                <w:rFonts w:ascii="Arial" w:cs="Arial" w:eastAsia="Arial" w:hAnsi="Arial"/>
                <w:sz w:val="17"/>
                <w:szCs w:val="17"/>
                <w:color w:val="0000FF"/>
              </w:rPr>
              <w:t>Part I. Financial Information</w:t>
            </w:r>
          </w:p>
        </w:tc>
        <w:tc>
          <w:tcPr>
            <w:tcW w:w="640" w:type="dxa"/>
            <w:vAlign w:val="bottom"/>
            <w:vMerge w:val="restart"/>
          </w:tcPr>
          <w:p>
            <w:pPr>
              <w:ind w:left="20"/>
              <w:spacing w:after="0"/>
              <w:rPr>
                <w:sz w:val="20"/>
                <w:szCs w:val="20"/>
                <w:color w:val="auto"/>
              </w:rPr>
            </w:pPr>
            <w:r>
              <w:rPr>
                <w:rFonts w:ascii="Arial" w:cs="Arial" w:eastAsia="Arial" w:hAnsi="Arial"/>
                <w:sz w:val="17"/>
                <w:szCs w:val="17"/>
                <w:color w:val="0000FF"/>
              </w:rPr>
              <w:t>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40" w:type="dxa"/>
            <w:vAlign w:val="bottom"/>
            <w:gridSpan w:val="20"/>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Arial" w:cs="Arial" w:eastAsia="Arial" w:hAnsi="Arial"/>
                <w:sz w:val="17"/>
                <w:szCs w:val="17"/>
                <w:color w:val="auto"/>
              </w:rPr>
              <w:t>1.</w:t>
            </w:r>
          </w:p>
        </w:tc>
        <w:tc>
          <w:tcPr>
            <w:tcW w:w="800" w:type="dxa"/>
            <w:vAlign w:val="bottom"/>
          </w:tcPr>
          <w:p>
            <w:pPr>
              <w:spacing w:after="0"/>
              <w:rPr>
                <w:sz w:val="22"/>
                <w:szCs w:val="22"/>
                <w:color w:val="auto"/>
              </w:rPr>
            </w:pPr>
          </w:p>
        </w:tc>
        <w:tc>
          <w:tcPr>
            <w:tcW w:w="9040" w:type="dxa"/>
            <w:vAlign w:val="bottom"/>
            <w:gridSpan w:val="20"/>
          </w:tcPr>
          <w:p>
            <w:pPr>
              <w:spacing w:after="0"/>
              <w:rPr>
                <w:sz w:val="20"/>
                <w:szCs w:val="20"/>
                <w:color w:val="auto"/>
              </w:rPr>
            </w:pPr>
            <w:r>
              <w:rPr>
                <w:rFonts w:ascii="Arial" w:cs="Arial" w:eastAsia="Arial" w:hAnsi="Arial"/>
                <w:sz w:val="17"/>
                <w:szCs w:val="17"/>
                <w:color w:val="0000FF"/>
              </w:rPr>
              <w:t>FINANCIAL STATEMENTS (UNAUDITED)</w:t>
            </w: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580" w:type="dxa"/>
            <w:vAlign w:val="bottom"/>
            <w:tcBorders>
              <w:bottom w:val="single" w:sz="8" w:color="0000FF"/>
            </w:tcBorders>
            <w:gridSpan w:val="13"/>
          </w:tcPr>
          <w:p>
            <w:pPr>
              <w:spacing w:after="0"/>
              <w:rPr>
                <w:sz w:val="20"/>
                <w:szCs w:val="20"/>
                <w:color w:val="auto"/>
              </w:rPr>
            </w:pPr>
            <w:r>
              <w:rPr>
                <w:rFonts w:ascii="Arial" w:cs="Arial" w:eastAsia="Arial" w:hAnsi="Arial"/>
                <w:sz w:val="17"/>
                <w:szCs w:val="17"/>
                <w:color w:val="0000FF"/>
                <w:w w:val="91"/>
              </w:rPr>
              <w:t>Consolidated Balance Sheets as of September 30, 2022 and December 31, 2021</w:t>
            </w:r>
          </w:p>
        </w:tc>
        <w:tc>
          <w:tcPr>
            <w:tcW w:w="3260" w:type="dxa"/>
            <w:vAlign w:val="bottom"/>
            <w:gridSpan w:val="6"/>
          </w:tcPr>
          <w:p>
            <w:pPr>
              <w:spacing w:after="0"/>
              <w:rPr>
                <w:sz w:val="17"/>
                <w:szCs w:val="17"/>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40" w:type="dxa"/>
            <w:vAlign w:val="bottom"/>
            <w:tcBorders>
              <w:bottom w:val="single" w:sz="8" w:color="0000FF"/>
            </w:tcBorders>
            <w:gridSpan w:val="17"/>
          </w:tcPr>
          <w:p>
            <w:pPr>
              <w:spacing w:after="0"/>
              <w:rPr>
                <w:sz w:val="20"/>
                <w:szCs w:val="20"/>
                <w:color w:val="auto"/>
              </w:rPr>
            </w:pPr>
            <w:r>
              <w:rPr>
                <w:rFonts w:ascii="Arial" w:cs="Arial" w:eastAsia="Arial" w:hAnsi="Arial"/>
                <w:sz w:val="17"/>
                <w:szCs w:val="17"/>
                <w:color w:val="0000FF"/>
                <w:w w:val="92"/>
              </w:rPr>
              <w:t>Consolidated Statements of Income for the Three and Nine Months Ended September 30, 2022 and 2021</w:t>
            </w:r>
          </w:p>
        </w:tc>
        <w:tc>
          <w:tcPr>
            <w:tcW w:w="1500" w:type="dxa"/>
            <w:vAlign w:val="bottom"/>
            <w:gridSpan w:val="2"/>
          </w:tcPr>
          <w:p>
            <w:pPr>
              <w:spacing w:after="0"/>
              <w:rPr>
                <w:sz w:val="17"/>
                <w:szCs w:val="17"/>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80" w:type="dxa"/>
            <w:vAlign w:val="bottom"/>
            <w:tcBorders>
              <w:bottom w:val="single" w:sz="8" w:color="0000FF"/>
            </w:tcBorders>
            <w:gridSpan w:val="18"/>
          </w:tcPr>
          <w:p>
            <w:pPr>
              <w:spacing w:after="0"/>
              <w:rPr>
                <w:sz w:val="20"/>
                <w:szCs w:val="20"/>
                <w:color w:val="auto"/>
              </w:rPr>
            </w:pPr>
            <w:r>
              <w:rPr>
                <w:rFonts w:ascii="Arial" w:cs="Arial" w:eastAsia="Arial" w:hAnsi="Arial"/>
                <w:sz w:val="17"/>
                <w:szCs w:val="17"/>
                <w:color w:val="0000FF"/>
                <w:w w:val="92"/>
              </w:rPr>
              <w:t>Consolidated Statements of Comprehensive Income for the Three and Nine Months Ended September 30, 2022 and 2021</w:t>
            </w:r>
          </w:p>
        </w:tc>
        <w:tc>
          <w:tcPr>
            <w:tcW w:w="360" w:type="dxa"/>
            <w:vAlign w:val="bottom"/>
          </w:tcPr>
          <w:p>
            <w:pPr>
              <w:spacing w:after="0"/>
              <w:rPr>
                <w:sz w:val="17"/>
                <w:szCs w:val="17"/>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80" w:type="dxa"/>
            <w:vAlign w:val="bottom"/>
            <w:tcBorders>
              <w:bottom w:val="single" w:sz="8" w:color="0000FF"/>
            </w:tcBorders>
            <w:gridSpan w:val="16"/>
          </w:tcPr>
          <w:p>
            <w:pPr>
              <w:spacing w:after="0"/>
              <w:rPr>
                <w:sz w:val="20"/>
                <w:szCs w:val="20"/>
                <w:color w:val="auto"/>
              </w:rPr>
            </w:pPr>
            <w:r>
              <w:rPr>
                <w:rFonts w:ascii="Arial" w:cs="Arial" w:eastAsia="Arial" w:hAnsi="Arial"/>
                <w:sz w:val="17"/>
                <w:szCs w:val="17"/>
                <w:color w:val="0000FF"/>
                <w:w w:val="92"/>
              </w:rPr>
              <w:t>Consolidated Statements of Equity for the Three and Nine Months Ended September 30, 2022 and 2021</w:t>
            </w:r>
          </w:p>
        </w:tc>
        <w:tc>
          <w:tcPr>
            <w:tcW w:w="1560" w:type="dxa"/>
            <w:vAlign w:val="bottom"/>
            <w:gridSpan w:val="3"/>
          </w:tcPr>
          <w:p>
            <w:pPr>
              <w:spacing w:after="0"/>
              <w:rPr>
                <w:sz w:val="17"/>
                <w:szCs w:val="17"/>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40" w:type="dxa"/>
            <w:vAlign w:val="bottom"/>
            <w:gridSpan w:val="19"/>
          </w:tcPr>
          <w:p>
            <w:pPr>
              <w:spacing w:after="0"/>
              <w:rPr>
                <w:sz w:val="20"/>
                <w:szCs w:val="20"/>
                <w:color w:val="auto"/>
              </w:rPr>
            </w:pPr>
            <w:r>
              <w:rPr>
                <w:rFonts w:ascii="Arial" w:cs="Arial" w:eastAsia="Arial" w:hAnsi="Arial"/>
                <w:sz w:val="17"/>
                <w:szCs w:val="17"/>
                <w:color w:val="0000FF"/>
              </w:rPr>
              <w:t>Consolidated Statements of Cash Flows for the Nine Months Ended September 30, 2022 and 2021</w:t>
            </w:r>
          </w:p>
        </w:tc>
        <w:tc>
          <w:tcPr>
            <w:tcW w:w="640" w:type="dxa"/>
            <w:vAlign w:val="bottom"/>
          </w:tcPr>
          <w:p>
            <w:pPr>
              <w:ind w:left="20"/>
              <w:spacing w:after="0"/>
              <w:rPr>
                <w:sz w:val="20"/>
                <w:szCs w:val="20"/>
                <w:color w:val="auto"/>
              </w:rPr>
            </w:pPr>
            <w:r>
              <w:rPr>
                <w:rFonts w:ascii="Arial" w:cs="Arial" w:eastAsia="Arial" w:hAnsi="Arial"/>
                <w:sz w:val="17"/>
                <w:szCs w:val="17"/>
                <w:color w:val="0000FF"/>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80" w:type="dxa"/>
            <w:vAlign w:val="bottom"/>
            <w:tcBorders>
              <w:top w:val="single" w:sz="8" w:color="0000FF"/>
            </w:tcBorders>
            <w:gridSpan w:val="15"/>
          </w:tcPr>
          <w:p>
            <w:pPr>
              <w:spacing w:after="0"/>
              <w:rPr>
                <w:sz w:val="20"/>
                <w:szCs w:val="20"/>
                <w:color w:val="auto"/>
              </w:rPr>
            </w:pPr>
            <w:r>
              <w:rPr>
                <w:rFonts w:ascii="Arial" w:cs="Arial" w:eastAsia="Arial" w:hAnsi="Arial"/>
                <w:sz w:val="17"/>
                <w:szCs w:val="17"/>
                <w:color w:val="0000FF"/>
              </w:rPr>
              <w:t>Notes to Consolidated Financial Statements</w:t>
            </w:r>
          </w:p>
        </w:tc>
        <w:tc>
          <w:tcPr>
            <w:tcW w:w="1960" w:type="dxa"/>
            <w:vAlign w:val="bottom"/>
            <w:gridSpan w:val="4"/>
          </w:tcPr>
          <w:p>
            <w:pPr>
              <w:spacing w:after="0"/>
              <w:rPr>
                <w:sz w:val="17"/>
                <w:szCs w:val="17"/>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Arial" w:cs="Arial" w:eastAsia="Arial" w:hAnsi="Arial"/>
                <w:sz w:val="17"/>
                <w:szCs w:val="17"/>
                <w:color w:val="auto"/>
              </w:rPr>
              <w:t>2.</w:t>
            </w:r>
          </w:p>
        </w:tc>
        <w:tc>
          <w:tcPr>
            <w:tcW w:w="800" w:type="dxa"/>
            <w:vAlign w:val="bottom"/>
          </w:tcPr>
          <w:p>
            <w:pPr>
              <w:spacing w:after="0"/>
              <w:rPr>
                <w:sz w:val="22"/>
                <w:szCs w:val="22"/>
                <w:color w:val="auto"/>
              </w:rPr>
            </w:pPr>
          </w:p>
        </w:tc>
        <w:tc>
          <w:tcPr>
            <w:tcW w:w="9040" w:type="dxa"/>
            <w:vAlign w:val="bottom"/>
            <w:gridSpan w:val="20"/>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640" w:type="dxa"/>
            <w:vAlign w:val="bottom"/>
          </w:tcPr>
          <w:p>
            <w:pPr>
              <w:ind w:left="20"/>
              <w:spacing w:after="0"/>
              <w:rPr>
                <w:sz w:val="20"/>
                <w:szCs w:val="20"/>
                <w:color w:val="auto"/>
              </w:rPr>
            </w:pPr>
            <w:r>
              <w:rPr>
                <w:rFonts w:ascii="Arial" w:cs="Arial" w:eastAsia="Arial" w:hAnsi="Arial"/>
                <w:sz w:val="17"/>
                <w:szCs w:val="17"/>
                <w:color w:val="0000FF"/>
              </w:rPr>
              <w:t>44</w:t>
            </w:r>
          </w:p>
        </w:tc>
        <w:tc>
          <w:tcPr>
            <w:tcW w:w="0" w:type="dxa"/>
            <w:vAlign w:val="bottom"/>
          </w:tcPr>
          <w:p>
            <w:pPr>
              <w:spacing w:after="0"/>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Arial" w:cs="Arial" w:eastAsia="Arial" w:hAnsi="Arial"/>
                <w:sz w:val="17"/>
                <w:szCs w:val="17"/>
                <w:color w:val="auto"/>
              </w:rPr>
              <w:t>3.</w:t>
            </w:r>
          </w:p>
        </w:tc>
        <w:tc>
          <w:tcPr>
            <w:tcW w:w="800" w:type="dxa"/>
            <w:vAlign w:val="bottom"/>
          </w:tcPr>
          <w:p>
            <w:pPr>
              <w:spacing w:after="0"/>
              <w:rPr>
                <w:sz w:val="22"/>
                <w:szCs w:val="22"/>
                <w:color w:val="auto"/>
              </w:rPr>
            </w:pPr>
          </w:p>
        </w:tc>
        <w:tc>
          <w:tcPr>
            <w:tcW w:w="426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7"/>
                <w:szCs w:val="17"/>
                <w:color w:val="0000FF"/>
                <w:w w:val="95"/>
              </w:rPr>
              <w:t>Quantitative and Qualitative Disclosures About Market Risk</w:t>
            </w:r>
          </w:p>
        </w:tc>
        <w:tc>
          <w:tcPr>
            <w:tcW w:w="2020" w:type="dxa"/>
            <w:vAlign w:val="bottom"/>
            <w:tcBorders>
              <w:top w:val="single" w:sz="8" w:color="0000FF"/>
            </w:tcBorders>
            <w:gridSpan w:val="2"/>
          </w:tcPr>
          <w:p>
            <w:pPr>
              <w:spacing w:after="0"/>
              <w:rPr>
                <w:sz w:val="22"/>
                <w:szCs w:val="22"/>
                <w:color w:val="auto"/>
              </w:rPr>
            </w:pPr>
          </w:p>
        </w:tc>
        <w:tc>
          <w:tcPr>
            <w:tcW w:w="2760" w:type="dxa"/>
            <w:vAlign w:val="bottom"/>
            <w:gridSpan w:val="5"/>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61</w:t>
            </w:r>
          </w:p>
        </w:tc>
        <w:tc>
          <w:tcPr>
            <w:tcW w:w="0" w:type="dxa"/>
            <w:vAlign w:val="bottom"/>
          </w:tcPr>
          <w:p>
            <w:pPr>
              <w:spacing w:after="0"/>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Arial" w:cs="Arial" w:eastAsia="Arial" w:hAnsi="Arial"/>
                <w:sz w:val="17"/>
                <w:szCs w:val="17"/>
                <w:color w:val="auto"/>
              </w:rPr>
              <w:t>4.</w:t>
            </w:r>
          </w:p>
        </w:tc>
        <w:tc>
          <w:tcPr>
            <w:tcW w:w="800" w:type="dxa"/>
            <w:vAlign w:val="bottom"/>
          </w:tcPr>
          <w:p>
            <w:pPr>
              <w:spacing w:after="0"/>
              <w:rPr>
                <w:sz w:val="22"/>
                <w:szCs w:val="22"/>
                <w:color w:val="auto"/>
              </w:rPr>
            </w:pPr>
          </w:p>
        </w:tc>
        <w:tc>
          <w:tcPr>
            <w:tcW w:w="174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91"/>
              </w:rPr>
              <w:t>Controls and Procedures</w:t>
            </w:r>
          </w:p>
        </w:tc>
        <w:tc>
          <w:tcPr>
            <w:tcW w:w="7300" w:type="dxa"/>
            <w:vAlign w:val="bottom"/>
            <w:gridSpan w:val="13"/>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61</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w w:val="96"/>
              </w:rPr>
              <w:t>Part II. Other Information</w:t>
            </w:r>
          </w:p>
        </w:tc>
        <w:tc>
          <w:tcPr>
            <w:tcW w:w="7220" w:type="dxa"/>
            <w:vAlign w:val="bottom"/>
            <w:gridSpan w:val="12"/>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61</w:t>
            </w:r>
          </w:p>
        </w:tc>
        <w:tc>
          <w:tcPr>
            <w:tcW w:w="0" w:type="dxa"/>
            <w:vAlign w:val="bottom"/>
          </w:tcPr>
          <w:p>
            <w:pPr>
              <w:spacing w:after="0"/>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Arial" w:cs="Arial" w:eastAsia="Arial" w:hAnsi="Arial"/>
                <w:sz w:val="17"/>
                <w:szCs w:val="17"/>
                <w:color w:val="auto"/>
              </w:rPr>
              <w:t>1.</w:t>
            </w:r>
          </w:p>
        </w:tc>
        <w:tc>
          <w:tcPr>
            <w:tcW w:w="800" w:type="dxa"/>
            <w:vAlign w:val="bottom"/>
          </w:tcPr>
          <w:p>
            <w:pPr>
              <w:spacing w:after="0"/>
              <w:rPr>
                <w:sz w:val="22"/>
                <w:szCs w:val="22"/>
                <w:color w:val="auto"/>
              </w:rPr>
            </w:pPr>
          </w:p>
        </w:tc>
        <w:tc>
          <w:tcPr>
            <w:tcW w:w="9040" w:type="dxa"/>
            <w:vAlign w:val="bottom"/>
            <w:gridSpan w:val="20"/>
          </w:tcPr>
          <w:p>
            <w:pPr>
              <w:spacing w:after="0"/>
              <w:rPr>
                <w:sz w:val="20"/>
                <w:szCs w:val="20"/>
                <w:color w:val="auto"/>
              </w:rPr>
            </w:pPr>
            <w:r>
              <w:rPr>
                <w:rFonts w:ascii="Arial" w:cs="Arial" w:eastAsia="Arial" w:hAnsi="Arial"/>
                <w:sz w:val="17"/>
                <w:szCs w:val="17"/>
                <w:color w:val="0000FF"/>
              </w:rPr>
              <w:t>Legal Proceedings</w:t>
            </w:r>
          </w:p>
        </w:tc>
        <w:tc>
          <w:tcPr>
            <w:tcW w:w="640" w:type="dxa"/>
            <w:vAlign w:val="bottom"/>
          </w:tcPr>
          <w:p>
            <w:pPr>
              <w:ind w:left="20"/>
              <w:spacing w:after="0"/>
              <w:rPr>
                <w:sz w:val="20"/>
                <w:szCs w:val="20"/>
                <w:color w:val="auto"/>
              </w:rPr>
            </w:pPr>
            <w:r>
              <w:rPr>
                <w:rFonts w:ascii="Arial" w:cs="Arial" w:eastAsia="Arial" w:hAnsi="Arial"/>
                <w:sz w:val="17"/>
                <w:szCs w:val="17"/>
                <w:color w:val="0000FF"/>
              </w:rPr>
              <w:t>61</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7"/>
                <w:szCs w:val="17"/>
                <w:color w:val="auto"/>
              </w:rPr>
              <w:t>1A.</w:t>
            </w:r>
          </w:p>
        </w:tc>
        <w:tc>
          <w:tcPr>
            <w:tcW w:w="1300" w:type="dxa"/>
            <w:vAlign w:val="bottom"/>
            <w:tcBorders>
              <w:top w:val="single" w:sz="8" w:color="0000FF"/>
            </w:tcBorders>
            <w:gridSpan w:val="5"/>
          </w:tcPr>
          <w:p>
            <w:pPr>
              <w:spacing w:after="0"/>
              <w:rPr>
                <w:sz w:val="20"/>
                <w:szCs w:val="20"/>
                <w:color w:val="auto"/>
              </w:rPr>
            </w:pPr>
            <w:r>
              <w:rPr>
                <w:rFonts w:ascii="Arial" w:cs="Arial" w:eastAsia="Arial" w:hAnsi="Arial"/>
                <w:sz w:val="17"/>
                <w:szCs w:val="17"/>
                <w:color w:val="0000FF"/>
              </w:rPr>
              <w:t>Risk Factors</w:t>
            </w:r>
          </w:p>
        </w:tc>
        <w:tc>
          <w:tcPr>
            <w:tcW w:w="7740" w:type="dxa"/>
            <w:vAlign w:val="bottom"/>
            <w:gridSpan w:val="15"/>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Arial" w:cs="Arial" w:eastAsia="Arial" w:hAnsi="Arial"/>
                <w:sz w:val="17"/>
                <w:szCs w:val="17"/>
                <w:color w:val="auto"/>
              </w:rPr>
              <w:t>2.</w:t>
            </w:r>
          </w:p>
        </w:tc>
        <w:tc>
          <w:tcPr>
            <w:tcW w:w="800" w:type="dxa"/>
            <w:vAlign w:val="bottom"/>
          </w:tcPr>
          <w:p>
            <w:pPr>
              <w:spacing w:after="0"/>
              <w:rPr>
                <w:sz w:val="22"/>
                <w:szCs w:val="22"/>
                <w:color w:val="auto"/>
              </w:rPr>
            </w:pPr>
          </w:p>
        </w:tc>
        <w:tc>
          <w:tcPr>
            <w:tcW w:w="4240" w:type="dxa"/>
            <w:vAlign w:val="bottom"/>
            <w:tcBorders>
              <w:bottom w:val="single" w:sz="8" w:color="0000FF"/>
            </w:tcBorders>
            <w:gridSpan w:val="12"/>
          </w:tcPr>
          <w:p>
            <w:pPr>
              <w:spacing w:after="0"/>
              <w:rPr>
                <w:sz w:val="20"/>
                <w:szCs w:val="20"/>
                <w:color w:val="auto"/>
              </w:rPr>
            </w:pPr>
            <w:r>
              <w:rPr>
                <w:rFonts w:ascii="Arial" w:cs="Arial" w:eastAsia="Arial" w:hAnsi="Arial"/>
                <w:sz w:val="17"/>
                <w:szCs w:val="17"/>
                <w:color w:val="0000FF"/>
                <w:w w:val="92"/>
              </w:rPr>
              <w:t>Unregistered Sales of Equity Securities and Use of Proceeds</w:t>
            </w:r>
          </w:p>
        </w:tc>
        <w:tc>
          <w:tcPr>
            <w:tcW w:w="4800" w:type="dxa"/>
            <w:vAlign w:val="bottom"/>
            <w:gridSpan w:val="8"/>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62</w:t>
            </w:r>
          </w:p>
        </w:tc>
        <w:tc>
          <w:tcPr>
            <w:tcW w:w="0" w:type="dxa"/>
            <w:vAlign w:val="bottom"/>
          </w:tcPr>
          <w:p>
            <w:pPr>
              <w:spacing w:after="0"/>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Arial" w:cs="Arial" w:eastAsia="Arial" w:hAnsi="Arial"/>
                <w:sz w:val="17"/>
                <w:szCs w:val="17"/>
                <w:color w:val="auto"/>
              </w:rPr>
              <w:t>3.</w:t>
            </w:r>
          </w:p>
        </w:tc>
        <w:tc>
          <w:tcPr>
            <w:tcW w:w="800" w:type="dxa"/>
            <w:vAlign w:val="bottom"/>
          </w:tcPr>
          <w:p>
            <w:pPr>
              <w:spacing w:after="0"/>
              <w:rPr>
                <w:sz w:val="22"/>
                <w:szCs w:val="22"/>
                <w:color w:val="auto"/>
              </w:rPr>
            </w:pPr>
          </w:p>
        </w:tc>
        <w:tc>
          <w:tcPr>
            <w:tcW w:w="9040" w:type="dxa"/>
            <w:vAlign w:val="bottom"/>
            <w:gridSpan w:val="20"/>
          </w:tcPr>
          <w:p>
            <w:pPr>
              <w:spacing w:after="0"/>
              <w:rPr>
                <w:sz w:val="20"/>
                <w:szCs w:val="20"/>
                <w:color w:val="auto"/>
              </w:rPr>
            </w:pPr>
            <w:r>
              <w:rPr>
                <w:rFonts w:ascii="Arial" w:cs="Arial" w:eastAsia="Arial" w:hAnsi="Arial"/>
                <w:sz w:val="17"/>
                <w:szCs w:val="17"/>
                <w:color w:val="0000FF"/>
              </w:rPr>
              <w:t>Defaults Upon Senior Securities</w:t>
            </w:r>
          </w:p>
        </w:tc>
        <w:tc>
          <w:tcPr>
            <w:tcW w:w="640" w:type="dxa"/>
            <w:vAlign w:val="bottom"/>
          </w:tcPr>
          <w:p>
            <w:pPr>
              <w:ind w:left="20"/>
              <w:spacing w:after="0"/>
              <w:rPr>
                <w:sz w:val="20"/>
                <w:szCs w:val="20"/>
                <w:color w:val="auto"/>
              </w:rPr>
            </w:pPr>
            <w:r>
              <w:rPr>
                <w:rFonts w:ascii="Arial" w:cs="Arial" w:eastAsia="Arial" w:hAnsi="Arial"/>
                <w:sz w:val="17"/>
                <w:szCs w:val="17"/>
                <w:color w:val="0000FF"/>
              </w:rPr>
              <w:t>62</w:t>
            </w:r>
          </w:p>
        </w:tc>
        <w:tc>
          <w:tcPr>
            <w:tcW w:w="0" w:type="dxa"/>
            <w:vAlign w:val="bottom"/>
          </w:tcPr>
          <w:p>
            <w:pPr>
              <w:spacing w:after="0"/>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Arial" w:cs="Arial" w:eastAsia="Arial" w:hAnsi="Arial"/>
                <w:sz w:val="17"/>
                <w:szCs w:val="17"/>
                <w:color w:val="auto"/>
              </w:rPr>
              <w:t>4.</w:t>
            </w:r>
          </w:p>
        </w:tc>
        <w:tc>
          <w:tcPr>
            <w:tcW w:w="800" w:type="dxa"/>
            <w:vAlign w:val="bottom"/>
          </w:tcPr>
          <w:p>
            <w:pPr>
              <w:spacing w:after="0"/>
              <w:rPr>
                <w:sz w:val="22"/>
                <w:szCs w:val="22"/>
                <w:color w:val="auto"/>
              </w:rPr>
            </w:pPr>
          </w:p>
        </w:tc>
        <w:tc>
          <w:tcPr>
            <w:tcW w:w="2260" w:type="dxa"/>
            <w:vAlign w:val="bottom"/>
            <w:tcBorders>
              <w:top w:val="single" w:sz="8" w:color="0000FF"/>
            </w:tcBorders>
            <w:gridSpan w:val="10"/>
          </w:tcPr>
          <w:p>
            <w:pPr>
              <w:spacing w:after="0"/>
              <w:rPr>
                <w:sz w:val="20"/>
                <w:szCs w:val="20"/>
                <w:color w:val="auto"/>
              </w:rPr>
            </w:pPr>
            <w:r>
              <w:rPr>
                <w:rFonts w:ascii="Arial" w:cs="Arial" w:eastAsia="Arial" w:hAnsi="Arial"/>
                <w:sz w:val="17"/>
                <w:szCs w:val="17"/>
                <w:color w:val="0000FF"/>
              </w:rPr>
              <w:t>Mine Safety Disclosures</w:t>
            </w:r>
          </w:p>
        </w:tc>
        <w:tc>
          <w:tcPr>
            <w:tcW w:w="6780" w:type="dxa"/>
            <w:vAlign w:val="bottom"/>
            <w:gridSpan w:val="10"/>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62</w:t>
            </w:r>
          </w:p>
        </w:tc>
        <w:tc>
          <w:tcPr>
            <w:tcW w:w="0" w:type="dxa"/>
            <w:vAlign w:val="bottom"/>
          </w:tcPr>
          <w:p>
            <w:pPr>
              <w:spacing w:after="0"/>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Arial" w:cs="Arial" w:eastAsia="Arial" w:hAnsi="Arial"/>
                <w:sz w:val="17"/>
                <w:szCs w:val="17"/>
                <w:color w:val="auto"/>
              </w:rPr>
              <w:t>5.</w:t>
            </w:r>
          </w:p>
        </w:tc>
        <w:tc>
          <w:tcPr>
            <w:tcW w:w="800" w:type="dxa"/>
            <w:vAlign w:val="bottom"/>
          </w:tcPr>
          <w:p>
            <w:pPr>
              <w:spacing w:after="0"/>
              <w:rPr>
                <w:sz w:val="22"/>
                <w:szCs w:val="22"/>
                <w:color w:val="auto"/>
              </w:rPr>
            </w:pPr>
          </w:p>
        </w:tc>
        <w:tc>
          <w:tcPr>
            <w:tcW w:w="1720" w:type="dxa"/>
            <w:vAlign w:val="bottom"/>
            <w:tcBorders>
              <w:top w:val="single" w:sz="8" w:color="0000FF"/>
            </w:tcBorders>
            <w:gridSpan w:val="6"/>
          </w:tcPr>
          <w:p>
            <w:pPr>
              <w:spacing w:after="0"/>
              <w:rPr>
                <w:sz w:val="20"/>
                <w:szCs w:val="20"/>
                <w:color w:val="auto"/>
              </w:rPr>
            </w:pPr>
            <w:r>
              <w:rPr>
                <w:rFonts w:ascii="Arial" w:cs="Arial" w:eastAsia="Arial" w:hAnsi="Arial"/>
                <w:sz w:val="17"/>
                <w:szCs w:val="17"/>
                <w:color w:val="0000FF"/>
              </w:rPr>
              <w:t>Other Information</w:t>
            </w:r>
          </w:p>
        </w:tc>
        <w:tc>
          <w:tcPr>
            <w:tcW w:w="7320" w:type="dxa"/>
            <w:vAlign w:val="bottom"/>
            <w:gridSpan w:val="14"/>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62</w:t>
            </w:r>
          </w:p>
        </w:tc>
        <w:tc>
          <w:tcPr>
            <w:tcW w:w="0" w:type="dxa"/>
            <w:vAlign w:val="bottom"/>
          </w:tcPr>
          <w:p>
            <w:pPr>
              <w:spacing w:after="0"/>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Arial" w:cs="Arial" w:eastAsia="Arial" w:hAnsi="Arial"/>
                <w:sz w:val="17"/>
                <w:szCs w:val="17"/>
                <w:color w:val="auto"/>
              </w:rPr>
              <w:t>6.</w:t>
            </w:r>
          </w:p>
        </w:tc>
        <w:tc>
          <w:tcPr>
            <w:tcW w:w="800" w:type="dxa"/>
            <w:vAlign w:val="bottom"/>
          </w:tcPr>
          <w:p>
            <w:pPr>
              <w:spacing w:after="0"/>
              <w:rPr>
                <w:sz w:val="22"/>
                <w:szCs w:val="22"/>
                <w:color w:val="auto"/>
              </w:rPr>
            </w:pPr>
          </w:p>
        </w:tc>
        <w:tc>
          <w:tcPr>
            <w:tcW w:w="128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0000FF"/>
              </w:rPr>
              <w:t>Exhibits</w:t>
            </w:r>
          </w:p>
        </w:tc>
        <w:tc>
          <w:tcPr>
            <w:tcW w:w="7760" w:type="dxa"/>
            <w:vAlign w:val="bottom"/>
            <w:gridSpan w:val="16"/>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63</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7"/>
                <w:szCs w:val="17"/>
                <w:color w:val="0000FF"/>
              </w:rPr>
              <w:t>Signatures</w:t>
            </w:r>
          </w:p>
        </w:tc>
        <w:tc>
          <w:tcPr>
            <w:tcW w:w="20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64</w:t>
            </w:r>
          </w:p>
        </w:tc>
        <w:tc>
          <w:tcPr>
            <w:tcW w:w="0" w:type="dxa"/>
            <w:vAlign w:val="bottom"/>
          </w:tcPr>
          <w:p>
            <w:pPr>
              <w:spacing w:after="0"/>
              <w:rPr>
                <w:sz w:val="1"/>
                <w:szCs w:val="1"/>
                <w:color w:val="auto"/>
              </w:rPr>
            </w:pPr>
          </w:p>
        </w:tc>
      </w:tr>
      <w:tr>
        <w:trPr>
          <w:trHeight w:val="884"/>
        </w:trPr>
        <w:tc>
          <w:tcPr>
            <w:tcW w:w="2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800" w:type="dxa"/>
            <w:vAlign w:val="bottom"/>
          </w:tcPr>
          <w:p>
            <w:pPr>
              <w:spacing w:after="0"/>
              <w:rPr>
                <w:sz w:val="24"/>
                <w:szCs w:val="24"/>
                <w:color w:val="auto"/>
              </w:rPr>
            </w:pPr>
          </w:p>
        </w:tc>
        <w:tc>
          <w:tcPr>
            <w:tcW w:w="4240" w:type="dxa"/>
            <w:vAlign w:val="bottom"/>
            <w:gridSpan w:val="12"/>
          </w:tcPr>
          <w:p>
            <w:pPr>
              <w:ind w:left="4020"/>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 FINANCIAL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EXLSERVICE HOLDINGS, INC.</w:t>
      </w:r>
    </w:p>
    <w:p>
      <w:pPr>
        <w:spacing w:after="0" w:line="14"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CONSOLIDATED BALANCE SHEETS (UNAUDITED)</w:t>
      </w:r>
    </w:p>
    <w:p>
      <w:pPr>
        <w:spacing w:after="0" w:line="14"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74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66"/>
              <w:spacing w:after="0"/>
              <w:rPr>
                <w:sz w:val="20"/>
                <w:szCs w:val="20"/>
                <w:color w:val="auto"/>
              </w:rPr>
            </w:pPr>
            <w:r>
              <w:rPr>
                <w:rFonts w:ascii="Arial" w:cs="Arial" w:eastAsia="Arial" w:hAnsi="Arial"/>
                <w:sz w:val="15"/>
                <w:szCs w:val="15"/>
                <w:b w:val="1"/>
                <w:bCs w:val="1"/>
                <w:color w:val="auto"/>
              </w:rPr>
              <w:t>As of</w:t>
            </w: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2"/>
          </w:tcPr>
          <w:p>
            <w:pPr>
              <w:ind w:left="120"/>
              <w:spacing w:after="0"/>
              <w:rPr>
                <w:sz w:val="20"/>
                <w:szCs w:val="20"/>
                <w:color w:val="auto"/>
              </w:rPr>
            </w:pPr>
            <w:r>
              <w:rPr>
                <w:rFonts w:ascii="Arial" w:cs="Arial" w:eastAsia="Arial" w:hAnsi="Arial"/>
                <w:sz w:val="15"/>
                <w:szCs w:val="15"/>
                <w:b w:val="1"/>
                <w:bCs w:val="1"/>
                <w:color w:val="auto"/>
              </w:rPr>
              <w:t>September 30, 2022</w:t>
            </w:r>
          </w:p>
        </w:tc>
        <w:tc>
          <w:tcPr>
            <w:tcW w:w="200" w:type="dxa"/>
            <w:vAlign w:val="bottom"/>
          </w:tcPr>
          <w:p>
            <w:pPr>
              <w:spacing w:after="0"/>
              <w:rPr>
                <w:sz w:val="16"/>
                <w:szCs w:val="16"/>
                <w:color w:val="auto"/>
              </w:rPr>
            </w:pPr>
          </w:p>
        </w:tc>
        <w:tc>
          <w:tcPr>
            <w:tcW w:w="1560" w:type="dxa"/>
            <w:vAlign w:val="bottom"/>
          </w:tcPr>
          <w:p>
            <w:pPr>
              <w:jc w:val="right"/>
              <w:ind w:right="206"/>
              <w:spacing w:after="0"/>
              <w:rPr>
                <w:sz w:val="20"/>
                <w:szCs w:val="20"/>
                <w:color w:val="auto"/>
              </w:rPr>
            </w:pPr>
            <w:r>
              <w:rPr>
                <w:rFonts w:ascii="Arial" w:cs="Arial" w:eastAsia="Arial" w:hAnsi="Arial"/>
                <w:sz w:val="15"/>
                <w:szCs w:val="15"/>
                <w:b w:val="1"/>
                <w:bCs w:val="1"/>
                <w:color w:val="auto"/>
                <w:w w:val="93"/>
              </w:rPr>
              <w:t>December 31, 2021</w:t>
            </w:r>
          </w:p>
        </w:tc>
        <w:tc>
          <w:tcPr>
            <w:tcW w:w="0" w:type="dxa"/>
            <w:vAlign w:val="bottom"/>
          </w:tcPr>
          <w:p>
            <w:pPr>
              <w:spacing w:after="0"/>
              <w:rPr>
                <w:sz w:val="1"/>
                <w:szCs w:val="1"/>
                <w:color w:val="auto"/>
              </w:rPr>
            </w:pPr>
          </w:p>
        </w:tc>
      </w:tr>
      <w:tr>
        <w:trPr>
          <w:trHeight w:val="179"/>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42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4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Cash and cash equivalents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89,262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135,337</w:t>
            </w: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Arial" w:cs="Arial" w:eastAsia="Arial" w:hAnsi="Arial"/>
                <w:sz w:val="15"/>
                <w:szCs w:val="15"/>
                <w:color w:val="auto"/>
              </w:rPr>
              <w:t>Short-term investments</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172,889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179,430</w:t>
            </w:r>
          </w:p>
        </w:tc>
        <w:tc>
          <w:tcPr>
            <w:tcW w:w="0" w:type="dxa"/>
            <w:vAlign w:val="bottom"/>
          </w:tcPr>
          <w:p>
            <w:pPr>
              <w:spacing w:after="0"/>
              <w:rPr>
                <w:sz w:val="1"/>
                <w:szCs w:val="1"/>
                <w:color w:val="auto"/>
              </w:rPr>
            </w:pPr>
          </w:p>
        </w:tc>
      </w:tr>
      <w:tr>
        <w:trPr>
          <w:trHeight w:val="201"/>
        </w:trPr>
        <w:tc>
          <w:tcPr>
            <w:tcW w:w="74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Restricted cash</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6,174</w:t>
            </w: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Arial" w:cs="Arial" w:eastAsia="Arial" w:hAnsi="Arial"/>
                <w:sz w:val="15"/>
                <w:szCs w:val="15"/>
                <w:color w:val="auto"/>
              </w:rPr>
              <w:t>Accounts receivable, net</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256,911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194,232</w:t>
            </w:r>
          </w:p>
        </w:tc>
        <w:tc>
          <w:tcPr>
            <w:tcW w:w="0" w:type="dxa"/>
            <w:vAlign w:val="bottom"/>
          </w:tcPr>
          <w:p>
            <w:pPr>
              <w:spacing w:after="0"/>
              <w:rPr>
                <w:sz w:val="1"/>
                <w:szCs w:val="1"/>
                <w:color w:val="auto"/>
              </w:rPr>
            </w:pPr>
          </w:p>
        </w:tc>
      </w:tr>
      <w:tr>
        <w:trPr>
          <w:trHeight w:val="214"/>
        </w:trPr>
        <w:tc>
          <w:tcPr>
            <w:tcW w:w="74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54,509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62,971</w:t>
            </w:r>
          </w:p>
        </w:tc>
        <w:tc>
          <w:tcPr>
            <w:tcW w:w="0" w:type="dxa"/>
            <w:vAlign w:val="bottom"/>
          </w:tcPr>
          <w:p>
            <w:pPr>
              <w:spacing w:after="0"/>
              <w:rPr>
                <w:sz w:val="1"/>
                <w:szCs w:val="1"/>
                <w:color w:val="auto"/>
              </w:rPr>
            </w:pPr>
          </w:p>
        </w:tc>
      </w:tr>
      <w:tr>
        <w:trPr>
          <w:trHeight w:val="188"/>
        </w:trPr>
        <w:tc>
          <w:tcPr>
            <w:tcW w:w="7420" w:type="dxa"/>
            <w:vAlign w:val="bottom"/>
          </w:tcPr>
          <w:p>
            <w:pPr>
              <w:ind w:left="20"/>
              <w:spacing w:after="0"/>
              <w:rPr>
                <w:sz w:val="20"/>
                <w:szCs w:val="20"/>
                <w:color w:val="auto"/>
              </w:rPr>
            </w:pPr>
            <w:r>
              <w:rPr>
                <w:rFonts w:ascii="Arial" w:cs="Arial" w:eastAsia="Arial" w:hAnsi="Arial"/>
                <w:sz w:val="15"/>
                <w:szCs w:val="15"/>
                <w:b w:val="1"/>
                <w:bCs w:val="1"/>
                <w:color w:val="auto"/>
              </w:rPr>
              <w:t>Total current assets</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b w:val="1"/>
                <w:bCs w:val="1"/>
                <w:color w:val="auto"/>
              </w:rPr>
              <w:t>580,584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b w:val="1"/>
                <w:bCs w:val="1"/>
                <w:color w:val="auto"/>
              </w:rPr>
              <w:t>578,144</w:t>
            </w:r>
          </w:p>
        </w:tc>
        <w:tc>
          <w:tcPr>
            <w:tcW w:w="0" w:type="dxa"/>
            <w:vAlign w:val="bottom"/>
          </w:tcPr>
          <w:p>
            <w:pPr>
              <w:spacing w:after="0"/>
              <w:rPr>
                <w:sz w:val="1"/>
                <w:szCs w:val="1"/>
                <w:color w:val="auto"/>
              </w:rPr>
            </w:pPr>
          </w:p>
        </w:tc>
      </w:tr>
      <w:tr>
        <w:trPr>
          <w:trHeight w:val="199"/>
        </w:trPr>
        <w:tc>
          <w:tcPr>
            <w:tcW w:w="7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and equipment, net</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79,933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86,008</w:t>
            </w:r>
          </w:p>
        </w:tc>
        <w:tc>
          <w:tcPr>
            <w:tcW w:w="0" w:type="dxa"/>
            <w:vAlign w:val="bottom"/>
          </w:tcPr>
          <w:p>
            <w:pPr>
              <w:spacing w:after="0"/>
              <w:rPr>
                <w:sz w:val="1"/>
                <w:szCs w:val="1"/>
                <w:color w:val="auto"/>
              </w:rPr>
            </w:pPr>
          </w:p>
        </w:tc>
      </w:tr>
      <w:tr>
        <w:trPr>
          <w:trHeight w:val="193"/>
        </w:trPr>
        <w:tc>
          <w:tcPr>
            <w:tcW w:w="7420" w:type="dxa"/>
            <w:vAlign w:val="bottom"/>
          </w:tcPr>
          <w:p>
            <w:pPr>
              <w:ind w:left="20"/>
              <w:spacing w:after="0"/>
              <w:rPr>
                <w:sz w:val="20"/>
                <w:szCs w:val="20"/>
                <w:color w:val="auto"/>
              </w:rPr>
            </w:pPr>
            <w:r>
              <w:rPr>
                <w:rFonts w:ascii="Arial" w:cs="Arial" w:eastAsia="Arial" w:hAnsi="Arial"/>
                <w:sz w:val="15"/>
                <w:szCs w:val="15"/>
                <w:color w:val="auto"/>
              </w:rPr>
              <w:t>Operating lease right-of-use assets</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61,966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76,692</w:t>
            </w:r>
          </w:p>
        </w:tc>
        <w:tc>
          <w:tcPr>
            <w:tcW w:w="0" w:type="dxa"/>
            <w:vAlign w:val="bottom"/>
          </w:tcPr>
          <w:p>
            <w:pPr>
              <w:spacing w:after="0"/>
              <w:rPr>
                <w:sz w:val="1"/>
                <w:szCs w:val="1"/>
                <w:color w:val="auto"/>
              </w:rPr>
            </w:pPr>
          </w:p>
        </w:tc>
      </w:tr>
      <w:tr>
        <w:trPr>
          <w:trHeight w:val="201"/>
        </w:trPr>
        <w:tc>
          <w:tcPr>
            <w:tcW w:w="7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cash</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2,299</w:t>
            </w:r>
          </w:p>
        </w:tc>
        <w:tc>
          <w:tcPr>
            <w:tcW w:w="0" w:type="dxa"/>
            <w:vAlign w:val="bottom"/>
          </w:tcPr>
          <w:p>
            <w:pPr>
              <w:spacing w:after="0"/>
              <w:rPr>
                <w:sz w:val="1"/>
                <w:szCs w:val="1"/>
                <w:color w:val="auto"/>
              </w:rPr>
            </w:pPr>
          </w:p>
        </w:tc>
      </w:tr>
      <w:tr>
        <w:trPr>
          <w:trHeight w:val="193"/>
        </w:trPr>
        <w:tc>
          <w:tcPr>
            <w:tcW w:w="7420" w:type="dxa"/>
            <w:vAlign w:val="bottom"/>
          </w:tcPr>
          <w:p>
            <w:pPr>
              <w:ind w:left="20"/>
              <w:spacing w:after="0"/>
              <w:rPr>
                <w:sz w:val="20"/>
                <w:szCs w:val="20"/>
                <w:color w:val="auto"/>
              </w:rPr>
            </w:pPr>
            <w:r>
              <w:rPr>
                <w:rFonts w:ascii="Arial" w:cs="Arial" w:eastAsia="Arial" w:hAnsi="Arial"/>
                <w:sz w:val="15"/>
                <w:szCs w:val="15"/>
                <w:color w:val="auto"/>
              </w:rPr>
              <w:t>Deferred tax assets, net</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54,898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21,404</w:t>
            </w:r>
          </w:p>
        </w:tc>
        <w:tc>
          <w:tcPr>
            <w:tcW w:w="0" w:type="dxa"/>
            <w:vAlign w:val="bottom"/>
          </w:tcPr>
          <w:p>
            <w:pPr>
              <w:spacing w:after="0"/>
              <w:rPr>
                <w:sz w:val="1"/>
                <w:szCs w:val="1"/>
                <w:color w:val="auto"/>
              </w:rPr>
            </w:pPr>
          </w:p>
        </w:tc>
      </w:tr>
      <w:tr>
        <w:trPr>
          <w:trHeight w:val="201"/>
        </w:trPr>
        <w:tc>
          <w:tcPr>
            <w:tcW w:w="7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69,008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81,082</w:t>
            </w:r>
          </w:p>
        </w:tc>
        <w:tc>
          <w:tcPr>
            <w:tcW w:w="0" w:type="dxa"/>
            <w:vAlign w:val="bottom"/>
          </w:tcPr>
          <w:p>
            <w:pPr>
              <w:spacing w:after="0"/>
              <w:rPr>
                <w:sz w:val="1"/>
                <w:szCs w:val="1"/>
                <w:color w:val="auto"/>
              </w:rPr>
            </w:pPr>
          </w:p>
        </w:tc>
      </w:tr>
      <w:tr>
        <w:trPr>
          <w:trHeight w:val="193"/>
        </w:trPr>
        <w:tc>
          <w:tcPr>
            <w:tcW w:w="7420" w:type="dxa"/>
            <w:vAlign w:val="bottom"/>
          </w:tcPr>
          <w:p>
            <w:pPr>
              <w:ind w:left="20"/>
              <w:spacing w:after="0"/>
              <w:rPr>
                <w:sz w:val="20"/>
                <w:szCs w:val="20"/>
                <w:color w:val="auto"/>
              </w:rPr>
            </w:pPr>
            <w:r>
              <w:rPr>
                <w:rFonts w:ascii="Arial" w:cs="Arial" w:eastAsia="Arial" w:hAnsi="Arial"/>
                <w:sz w:val="15"/>
                <w:szCs w:val="15"/>
                <w:color w:val="auto"/>
              </w:rPr>
              <w:t>Goodwill</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405,781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403,902</w:t>
            </w:r>
          </w:p>
        </w:tc>
        <w:tc>
          <w:tcPr>
            <w:tcW w:w="0" w:type="dxa"/>
            <w:vAlign w:val="bottom"/>
          </w:tcPr>
          <w:p>
            <w:pPr>
              <w:spacing w:after="0"/>
              <w:rPr>
                <w:sz w:val="1"/>
                <w:szCs w:val="1"/>
                <w:color w:val="auto"/>
              </w:rPr>
            </w:pPr>
          </w:p>
        </w:tc>
      </w:tr>
      <w:tr>
        <w:trPr>
          <w:trHeight w:val="201"/>
        </w:trPr>
        <w:tc>
          <w:tcPr>
            <w:tcW w:w="7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investments</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3,190</w:t>
            </w:r>
          </w:p>
        </w:tc>
        <w:tc>
          <w:tcPr>
            <w:tcW w:w="0" w:type="dxa"/>
            <w:vAlign w:val="bottom"/>
          </w:tcPr>
          <w:p>
            <w:pPr>
              <w:spacing w:after="0"/>
              <w:rPr>
                <w:sz w:val="1"/>
                <w:szCs w:val="1"/>
                <w:color w:val="auto"/>
              </w:rPr>
            </w:pPr>
          </w:p>
        </w:tc>
      </w:tr>
      <w:tr>
        <w:trPr>
          <w:trHeight w:val="19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assets</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29,838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30,183</w:t>
            </w:r>
          </w:p>
        </w:tc>
        <w:tc>
          <w:tcPr>
            <w:tcW w:w="0" w:type="dxa"/>
            <w:vAlign w:val="bottom"/>
          </w:tcPr>
          <w:p>
            <w:pPr>
              <w:spacing w:after="0"/>
              <w:rPr>
                <w:sz w:val="1"/>
                <w:szCs w:val="1"/>
                <w:color w:val="auto"/>
              </w:rPr>
            </w:pPr>
          </w:p>
        </w:tc>
      </w:tr>
      <w:tr>
        <w:trPr>
          <w:trHeight w:val="21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1,318,728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1,282,904</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74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Arial" w:cs="Arial" w:eastAsia="Arial" w:hAnsi="Arial"/>
                <w:sz w:val="15"/>
                <w:szCs w:val="15"/>
                <w:color w:val="auto"/>
              </w:rPr>
              <w:t>Accounts payable</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3,487</w:t>
            </w:r>
          </w:p>
        </w:tc>
        <w:tc>
          <w:tcPr>
            <w:tcW w:w="100" w:type="dxa"/>
            <w:vAlign w:val="bottom"/>
          </w:tcPr>
          <w:p>
            <w:pPr>
              <w:spacing w:after="0"/>
              <w:rPr>
                <w:sz w:val="16"/>
                <w:szCs w:val="16"/>
                <w:color w:val="auto"/>
              </w:rPr>
            </w:pP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5,647</w:t>
            </w:r>
          </w:p>
        </w:tc>
        <w:tc>
          <w:tcPr>
            <w:tcW w:w="0" w:type="dxa"/>
            <w:vAlign w:val="bottom"/>
          </w:tcPr>
          <w:p>
            <w:pPr>
              <w:spacing w:after="0"/>
              <w:rPr>
                <w:sz w:val="1"/>
                <w:szCs w:val="1"/>
                <w:color w:val="auto"/>
              </w:rPr>
            </w:pPr>
          </w:p>
        </w:tc>
      </w:tr>
      <w:tr>
        <w:trPr>
          <w:trHeight w:val="201"/>
        </w:trPr>
        <w:tc>
          <w:tcPr>
            <w:tcW w:w="74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Current portion of long-term borrowings</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260,016</w:t>
            </w: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Arial" w:cs="Arial" w:eastAsia="Arial" w:hAnsi="Arial"/>
                <w:sz w:val="15"/>
                <w:szCs w:val="15"/>
                <w:color w:val="auto"/>
              </w:rPr>
              <w:t>Deferred revenue</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19,279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20,000</w:t>
            </w:r>
          </w:p>
        </w:tc>
        <w:tc>
          <w:tcPr>
            <w:tcW w:w="0" w:type="dxa"/>
            <w:vAlign w:val="bottom"/>
          </w:tcPr>
          <w:p>
            <w:pPr>
              <w:spacing w:after="0"/>
              <w:rPr>
                <w:sz w:val="1"/>
                <w:szCs w:val="1"/>
                <w:color w:val="auto"/>
              </w:rPr>
            </w:pPr>
          </w:p>
        </w:tc>
      </w:tr>
      <w:tr>
        <w:trPr>
          <w:trHeight w:val="201"/>
        </w:trPr>
        <w:tc>
          <w:tcPr>
            <w:tcW w:w="74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Accrued employee costs</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92,252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114,285</w:t>
            </w: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Arial" w:cs="Arial" w:eastAsia="Arial" w:hAnsi="Arial"/>
                <w:sz w:val="15"/>
                <w:szCs w:val="15"/>
                <w:color w:val="auto"/>
              </w:rPr>
              <w:t>Accrued expenses and other current liabilities</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96,800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76,350</w:t>
            </w:r>
          </w:p>
        </w:tc>
        <w:tc>
          <w:tcPr>
            <w:tcW w:w="0" w:type="dxa"/>
            <w:vAlign w:val="bottom"/>
          </w:tcPr>
          <w:p>
            <w:pPr>
              <w:spacing w:after="0"/>
              <w:rPr>
                <w:sz w:val="1"/>
                <w:szCs w:val="1"/>
                <w:color w:val="auto"/>
              </w:rPr>
            </w:pPr>
          </w:p>
        </w:tc>
      </w:tr>
      <w:tr>
        <w:trPr>
          <w:trHeight w:val="201"/>
        </w:trPr>
        <w:tc>
          <w:tcPr>
            <w:tcW w:w="74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Current portion of operating lease liabilities</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18,487</w:t>
            </w:r>
          </w:p>
        </w:tc>
        <w:tc>
          <w:tcPr>
            <w:tcW w:w="0" w:type="dxa"/>
            <w:vAlign w:val="bottom"/>
          </w:tcPr>
          <w:p>
            <w:pPr>
              <w:spacing w:after="0"/>
              <w:rPr>
                <w:sz w:val="1"/>
                <w:szCs w:val="1"/>
                <w:color w:val="auto"/>
              </w:rPr>
            </w:pPr>
          </w:p>
        </w:tc>
      </w:tr>
      <w:tr>
        <w:trPr>
          <w:trHeight w:val="193"/>
        </w:trPr>
        <w:tc>
          <w:tcPr>
            <w:tcW w:w="742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Income taxes payable, net</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23,410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901</w:t>
            </w:r>
          </w:p>
        </w:tc>
        <w:tc>
          <w:tcPr>
            <w:tcW w:w="0" w:type="dxa"/>
            <w:vAlign w:val="bottom"/>
          </w:tcPr>
          <w:p>
            <w:pPr>
              <w:spacing w:after="0"/>
              <w:rPr>
                <w:sz w:val="1"/>
                <w:szCs w:val="1"/>
                <w:color w:val="auto"/>
              </w:rPr>
            </w:pPr>
          </w:p>
        </w:tc>
      </w:tr>
      <w:tr>
        <w:trPr>
          <w:trHeight w:val="194"/>
        </w:trPr>
        <w:tc>
          <w:tcPr>
            <w:tcW w:w="74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current liabilities</w:t>
            </w: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286,968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495,686</w:t>
            </w:r>
          </w:p>
        </w:tc>
        <w:tc>
          <w:tcPr>
            <w:tcW w:w="0" w:type="dxa"/>
            <w:vAlign w:val="bottom"/>
          </w:tcPr>
          <w:p>
            <w:pPr>
              <w:spacing w:after="0"/>
              <w:rPr>
                <w:sz w:val="1"/>
                <w:szCs w:val="1"/>
                <w:color w:val="auto"/>
              </w:rPr>
            </w:pPr>
          </w:p>
        </w:tc>
      </w:tr>
      <w:tr>
        <w:trPr>
          <w:trHeight w:val="193"/>
        </w:trPr>
        <w:tc>
          <w:tcPr>
            <w:tcW w:w="7420" w:type="dxa"/>
            <w:vAlign w:val="bottom"/>
          </w:tcPr>
          <w:p>
            <w:pPr>
              <w:ind w:left="20"/>
              <w:spacing w:after="0"/>
              <w:rPr>
                <w:sz w:val="20"/>
                <w:szCs w:val="20"/>
                <w:color w:val="auto"/>
              </w:rPr>
            </w:pPr>
            <w:r>
              <w:rPr>
                <w:rFonts w:ascii="Arial" w:cs="Arial" w:eastAsia="Arial" w:hAnsi="Arial"/>
                <w:sz w:val="15"/>
                <w:szCs w:val="15"/>
                <w:color w:val="auto"/>
              </w:rPr>
              <w:t>Long-term borrowings, less current portion</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235,000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7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liabilities, less current portion</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54,174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68,506</w:t>
            </w:r>
          </w:p>
        </w:tc>
        <w:tc>
          <w:tcPr>
            <w:tcW w:w="0" w:type="dxa"/>
            <w:vAlign w:val="bottom"/>
          </w:tcPr>
          <w:p>
            <w:pPr>
              <w:spacing w:after="0"/>
              <w:rPr>
                <w:sz w:val="1"/>
                <w:szCs w:val="1"/>
                <w:color w:val="auto"/>
              </w:rPr>
            </w:pPr>
          </w:p>
        </w:tc>
      </w:tr>
      <w:tr>
        <w:trPr>
          <w:trHeight w:val="193"/>
        </w:trPr>
        <w:tc>
          <w:tcPr>
            <w:tcW w:w="7420" w:type="dxa"/>
            <w:vAlign w:val="bottom"/>
          </w:tcPr>
          <w:p>
            <w:pPr>
              <w:ind w:left="20"/>
              <w:spacing w:after="0"/>
              <w:rPr>
                <w:sz w:val="20"/>
                <w:szCs w:val="20"/>
                <w:color w:val="auto"/>
              </w:rPr>
            </w:pPr>
            <w:r>
              <w:rPr>
                <w:rFonts w:ascii="Arial" w:cs="Arial" w:eastAsia="Arial" w:hAnsi="Arial"/>
                <w:sz w:val="15"/>
                <w:szCs w:val="15"/>
                <w:color w:val="auto"/>
              </w:rPr>
              <w:t>Deferred tax liabilities, net</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759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965</w:t>
            </w:r>
          </w:p>
        </w:tc>
        <w:tc>
          <w:tcPr>
            <w:tcW w:w="0" w:type="dxa"/>
            <w:vAlign w:val="bottom"/>
          </w:tcPr>
          <w:p>
            <w:pPr>
              <w:spacing w:after="0"/>
              <w:rPr>
                <w:sz w:val="1"/>
                <w:szCs w:val="1"/>
                <w:color w:val="auto"/>
              </w:rPr>
            </w:pPr>
          </w:p>
        </w:tc>
      </w:tr>
      <w:tr>
        <w:trPr>
          <w:trHeight w:val="201"/>
        </w:trPr>
        <w:tc>
          <w:tcPr>
            <w:tcW w:w="7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37,243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24,591</w:t>
            </w:r>
          </w:p>
        </w:tc>
        <w:tc>
          <w:tcPr>
            <w:tcW w:w="0" w:type="dxa"/>
            <w:vAlign w:val="bottom"/>
          </w:tcPr>
          <w:p>
            <w:pPr>
              <w:spacing w:after="0"/>
              <w:rPr>
                <w:sz w:val="1"/>
                <w:szCs w:val="1"/>
                <w:color w:val="auto"/>
              </w:rPr>
            </w:pPr>
          </w:p>
        </w:tc>
      </w:tr>
      <w:tr>
        <w:trPr>
          <w:trHeight w:val="188"/>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Total liabilities</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614,144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589,748</w:t>
            </w:r>
          </w:p>
        </w:tc>
        <w:tc>
          <w:tcPr>
            <w:tcW w:w="0" w:type="dxa"/>
            <w:vAlign w:val="bottom"/>
          </w:tcPr>
          <w:p>
            <w:pPr>
              <w:spacing w:after="0"/>
              <w:rPr>
                <w:sz w:val="1"/>
                <w:szCs w:val="1"/>
                <w:color w:val="auto"/>
              </w:rPr>
            </w:pPr>
          </w:p>
        </w:tc>
      </w:tr>
      <w:tr>
        <w:trPr>
          <w:trHeight w:val="179"/>
        </w:trPr>
        <w:tc>
          <w:tcPr>
            <w:tcW w:w="7420" w:type="dxa"/>
            <w:vAlign w:val="bottom"/>
            <w:shd w:val="clear" w:color="auto" w:fill="CCEEFF"/>
          </w:tcPr>
          <w:p>
            <w:pPr>
              <w:ind w:left="20"/>
              <w:spacing w:after="0" w:line="171" w:lineRule="exact"/>
              <w:rPr>
                <w:sz w:val="20"/>
                <w:szCs w:val="20"/>
                <w:color w:val="auto"/>
              </w:rPr>
            </w:pPr>
            <w:r>
              <w:rPr>
                <w:rFonts w:ascii="Arial" w:cs="Arial" w:eastAsia="Arial" w:hAnsi="Arial"/>
                <w:sz w:val="15"/>
                <w:szCs w:val="15"/>
                <w:color w:val="auto"/>
              </w:rPr>
              <w:t>Commitments and contingencies (Refer to Note 25)</w:t>
            </w: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420" w:type="dxa"/>
            <w:vAlign w:val="bottom"/>
          </w:tcPr>
          <w:p>
            <w:pPr>
              <w:ind w:left="20"/>
              <w:spacing w:after="0"/>
              <w:rPr>
                <w:sz w:val="20"/>
                <w:szCs w:val="20"/>
                <w:color w:val="auto"/>
              </w:rPr>
            </w:pPr>
            <w:r>
              <w:rPr>
                <w:rFonts w:ascii="Arial" w:cs="Arial" w:eastAsia="Arial" w:hAnsi="Arial"/>
                <w:sz w:val="15"/>
                <w:szCs w:val="15"/>
                <w:color w:val="auto"/>
              </w:rPr>
              <w:t>ExlService Holdings, Inc. Stockholders’ equity:</w:t>
            </w: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4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Preferred stock, $0.001 par value; 15,000,000 shares authorized, none issued</w:t>
            </w:r>
          </w:p>
        </w:tc>
        <w:tc>
          <w:tcPr>
            <w:tcW w:w="2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4"/>
        </w:trPr>
        <w:tc>
          <w:tcPr>
            <w:tcW w:w="7420" w:type="dxa"/>
            <w:vAlign w:val="bottom"/>
          </w:tcPr>
          <w:p>
            <w:pPr>
              <w:ind w:left="340"/>
              <w:spacing w:after="0" w:line="144" w:lineRule="exact"/>
              <w:rPr>
                <w:sz w:val="20"/>
                <w:szCs w:val="20"/>
                <w:color w:val="auto"/>
              </w:rPr>
            </w:pPr>
            <w:r>
              <w:rPr>
                <w:rFonts w:ascii="Arial" w:cs="Arial" w:eastAsia="Arial" w:hAnsi="Arial"/>
                <w:sz w:val="15"/>
                <w:szCs w:val="15"/>
                <w:color w:val="auto"/>
                <w:w w:val="91"/>
              </w:rPr>
              <w:t>Common stock, $0.001 par value; 100,000,000 shares authorized, 39,798,956 shares issued and 33,051,021 shares</w:t>
            </w: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420" w:type="dxa"/>
            <w:vAlign w:val="bottom"/>
          </w:tcPr>
          <w:p>
            <w:pPr>
              <w:ind w:left="340"/>
              <w:spacing w:after="0" w:line="144" w:lineRule="exact"/>
              <w:rPr>
                <w:sz w:val="20"/>
                <w:szCs w:val="20"/>
                <w:color w:val="auto"/>
              </w:rPr>
            </w:pPr>
            <w:r>
              <w:rPr>
                <w:rFonts w:ascii="Arial" w:cs="Arial" w:eastAsia="Arial" w:hAnsi="Arial"/>
                <w:sz w:val="15"/>
                <w:szCs w:val="15"/>
                <w:color w:val="auto"/>
                <w:w w:val="95"/>
              </w:rPr>
              <w:t>outstanding as of September 30, 2022 and 39,508,340 shares issued and 33,291,482 shares outstanding as of</w:t>
            </w: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7420" w:type="dxa"/>
            <w:vAlign w:val="bottom"/>
          </w:tcPr>
          <w:p>
            <w:pPr>
              <w:ind w:left="340"/>
              <w:spacing w:after="0"/>
              <w:rPr>
                <w:sz w:val="20"/>
                <w:szCs w:val="20"/>
                <w:color w:val="auto"/>
              </w:rPr>
            </w:pPr>
            <w:r>
              <w:rPr>
                <w:rFonts w:ascii="Arial" w:cs="Arial" w:eastAsia="Arial" w:hAnsi="Arial"/>
                <w:sz w:val="15"/>
                <w:szCs w:val="15"/>
                <w:color w:val="auto"/>
              </w:rPr>
              <w:t>December 31, 2021</w:t>
            </w:r>
          </w:p>
        </w:tc>
        <w:tc>
          <w:tcPr>
            <w:tcW w:w="2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01"/>
        </w:trPr>
        <w:tc>
          <w:tcPr>
            <w:tcW w:w="74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Additional paid-in capital</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432,492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395,742</w:t>
            </w:r>
          </w:p>
        </w:tc>
        <w:tc>
          <w:tcPr>
            <w:tcW w:w="0" w:type="dxa"/>
            <w:vAlign w:val="bottom"/>
          </w:tcPr>
          <w:p>
            <w:pPr>
              <w:spacing w:after="0"/>
              <w:rPr>
                <w:sz w:val="1"/>
                <w:szCs w:val="1"/>
                <w:color w:val="auto"/>
              </w:rPr>
            </w:pPr>
          </w:p>
        </w:tc>
      </w:tr>
      <w:tr>
        <w:trPr>
          <w:trHeight w:val="188"/>
        </w:trPr>
        <w:tc>
          <w:tcPr>
            <w:tcW w:w="7420" w:type="dxa"/>
            <w:vAlign w:val="bottom"/>
          </w:tcPr>
          <w:p>
            <w:pPr>
              <w:ind w:left="340"/>
              <w:spacing w:after="0"/>
              <w:rPr>
                <w:sz w:val="20"/>
                <w:szCs w:val="20"/>
                <w:color w:val="auto"/>
              </w:rPr>
            </w:pPr>
            <w:r>
              <w:rPr>
                <w:rFonts w:ascii="Arial" w:cs="Arial" w:eastAsia="Arial" w:hAnsi="Arial"/>
                <w:sz w:val="15"/>
                <w:szCs w:val="15"/>
                <w:color w:val="auto"/>
              </w:rPr>
              <w:t>Retained earnings</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867,256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756,137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7" w:right="37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74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Accumulated other comprehensive loss</w:t>
            </w:r>
          </w:p>
        </w:tc>
        <w:tc>
          <w:tcPr>
            <w:tcW w:w="6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(154,203)</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(89,474)</w:t>
            </w:r>
          </w:p>
        </w:tc>
      </w:tr>
      <w:tr>
        <w:trPr>
          <w:trHeight w:val="188"/>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Total including shares held in treasury</w:t>
            </w:r>
          </w:p>
        </w:tc>
        <w:tc>
          <w:tcPr>
            <w:tcW w:w="6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1,145,585</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1,062,445</w:t>
            </w:r>
          </w:p>
        </w:tc>
      </w:tr>
      <w:tr>
        <w:trPr>
          <w:trHeight w:val="192"/>
        </w:trPr>
        <w:tc>
          <w:tcPr>
            <w:tcW w:w="7420" w:type="dxa"/>
            <w:vAlign w:val="bottom"/>
            <w:shd w:val="clear" w:color="auto" w:fill="CCEEFF"/>
          </w:tcPr>
          <w:p>
            <w:pPr>
              <w:ind w:left="20"/>
              <w:spacing w:after="0" w:line="171" w:lineRule="exact"/>
              <w:rPr>
                <w:sz w:val="20"/>
                <w:szCs w:val="20"/>
                <w:color w:val="auto"/>
              </w:rPr>
            </w:pPr>
            <w:r>
              <w:rPr>
                <w:rFonts w:ascii="Arial" w:cs="Arial" w:eastAsia="Arial" w:hAnsi="Arial"/>
                <w:sz w:val="15"/>
                <w:szCs w:val="15"/>
                <w:color w:val="auto"/>
                <w:w w:val="90"/>
              </w:rPr>
              <w:t>Less: 6,747,935 shares as of September 30, 2022 and 6,216,858 shares as of December 31, 2021, held in treasury, at cost</w:t>
            </w:r>
          </w:p>
        </w:tc>
        <w:tc>
          <w:tcPr>
            <w:tcW w:w="6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(441,001)</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(369,289)</w:t>
            </w:r>
          </w:p>
        </w:tc>
      </w:tr>
      <w:tr>
        <w:trPr>
          <w:trHeight w:val="188"/>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Total stockholders’ equity</w:t>
            </w:r>
          </w:p>
        </w:tc>
        <w:tc>
          <w:tcPr>
            <w:tcW w:w="6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704,584</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693,156</w:t>
            </w:r>
          </w:p>
        </w:tc>
      </w:tr>
      <w:tr>
        <w:trPr>
          <w:trHeight w:val="21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liabilities and stockholders’ equity</w:t>
            </w:r>
          </w:p>
        </w:tc>
        <w:tc>
          <w:tcPr>
            <w:tcW w:w="660" w:type="dxa"/>
            <w:vAlign w:val="bottom"/>
            <w:tcBorders>
              <w:bottom w:val="single" w:sz="8" w:color="auto"/>
            </w:tcBorders>
            <w:shd w:val="clear" w:color="auto" w:fill="CCEEFF"/>
          </w:tcPr>
          <w:p>
            <w:pPr>
              <w:jc w:val="right"/>
              <w:ind w:right="506"/>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1,318,728</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26"/>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1,282,904</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7"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6"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19" w:lineRule="exact"/>
        <w:rPr>
          <w:sz w:val="20"/>
          <w:szCs w:val="20"/>
          <w:color w:val="auto"/>
        </w:rPr>
      </w:pPr>
    </w:p>
    <w:p>
      <w:pPr>
        <w:ind w:left="3180"/>
        <w:spacing w:after="0"/>
        <w:rPr>
          <w:sz w:val="20"/>
          <w:szCs w:val="20"/>
          <w:color w:val="auto"/>
        </w:rPr>
      </w:pPr>
      <w:r>
        <w:rPr>
          <w:rFonts w:ascii="Arial" w:cs="Arial" w:eastAsia="Arial" w:hAnsi="Arial"/>
          <w:sz w:val="17"/>
          <w:szCs w:val="17"/>
          <w:b w:val="1"/>
          <w:bCs w:val="1"/>
          <w:color w:val="auto"/>
        </w:rPr>
        <w:t>CONSOLIDATED STATEMENTS OF INCOME (UNAUDITED)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5"/>
                <w:szCs w:val="15"/>
                <w:color w:val="auto"/>
              </w:rPr>
            </w:pPr>
          </w:p>
        </w:tc>
        <w:tc>
          <w:tcPr>
            <w:tcW w:w="258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4"/>
        </w:trPr>
        <w:tc>
          <w:tcPr>
            <w:tcW w:w="5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3"/>
        </w:trPr>
        <w:tc>
          <w:tcPr>
            <w:tcW w:w="54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net</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361,351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290,325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1,037,341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826,804</w:t>
            </w:r>
          </w:p>
        </w:tc>
      </w:tr>
      <w:tr>
        <w:trPr>
          <w:trHeight w:val="223"/>
        </w:trPr>
        <w:tc>
          <w:tcPr>
            <w:tcW w:w="548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230,462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177,743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659,185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507,265</w:t>
            </w:r>
          </w:p>
        </w:tc>
      </w:tr>
      <w:tr>
        <w:trPr>
          <w:trHeight w:val="216"/>
        </w:trPr>
        <w:tc>
          <w:tcPr>
            <w:tcW w:w="548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b w:val="1"/>
                <w:bCs w:val="1"/>
                <w:color w:val="auto"/>
              </w:rPr>
              <w:t>Gross profit</w:t>
            </w:r>
            <w:r>
              <w:rPr>
                <w:rFonts w:ascii="Arial" w:cs="Arial" w:eastAsia="Arial" w:hAnsi="Arial"/>
                <w:sz w:val="22"/>
                <w:szCs w:val="22"/>
                <w:b w:val="1"/>
                <w:bCs w:val="1"/>
                <w:color w:val="auto"/>
                <w:vertAlign w:val="superscript"/>
              </w:rPr>
              <w:t>(1)</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130,889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112,582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378,156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319,539</w:t>
            </w:r>
          </w:p>
        </w:tc>
      </w:tr>
      <w:tr>
        <w:trPr>
          <w:trHeight w:val="203"/>
        </w:trPr>
        <w:tc>
          <w:tcPr>
            <w:tcW w:w="54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122,898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103,369</w:t>
            </w:r>
          </w:p>
        </w:tc>
      </w:tr>
      <w:tr>
        <w:trPr>
          <w:trHeight w:val="223"/>
        </w:trPr>
        <w:tc>
          <w:tcPr>
            <w:tcW w:w="5480" w:type="dxa"/>
            <w:vAlign w:val="bottom"/>
          </w:tcPr>
          <w:p>
            <w:pPr>
              <w:ind w:left="20"/>
              <w:spacing w:after="0"/>
              <w:rPr>
                <w:sz w:val="20"/>
                <w:szCs w:val="20"/>
                <w:color w:val="auto"/>
              </w:rPr>
            </w:pPr>
            <w:r>
              <w:rPr>
                <w:rFonts w:ascii="Arial" w:cs="Arial" w:eastAsia="Arial" w:hAnsi="Arial"/>
                <w:sz w:val="17"/>
                <w:szCs w:val="17"/>
                <w:color w:val="auto"/>
              </w:rPr>
              <w:t>Selling and marketing expenses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23,879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21,672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72,034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59,631</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 expense</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42,057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36,716</w:t>
            </w:r>
          </w:p>
        </w:tc>
      </w:tr>
      <w:tr>
        <w:trPr>
          <w:trHeight w:val="216"/>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80,778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70,144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236,989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199,716</w:t>
            </w: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from operations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50,111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42,438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141,167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119,823</w:t>
            </w:r>
          </w:p>
        </w:tc>
      </w:tr>
      <w:tr>
        <w:trPr>
          <w:trHeight w:val="223"/>
        </w:trPr>
        <w:tc>
          <w:tcPr>
            <w:tcW w:w="5480" w:type="dxa"/>
            <w:vAlign w:val="bottom"/>
          </w:tcPr>
          <w:p>
            <w:pPr>
              <w:ind w:left="20"/>
              <w:spacing w:after="0"/>
              <w:rPr>
                <w:sz w:val="20"/>
                <w:szCs w:val="20"/>
                <w:color w:val="auto"/>
              </w:rPr>
            </w:pPr>
            <w:r>
              <w:rPr>
                <w:rFonts w:ascii="Arial" w:cs="Arial" w:eastAsia="Arial" w:hAnsi="Arial"/>
                <w:sz w:val="17"/>
                <w:szCs w:val="17"/>
                <w:color w:val="auto"/>
              </w:rPr>
              <w:t>Foreign exchange gain, net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4,683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2,958</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(6,804)</w:t>
            </w:r>
          </w:p>
        </w:tc>
      </w:tr>
      <w:tr>
        <w:trPr>
          <w:trHeight w:val="223"/>
        </w:trPr>
        <w:tc>
          <w:tcPr>
            <w:tcW w:w="5480" w:type="dxa"/>
            <w:vAlign w:val="bottom"/>
          </w:tcPr>
          <w:p>
            <w:pPr>
              <w:ind w:left="20"/>
              <w:spacing w:after="0"/>
              <w:rPr>
                <w:sz w:val="20"/>
                <w:szCs w:val="20"/>
                <w:color w:val="auto"/>
              </w:rPr>
            </w:pPr>
            <w:r>
              <w:rPr>
                <w:rFonts w:ascii="Arial" w:cs="Arial" w:eastAsia="Arial" w:hAnsi="Arial"/>
                <w:sz w:val="17"/>
                <w:szCs w:val="17"/>
                <w:color w:val="auto"/>
              </w:rPr>
              <w:t>Other income, net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4,498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5,346</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on settlement of convertible notes</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(12,845)</w:t>
            </w:r>
          </w:p>
        </w:tc>
      </w:tr>
      <w:tr>
        <w:trPr>
          <w:trHeight w:val="216"/>
        </w:trPr>
        <w:tc>
          <w:tcPr>
            <w:tcW w:w="5480" w:type="dxa"/>
            <w:vAlign w:val="bottom"/>
          </w:tcPr>
          <w:p>
            <w:pPr>
              <w:ind w:left="20"/>
              <w:spacing w:after="0"/>
              <w:rPr>
                <w:sz w:val="20"/>
                <w:szCs w:val="20"/>
                <w:color w:val="auto"/>
              </w:rPr>
            </w:pPr>
            <w:r>
              <w:rPr>
                <w:rFonts w:ascii="Arial" w:cs="Arial" w:eastAsia="Arial" w:hAnsi="Arial"/>
                <w:sz w:val="17"/>
                <w:szCs w:val="17"/>
                <w:b w:val="1"/>
                <w:bCs w:val="1"/>
                <w:color w:val="auto"/>
                <w:w w:val="96"/>
              </w:rPr>
              <w:t>Income before income tax expense and earnings from equity affiliates</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51,434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30,675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145,528</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108,478</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34,774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22,019</w:t>
            </w:r>
          </w:p>
        </w:tc>
      </w:tr>
      <w:tr>
        <w:trPr>
          <w:trHeight w:val="216"/>
        </w:trPr>
        <w:tc>
          <w:tcPr>
            <w:tcW w:w="5480" w:type="dxa"/>
            <w:vAlign w:val="bottom"/>
          </w:tcPr>
          <w:p>
            <w:pPr>
              <w:ind w:left="20"/>
              <w:spacing w:after="0"/>
              <w:rPr>
                <w:sz w:val="20"/>
                <w:szCs w:val="20"/>
                <w:color w:val="auto"/>
              </w:rPr>
            </w:pPr>
            <w:r>
              <w:rPr>
                <w:rFonts w:ascii="Arial" w:cs="Arial" w:eastAsia="Arial" w:hAnsi="Arial"/>
                <w:sz w:val="17"/>
                <w:szCs w:val="17"/>
                <w:b w:val="1"/>
                <w:bCs w:val="1"/>
                <w:color w:val="auto"/>
              </w:rPr>
              <w:t>Income before earnings from equity affiliates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38,987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26,479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110,754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86,459</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from equity-method investment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5480" w:type="dxa"/>
            <w:vAlign w:val="bottom"/>
          </w:tcPr>
          <w:p>
            <w:pPr>
              <w:ind w:left="20"/>
              <w:spacing w:after="0"/>
              <w:rPr>
                <w:sz w:val="20"/>
                <w:szCs w:val="20"/>
                <w:color w:val="auto"/>
              </w:rPr>
            </w:pPr>
            <w:r>
              <w:rPr>
                <w:rFonts w:ascii="Arial" w:cs="Arial" w:eastAsia="Arial" w:hAnsi="Arial"/>
                <w:sz w:val="17"/>
                <w:szCs w:val="17"/>
                <w:b w:val="1"/>
                <w:bCs w:val="1"/>
                <w:color w:val="auto"/>
              </w:rPr>
              <w:t>Net income attributable to ExlService Holdings, Inc. stockholders</w:t>
            </w: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39,095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26,507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111,119</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86,459</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9"/>
        </w:trPr>
        <w:tc>
          <w:tcPr>
            <w:tcW w:w="54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w w:val="99"/>
              </w:rPr>
              <w:t>Earnings per share attributable to ExlService Holdings, Inc. stockholders:</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23"/>
        </w:trPr>
        <w:tc>
          <w:tcPr>
            <w:tcW w:w="5480" w:type="dxa"/>
            <w:vAlign w:val="bottom"/>
          </w:tcPr>
          <w:p>
            <w:pPr>
              <w:ind w:left="340"/>
              <w:spacing w:after="0"/>
              <w:rPr>
                <w:sz w:val="20"/>
                <w:szCs w:val="20"/>
                <w:color w:val="auto"/>
              </w:rPr>
            </w:pPr>
            <w:r>
              <w:rPr>
                <w:rFonts w:ascii="Arial" w:cs="Arial" w:eastAsia="Arial" w:hAnsi="Arial"/>
                <w:sz w:val="17"/>
                <w:szCs w:val="17"/>
                <w:color w:val="auto"/>
              </w:rPr>
              <w:t>Basic</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0.79</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3.33</w:t>
            </w:r>
          </w:p>
        </w:tc>
        <w:tc>
          <w:tcPr>
            <w:tcW w:w="8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2.57</w:t>
            </w:r>
          </w:p>
        </w:tc>
      </w:tr>
      <w:tr>
        <w:trPr>
          <w:trHeight w:val="223"/>
        </w:trPr>
        <w:tc>
          <w:tcPr>
            <w:tcW w:w="5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r>
      <w:tr>
        <w:trPr>
          <w:trHeight w:val="171"/>
        </w:trPr>
        <w:tc>
          <w:tcPr>
            <w:tcW w:w="5480" w:type="dxa"/>
            <w:vAlign w:val="bottom"/>
          </w:tcPr>
          <w:p>
            <w:pPr>
              <w:ind w:left="20"/>
              <w:spacing w:after="0" w:line="172" w:lineRule="exact"/>
              <w:rPr>
                <w:sz w:val="20"/>
                <w:szCs w:val="20"/>
                <w:color w:val="auto"/>
              </w:rPr>
            </w:pPr>
            <w:r>
              <w:rPr>
                <w:rFonts w:ascii="Arial" w:cs="Arial" w:eastAsia="Arial" w:hAnsi="Arial"/>
                <w:sz w:val="17"/>
                <w:szCs w:val="17"/>
                <w:color w:val="auto"/>
                <w:w w:val="96"/>
              </w:rPr>
              <w:t>Weighted-average number of shares used in computing earnings per share</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7"/>
                <w:szCs w:val="17"/>
                <w:color w:val="auto"/>
              </w:rPr>
              <w:t>attributable to ExlService Holdings Inc. stockholders: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33,237,833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33,449,311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33,360,346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33,583,791</w:t>
            </w:r>
          </w:p>
        </w:tc>
      </w:tr>
      <w:tr>
        <w:trPr>
          <w:trHeight w:val="222"/>
        </w:trPr>
        <w:tc>
          <w:tcPr>
            <w:tcW w:w="5480" w:type="dxa"/>
            <w:vAlign w:val="bottom"/>
          </w:tcPr>
          <w:p>
            <w:pPr>
              <w:ind w:left="340"/>
              <w:spacing w:after="0"/>
              <w:rPr>
                <w:sz w:val="20"/>
                <w:szCs w:val="20"/>
                <w:color w:val="auto"/>
              </w:rPr>
            </w:pPr>
            <w:r>
              <w:rPr>
                <w:rFonts w:ascii="Arial" w:cs="Arial" w:eastAsia="Arial" w:hAnsi="Arial"/>
                <w:sz w:val="17"/>
                <w:szCs w:val="17"/>
                <w:color w:val="auto"/>
              </w:rPr>
              <w:t>Diluted</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33,777,749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34,305,893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33,833,637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34,336,950</w:t>
            </w:r>
          </w:p>
        </w:tc>
      </w:tr>
    </w:tbl>
    <w:p>
      <w:pPr>
        <w:spacing w:after="0" w:line="318"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(1)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55"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19"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CONSOLIDATED STATEMENTS OF COMPREHENSIVE INCOME (UNAUDITED)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5"/>
                <w:szCs w:val="15"/>
                <w:color w:val="auto"/>
              </w:rPr>
            </w:pPr>
          </w:p>
        </w:tc>
        <w:tc>
          <w:tcPr>
            <w:tcW w:w="260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4"/>
        </w:trPr>
        <w:tc>
          <w:tcPr>
            <w:tcW w:w="5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3"/>
        </w:trPr>
        <w:tc>
          <w:tcPr>
            <w:tcW w:w="54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111,119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86,459</w:t>
            </w:r>
          </w:p>
        </w:tc>
      </w:tr>
      <w:tr>
        <w:trPr>
          <w:trHeight w:val="207"/>
        </w:trPr>
        <w:tc>
          <w:tcPr>
            <w:tcW w:w="5480" w:type="dxa"/>
            <w:vAlign w:val="bottom"/>
          </w:tcPr>
          <w:p>
            <w:pPr>
              <w:ind w:left="60"/>
              <w:spacing w:after="0"/>
              <w:rPr>
                <w:sz w:val="20"/>
                <w:szCs w:val="20"/>
                <w:color w:val="auto"/>
              </w:rPr>
            </w:pPr>
            <w:r>
              <w:rPr>
                <w:rFonts w:ascii="Arial" w:cs="Arial" w:eastAsia="Arial" w:hAnsi="Arial"/>
                <w:sz w:val="16"/>
                <w:szCs w:val="16"/>
                <w:b w:val="1"/>
                <w:bCs w:val="1"/>
                <w:color w:val="auto"/>
              </w:rPr>
              <w:t>Other comprehensive income/(loss):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6"/>
        </w:trPr>
        <w:tc>
          <w:tcPr>
            <w:tcW w:w="5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gain/(loss) on cash flow hedges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23"/>
        </w:trPr>
        <w:tc>
          <w:tcPr>
            <w:tcW w:w="5480" w:type="dxa"/>
            <w:vAlign w:val="bottom"/>
          </w:tcPr>
          <w:p>
            <w:pPr>
              <w:ind w:left="340"/>
              <w:spacing w:after="0"/>
              <w:rPr>
                <w:sz w:val="20"/>
                <w:szCs w:val="20"/>
                <w:color w:val="auto"/>
              </w:rPr>
            </w:pPr>
            <w:r>
              <w:rPr>
                <w:rFonts w:ascii="Arial" w:cs="Arial" w:eastAsia="Arial" w:hAnsi="Arial"/>
                <w:sz w:val="16"/>
                <w:szCs w:val="16"/>
                <w:color w:val="auto"/>
              </w:rPr>
              <w:t>Loss on net investment hedges</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(1,134)</w:t>
            </w:r>
          </w:p>
        </w:tc>
      </w:tr>
      <w:tr>
        <w:trPr>
          <w:trHeight w:val="223"/>
        </w:trPr>
        <w:tc>
          <w:tcPr>
            <w:tcW w:w="5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Foreign currency translation loss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(10,475)</w:t>
            </w:r>
          </w:p>
        </w:tc>
      </w:tr>
      <w:tr>
        <w:trPr>
          <w:trHeight w:val="207"/>
        </w:trPr>
        <w:tc>
          <w:tcPr>
            <w:tcW w:w="5480" w:type="dxa"/>
            <w:vAlign w:val="bottom"/>
          </w:tcPr>
          <w:p>
            <w:pPr>
              <w:ind w:left="140"/>
              <w:spacing w:after="0"/>
              <w:rPr>
                <w:sz w:val="20"/>
                <w:szCs w:val="20"/>
                <w:color w:val="auto"/>
              </w:rPr>
            </w:pPr>
            <w:r>
              <w:rPr>
                <w:rFonts w:ascii="Arial" w:cs="Arial" w:eastAsia="Arial" w:hAnsi="Arial"/>
                <w:sz w:val="16"/>
                <w:szCs w:val="16"/>
                <w:b w:val="1"/>
                <w:bCs w:val="1"/>
                <w:color w:val="auto"/>
              </w:rPr>
              <w:t>Reclassification adjustments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6"/>
        </w:trPr>
        <w:tc>
          <w:tcPr>
            <w:tcW w:w="5480" w:type="dxa"/>
            <w:vAlign w:val="bottom"/>
            <w:shd w:val="clear" w:color="auto" w:fill="CCEEFF"/>
          </w:tcPr>
          <w:p>
            <w:pPr>
              <w:ind w:left="340"/>
              <w:spacing w:after="0" w:line="226" w:lineRule="exact"/>
              <w:rPr>
                <w:sz w:val="20"/>
                <w:szCs w:val="20"/>
                <w:color w:val="auto"/>
              </w:rPr>
            </w:pPr>
            <w:r>
              <w:rPr>
                <w:rFonts w:ascii="Arial" w:cs="Arial" w:eastAsia="Arial" w:hAnsi="Arial"/>
                <w:sz w:val="16"/>
                <w:szCs w:val="16"/>
                <w:color w:val="auto"/>
              </w:rPr>
              <w:t>(Gain)/loss on cash flow hedges</w:t>
            </w:r>
            <w:r>
              <w:rPr>
                <w:rFonts w:ascii="Arial" w:cs="Arial" w:eastAsia="Arial" w:hAnsi="Arial"/>
                <w:sz w:val="20"/>
                <w:szCs w:val="20"/>
                <w:color w:val="auto"/>
                <w:vertAlign w:val="superscript"/>
              </w:rPr>
              <w:t>(1)</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(7,845)</w:t>
            </w:r>
          </w:p>
        </w:tc>
      </w:tr>
      <w:tr>
        <w:trPr>
          <w:trHeight w:val="223"/>
        </w:trPr>
        <w:tc>
          <w:tcPr>
            <w:tcW w:w="5480" w:type="dxa"/>
            <w:vAlign w:val="bottom"/>
          </w:tcPr>
          <w:p>
            <w:pPr>
              <w:ind w:left="340"/>
              <w:spacing w:after="0" w:line="223" w:lineRule="exact"/>
              <w:rPr>
                <w:sz w:val="20"/>
                <w:szCs w:val="20"/>
                <w:color w:val="auto"/>
              </w:rPr>
            </w:pPr>
            <w:r>
              <w:rPr>
                <w:rFonts w:ascii="Arial" w:cs="Arial" w:eastAsia="Arial" w:hAnsi="Arial"/>
                <w:sz w:val="16"/>
                <w:szCs w:val="16"/>
                <w:color w:val="auto"/>
              </w:rPr>
              <w:t>Retirement benefits</w:t>
            </w:r>
            <w:r>
              <w:rPr>
                <w:rFonts w:ascii="Arial" w:cs="Arial" w:eastAsia="Arial" w:hAnsi="Arial"/>
                <w:sz w:val="20"/>
                <w:szCs w:val="20"/>
                <w:color w:val="auto"/>
                <w:vertAlign w:val="superscript"/>
              </w:rPr>
              <w:t>(2)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533</w:t>
            </w:r>
          </w:p>
        </w:tc>
      </w:tr>
      <w:tr>
        <w:trPr>
          <w:trHeight w:val="223"/>
        </w:trPr>
        <w:tc>
          <w:tcPr>
            <w:tcW w:w="5480" w:type="dxa"/>
            <w:vAlign w:val="bottom"/>
            <w:shd w:val="clear" w:color="auto" w:fill="CCEEFF"/>
          </w:tcPr>
          <w:p>
            <w:pPr>
              <w:ind w:left="140"/>
              <w:spacing w:after="0" w:line="223" w:lineRule="exact"/>
              <w:rPr>
                <w:sz w:val="20"/>
                <w:szCs w:val="20"/>
                <w:color w:val="auto"/>
              </w:rPr>
            </w:pPr>
            <w:r>
              <w:rPr>
                <w:rFonts w:ascii="Arial" w:cs="Arial" w:eastAsia="Arial" w:hAnsi="Arial"/>
                <w:sz w:val="16"/>
                <w:szCs w:val="16"/>
                <w:b w:val="1"/>
                <w:bCs w:val="1"/>
                <w:color w:val="auto"/>
              </w:rPr>
              <w:t>Income tax effects relating to above</w:t>
            </w:r>
            <w:r>
              <w:rPr>
                <w:rFonts w:ascii="Arial" w:cs="Arial" w:eastAsia="Arial" w:hAnsi="Arial"/>
                <w:sz w:val="20"/>
                <w:szCs w:val="20"/>
                <w:b w:val="1"/>
                <w:bCs w:val="1"/>
                <w:color w:val="auto"/>
                <w:vertAlign w:val="superscript"/>
              </w:rPr>
              <w:t>(3)</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1,690</w:t>
            </w:r>
          </w:p>
        </w:tc>
      </w:tr>
      <w:tr>
        <w:trPr>
          <w:trHeight w:val="216"/>
        </w:trPr>
        <w:tc>
          <w:tcPr>
            <w:tcW w:w="5480" w:type="dxa"/>
            <w:vAlign w:val="bottom"/>
            <w:tcBorders>
              <w:bottom w:val="single" w:sz="8" w:color="CCEEFF"/>
            </w:tcBorders>
          </w:tcPr>
          <w:p>
            <w:pPr>
              <w:ind w:left="100"/>
              <w:spacing w:after="0"/>
              <w:rPr>
                <w:sz w:val="20"/>
                <w:szCs w:val="20"/>
                <w:color w:val="auto"/>
              </w:rPr>
            </w:pPr>
            <w:r>
              <w:rPr>
                <w:rFonts w:ascii="Arial" w:cs="Arial" w:eastAsia="Arial" w:hAnsi="Arial"/>
                <w:sz w:val="16"/>
                <w:szCs w:val="16"/>
                <w:b w:val="1"/>
                <w:bCs w:val="1"/>
                <w:color w:val="auto"/>
              </w:rPr>
              <w:t>Total other comprehensive loss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(20,829)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(5,512)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(64,729)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(17,273)</w:t>
            </w:r>
          </w:p>
        </w:tc>
      </w:tr>
      <w:tr>
        <w:trPr>
          <w:trHeight w:val="241"/>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18,266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20,995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46,390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69,186</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60" w:hanging="555"/>
        <w:spacing w:after="0" w:line="260" w:lineRule="auto"/>
        <w:tabs>
          <w:tab w:leader="none" w:pos="552" w:val="left"/>
        </w:tabs>
        <w:numPr>
          <w:ilvl w:val="0"/>
          <w:numId w:val="3"/>
        </w:numPr>
        <w:rPr>
          <w:rFonts w:ascii="Arial" w:cs="Arial" w:eastAsia="Arial" w:hAnsi="Arial"/>
          <w:sz w:val="14"/>
          <w:szCs w:val="14"/>
          <w:i w:val="1"/>
          <w:iCs w:val="1"/>
          <w:color w:val="auto"/>
        </w:rPr>
      </w:pPr>
      <w:r>
        <w:rPr>
          <w:rFonts w:ascii="Arial" w:cs="Arial" w:eastAsia="Arial" w:hAnsi="Arial"/>
          <w:sz w:val="16"/>
          <w:szCs w:val="16"/>
          <w:i w:val="1"/>
          <w:iCs w:val="1"/>
          <w:color w:val="auto"/>
        </w:rPr>
        <w:t>These are reclassified to net income and are included in cost of revenues, operating expenses and interest expense, as applicable in the unaudited consolidated statements of income. Refer to Note 17 - Derivatives and Hedge Accounting to the unaudited consolidated financial statements.</w:t>
      </w:r>
    </w:p>
    <w:p>
      <w:pPr>
        <w:spacing w:after="0" w:line="204" w:lineRule="exact"/>
        <w:rPr>
          <w:rFonts w:ascii="Arial" w:cs="Arial" w:eastAsia="Arial" w:hAnsi="Arial"/>
          <w:sz w:val="14"/>
          <w:szCs w:val="14"/>
          <w:i w:val="1"/>
          <w:iCs w:val="1"/>
          <w:color w:val="auto"/>
        </w:rPr>
      </w:pPr>
    </w:p>
    <w:p>
      <w:pPr>
        <w:ind w:left="560" w:hanging="555"/>
        <w:spacing w:after="0" w:line="243" w:lineRule="auto"/>
        <w:tabs>
          <w:tab w:leader="none" w:pos="552" w:val="left"/>
        </w:tabs>
        <w:numPr>
          <w:ilvl w:val="0"/>
          <w:numId w:val="3"/>
        </w:numPr>
        <w:rPr>
          <w:rFonts w:ascii="Arial" w:cs="Arial" w:eastAsia="Arial" w:hAnsi="Arial"/>
          <w:sz w:val="14"/>
          <w:szCs w:val="14"/>
          <w:color w:val="auto"/>
        </w:rPr>
      </w:pPr>
      <w:r>
        <w:rPr>
          <w:rFonts w:ascii="Arial" w:cs="Arial" w:eastAsia="Arial" w:hAnsi="Arial"/>
          <w:sz w:val="16"/>
          <w:szCs w:val="16"/>
          <w:i w:val="1"/>
          <w:iCs w:val="1"/>
          <w:color w:val="auto"/>
        </w:rPr>
        <w:t>These are reclassified to net income and are included in other income, net in the unaudited consolidated statements of income. Refer to Note 20 - Employee Benefit Plans to the unaudited consolidated financial statements.</w:t>
      </w:r>
    </w:p>
    <w:p>
      <w:pPr>
        <w:spacing w:after="0" w:line="217" w:lineRule="exact"/>
        <w:rPr>
          <w:rFonts w:ascii="Arial" w:cs="Arial" w:eastAsia="Arial" w:hAnsi="Arial"/>
          <w:sz w:val="14"/>
          <w:szCs w:val="14"/>
          <w:color w:val="auto"/>
        </w:rPr>
      </w:pPr>
    </w:p>
    <w:p>
      <w:pPr>
        <w:ind w:left="560" w:hanging="555"/>
        <w:spacing w:after="0" w:line="260" w:lineRule="auto"/>
        <w:tabs>
          <w:tab w:leader="none" w:pos="552" w:val="left"/>
        </w:tabs>
        <w:numPr>
          <w:ilvl w:val="0"/>
          <w:numId w:val="3"/>
        </w:numPr>
        <w:rPr>
          <w:rFonts w:ascii="Arial" w:cs="Arial" w:eastAsia="Arial" w:hAnsi="Arial"/>
          <w:sz w:val="14"/>
          <w:szCs w:val="14"/>
          <w:i w:val="1"/>
          <w:iCs w:val="1"/>
          <w:color w:val="auto"/>
        </w:rPr>
      </w:pPr>
      <w:r>
        <w:rPr>
          <w:rFonts w:ascii="Arial" w:cs="Arial" w:eastAsia="Arial" w:hAnsi="Arial"/>
          <w:sz w:val="16"/>
          <w:szCs w:val="16"/>
          <w:i w:val="1"/>
          <w:iCs w:val="1"/>
          <w:color w:val="auto"/>
        </w:rPr>
        <w:t>These are income tax effects recognized on cash flow hedges, retirement benefits and foreign currency translation loss. Refer to Note 22 - Income Taxes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6"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19" w:lineRule="exact"/>
        <w:rPr>
          <w:sz w:val="20"/>
          <w:szCs w:val="20"/>
          <w:color w:val="auto"/>
        </w:rPr>
      </w:pPr>
    </w:p>
    <w:p>
      <w:pPr>
        <w:ind w:left="3200"/>
        <w:spacing w:after="0"/>
        <w:rPr>
          <w:sz w:val="20"/>
          <w:szCs w:val="20"/>
          <w:color w:val="auto"/>
        </w:rPr>
      </w:pPr>
      <w:r>
        <w:rPr>
          <w:rFonts w:ascii="Arial" w:cs="Arial" w:eastAsia="Arial" w:hAnsi="Arial"/>
          <w:sz w:val="17"/>
          <w:szCs w:val="17"/>
          <w:b w:val="1"/>
          <w:bCs w:val="1"/>
          <w:color w:val="auto"/>
        </w:rPr>
        <w:t>CONSOLIDATED STATEMENTS OF EQUITY (UNAUDITED)</w:t>
      </w:r>
    </w:p>
    <w:p>
      <w:pPr>
        <w:spacing w:after="0" w:line="3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For the three months ended September 30, 2022 and 2021</w:t>
      </w:r>
    </w:p>
    <w:p>
      <w:pPr>
        <w:spacing w:after="0" w:line="14"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(In thousands, except share count)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880" w:type="dxa"/>
            <w:vAlign w:val="bottom"/>
            <w:gridSpan w:val="5"/>
          </w:tcPr>
          <w:p>
            <w:pPr>
              <w:ind w:left="4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Other</w:t>
            </w:r>
          </w:p>
        </w:tc>
        <w:tc>
          <w:tcPr>
            <w:tcW w:w="2140" w:type="dxa"/>
            <w:vAlign w:val="bottom"/>
            <w:gridSpan w:val="5"/>
          </w:tcPr>
          <w:p>
            <w:pPr>
              <w:ind w:left="560"/>
              <w:spacing w:after="0"/>
              <w:rPr>
                <w:sz w:val="20"/>
                <w:szCs w:val="20"/>
                <w:color w:val="auto"/>
              </w:rPr>
            </w:pPr>
            <w:r>
              <w:rPr>
                <w:rFonts w:ascii="Arial" w:cs="Arial" w:eastAsia="Arial" w:hAnsi="Arial"/>
                <w:sz w:val="14"/>
                <w:szCs w:val="14"/>
                <w:b w:val="1"/>
                <w:bCs w:val="1"/>
                <w:color w:val="auto"/>
              </w:rPr>
              <w:t>Treasury Stock</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66"/>
        </w:trPr>
        <w:tc>
          <w:tcPr>
            <w:tcW w:w="2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restart"/>
          </w:tcPr>
          <w:p>
            <w:pPr>
              <w:jc w:val="center"/>
              <w:ind w:right="220"/>
              <w:spacing w:after="0" w:line="141"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8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Earnings</w:t>
            </w:r>
          </w:p>
        </w:tc>
        <w:tc>
          <w:tcPr>
            <w:tcW w:w="14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Comprehensive Loss</w:t>
            </w: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84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420" w:type="dxa"/>
            <w:vAlign w:val="bottom"/>
            <w:gridSpan w:val="3"/>
            <w:vMerge w:val="continue"/>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840" w:type="dxa"/>
            <w:vAlign w:val="bottom"/>
          </w:tcPr>
          <w:p>
            <w:pPr>
              <w:spacing w:after="0"/>
              <w:rPr>
                <w:sz w:val="6"/>
                <w:szCs w:val="6"/>
                <w:color w:val="auto"/>
              </w:rPr>
            </w:pP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6"/>
                <w:szCs w:val="6"/>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6"/>
                <w:szCs w:val="6"/>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8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2022</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39,795,161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420,306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828,161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(133,374)</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(6,671,126)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(429,480)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685,653</w:t>
            </w:r>
          </w:p>
        </w:tc>
        <w:tc>
          <w:tcPr>
            <w:tcW w:w="0" w:type="dxa"/>
            <w:vAlign w:val="bottom"/>
          </w:tcPr>
          <w:p>
            <w:pPr>
              <w:spacing w:after="0"/>
              <w:rPr>
                <w:sz w:val="1"/>
                <w:szCs w:val="1"/>
                <w:color w:val="auto"/>
              </w:rPr>
            </w:pPr>
          </w:p>
        </w:tc>
      </w:tr>
      <w:tr>
        <w:trPr>
          <w:trHeight w:val="139"/>
        </w:trPr>
        <w:tc>
          <w:tcPr>
            <w:tcW w:w="2840" w:type="dxa"/>
            <w:vAlign w:val="bottom"/>
          </w:tcPr>
          <w:p>
            <w:pPr>
              <w:ind w:left="20"/>
              <w:spacing w:after="0" w:line="139" w:lineRule="exact"/>
              <w:rPr>
                <w:sz w:val="20"/>
                <w:szCs w:val="20"/>
                <w:color w:val="auto"/>
              </w:rPr>
            </w:pPr>
            <w:r>
              <w:rPr>
                <w:rFonts w:ascii="Arial" w:cs="Arial" w:eastAsia="Arial" w:hAnsi="Arial"/>
                <w:sz w:val="14"/>
                <w:szCs w:val="14"/>
                <w:color w:val="auto"/>
                <w:w w:val="93"/>
              </w:rPr>
              <w:t>Stock issued against stock-based compensation</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3,795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02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840" w:type="dxa"/>
            <w:vAlign w:val="bottom"/>
          </w:tcPr>
          <w:p>
            <w:pPr>
              <w:ind w:left="20"/>
              <w:spacing w:after="0"/>
              <w:rPr>
                <w:sz w:val="20"/>
                <w:szCs w:val="20"/>
                <w:color w:val="auto"/>
              </w:rPr>
            </w:pPr>
            <w:r>
              <w:rPr>
                <w:rFonts w:ascii="Arial" w:cs="Arial" w:eastAsia="Arial" w:hAnsi="Arial"/>
                <w:sz w:val="14"/>
                <w:szCs w:val="14"/>
                <w:color w:val="auto"/>
              </w:rPr>
              <w:t>plans</w:t>
            </w: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12,186</w:t>
            </w:r>
          </w:p>
        </w:tc>
        <w:tc>
          <w:tcPr>
            <w:tcW w:w="0" w:type="dxa"/>
            <w:vAlign w:val="bottom"/>
          </w:tcPr>
          <w:p>
            <w:pPr>
              <w:spacing w:after="0"/>
              <w:rPr>
                <w:sz w:val="1"/>
                <w:szCs w:val="1"/>
                <w:color w:val="auto"/>
              </w:rPr>
            </w:pPr>
          </w:p>
        </w:tc>
      </w:tr>
      <w:tr>
        <w:trPr>
          <w:trHeight w:val="188"/>
        </w:trPr>
        <w:tc>
          <w:tcPr>
            <w:tcW w:w="2840" w:type="dxa"/>
            <w:vAlign w:val="bottom"/>
          </w:tcPr>
          <w:p>
            <w:pPr>
              <w:ind w:left="20"/>
              <w:spacing w:after="0"/>
              <w:rPr>
                <w:sz w:val="20"/>
                <w:szCs w:val="20"/>
                <w:color w:val="auto"/>
              </w:rPr>
            </w:pPr>
            <w:r>
              <w:rPr>
                <w:rFonts w:ascii="Arial" w:cs="Arial" w:eastAsia="Arial" w:hAnsi="Arial"/>
                <w:sz w:val="14"/>
                <w:szCs w:val="14"/>
                <w:color w:val="auto"/>
              </w:rPr>
              <w:t>Acquisition of treasury stock</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0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(76,809)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(11,521)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(11,521)</w:t>
            </w:r>
          </w:p>
        </w:tc>
        <w:tc>
          <w:tcPr>
            <w:tcW w:w="0" w:type="dxa"/>
            <w:vAlign w:val="bottom"/>
          </w:tcPr>
          <w:p>
            <w:pPr>
              <w:spacing w:after="0"/>
              <w:rPr>
                <w:sz w:val="1"/>
                <w:szCs w:val="1"/>
                <w:color w:val="auto"/>
              </w:rPr>
            </w:pPr>
          </w:p>
        </w:tc>
      </w:tr>
      <w:tr>
        <w:trPr>
          <w:trHeight w:val="206"/>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(20,829)</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(20,829)</w:t>
            </w:r>
          </w:p>
        </w:tc>
        <w:tc>
          <w:tcPr>
            <w:tcW w:w="0" w:type="dxa"/>
            <w:vAlign w:val="bottom"/>
          </w:tcPr>
          <w:p>
            <w:pPr>
              <w:spacing w:after="0"/>
              <w:rPr>
                <w:sz w:val="1"/>
                <w:szCs w:val="1"/>
                <w:color w:val="auto"/>
              </w:rPr>
            </w:pPr>
          </w:p>
        </w:tc>
      </w:tr>
      <w:tr>
        <w:trPr>
          <w:trHeight w:val="190"/>
        </w:trPr>
        <w:tc>
          <w:tcPr>
            <w:tcW w:w="28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39,095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39,095</w:t>
            </w:r>
          </w:p>
        </w:tc>
        <w:tc>
          <w:tcPr>
            <w:tcW w:w="0" w:type="dxa"/>
            <w:vAlign w:val="bottom"/>
          </w:tcPr>
          <w:p>
            <w:pPr>
              <w:spacing w:after="0"/>
              <w:rPr>
                <w:sz w:val="1"/>
                <w:szCs w:val="1"/>
                <w:color w:val="auto"/>
              </w:rPr>
            </w:pPr>
          </w:p>
        </w:tc>
      </w:tr>
      <w:tr>
        <w:trPr>
          <w:trHeight w:val="222"/>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2022</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39,798,956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432,492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867,256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(154,203)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(6,747,935)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(441,001)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704,584</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80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Accumulated Other</w:t>
            </w:r>
          </w:p>
        </w:tc>
        <w:tc>
          <w:tcPr>
            <w:tcW w:w="2140" w:type="dxa"/>
            <w:vAlign w:val="bottom"/>
            <w:gridSpan w:val="5"/>
          </w:tcPr>
          <w:p>
            <w:pPr>
              <w:ind w:left="560"/>
              <w:spacing w:after="0"/>
              <w:rPr>
                <w:sz w:val="20"/>
                <w:szCs w:val="20"/>
                <w:color w:val="auto"/>
              </w:rPr>
            </w:pPr>
            <w:r>
              <w:rPr>
                <w:rFonts w:ascii="Arial" w:cs="Arial" w:eastAsia="Arial" w:hAnsi="Arial"/>
                <w:sz w:val="14"/>
                <w:szCs w:val="14"/>
                <w:b w:val="1"/>
                <w:bCs w:val="1"/>
                <w:color w:val="auto"/>
              </w:rPr>
              <w:t>Treasury Stock</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28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87"/>
              </w:rPr>
              <w:t>Comprehensive</w:t>
            </w: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restart"/>
          </w:tcPr>
          <w:p>
            <w:pPr>
              <w:jc w:val="right"/>
              <w:spacing w:after="0" w:line="135" w:lineRule="exact"/>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69"/>
        </w:trPr>
        <w:tc>
          <w:tcPr>
            <w:tcW w:w="28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8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8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840" w:type="dxa"/>
            <w:vAlign w:val="bottom"/>
          </w:tcPr>
          <w:p>
            <w:pPr>
              <w:spacing w:after="0"/>
              <w:rPr>
                <w:sz w:val="5"/>
                <w:szCs w:val="5"/>
                <w:color w:val="auto"/>
              </w:rPr>
            </w:pP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28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8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2021</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39,283,853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439,051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701,331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(86,745)</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(6,034,144)</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(325,662)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728,014</w:t>
            </w:r>
          </w:p>
        </w:tc>
        <w:tc>
          <w:tcPr>
            <w:tcW w:w="0" w:type="dxa"/>
            <w:vAlign w:val="bottom"/>
          </w:tcPr>
          <w:p>
            <w:pPr>
              <w:spacing w:after="0"/>
              <w:rPr>
                <w:sz w:val="1"/>
                <w:szCs w:val="1"/>
                <w:color w:val="auto"/>
              </w:rPr>
            </w:pPr>
          </w:p>
        </w:tc>
      </w:tr>
      <w:tr>
        <w:trPr>
          <w:trHeight w:val="131"/>
        </w:trPr>
        <w:tc>
          <w:tcPr>
            <w:tcW w:w="2840" w:type="dxa"/>
            <w:vAlign w:val="bottom"/>
          </w:tcPr>
          <w:p>
            <w:pPr>
              <w:ind w:left="20"/>
              <w:spacing w:after="0" w:line="131" w:lineRule="exact"/>
              <w:rPr>
                <w:sz w:val="20"/>
                <w:szCs w:val="20"/>
                <w:color w:val="auto"/>
              </w:rPr>
            </w:pPr>
            <w:r>
              <w:rPr>
                <w:rFonts w:ascii="Arial" w:cs="Arial" w:eastAsia="Arial" w:hAnsi="Arial"/>
                <w:sz w:val="14"/>
                <w:szCs w:val="14"/>
                <w:color w:val="auto"/>
                <w:w w:val="93"/>
              </w:rPr>
              <w:t>Stock issued against stock-based compensation</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28,372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6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188"/>
        </w:trPr>
        <w:tc>
          <w:tcPr>
            <w:tcW w:w="2840" w:type="dxa"/>
            <w:vAlign w:val="bottom"/>
          </w:tcPr>
          <w:p>
            <w:pPr>
              <w:ind w:left="20"/>
              <w:spacing w:after="0"/>
              <w:rPr>
                <w:sz w:val="20"/>
                <w:szCs w:val="20"/>
                <w:color w:val="auto"/>
              </w:rPr>
            </w:pPr>
            <w:r>
              <w:rPr>
                <w:rFonts w:ascii="Arial" w:cs="Arial" w:eastAsia="Arial" w:hAnsi="Arial"/>
                <w:sz w:val="14"/>
                <w:szCs w:val="14"/>
                <w:color w:val="auto"/>
              </w:rPr>
              <w:t>plans</w:t>
            </w: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10,894</w:t>
            </w:r>
          </w:p>
        </w:tc>
        <w:tc>
          <w:tcPr>
            <w:tcW w:w="0" w:type="dxa"/>
            <w:vAlign w:val="bottom"/>
          </w:tcPr>
          <w:p>
            <w:pPr>
              <w:spacing w:after="0"/>
              <w:rPr>
                <w:sz w:val="1"/>
                <w:szCs w:val="1"/>
                <w:color w:val="auto"/>
              </w:rPr>
            </w:pPr>
          </w:p>
        </w:tc>
      </w:tr>
      <w:tr>
        <w:trPr>
          <w:trHeight w:val="188"/>
        </w:trPr>
        <w:tc>
          <w:tcPr>
            <w:tcW w:w="2840" w:type="dxa"/>
            <w:vAlign w:val="bottom"/>
          </w:tcPr>
          <w:p>
            <w:pPr>
              <w:ind w:left="20"/>
              <w:spacing w:after="0"/>
              <w:rPr>
                <w:sz w:val="20"/>
                <w:szCs w:val="20"/>
                <w:color w:val="auto"/>
              </w:rPr>
            </w:pPr>
            <w:r>
              <w:rPr>
                <w:rFonts w:ascii="Arial" w:cs="Arial" w:eastAsia="Arial" w:hAnsi="Arial"/>
                <w:sz w:val="14"/>
                <w:szCs w:val="14"/>
                <w:color w:val="auto"/>
              </w:rPr>
              <w:t>Acquisition of treasury stock</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(244,580)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(28,196)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(28,196)</w:t>
            </w:r>
          </w:p>
        </w:tc>
        <w:tc>
          <w:tcPr>
            <w:tcW w:w="0" w:type="dxa"/>
            <w:vAlign w:val="bottom"/>
          </w:tcPr>
          <w:p>
            <w:pPr>
              <w:spacing w:after="0"/>
              <w:rPr>
                <w:sz w:val="1"/>
                <w:szCs w:val="1"/>
                <w:color w:val="auto"/>
              </w:rPr>
            </w:pPr>
          </w:p>
        </w:tc>
      </w:tr>
      <w:tr>
        <w:trPr>
          <w:trHeight w:val="206"/>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treasury stock</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310,394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17,306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36,742</w:t>
            </w:r>
          </w:p>
        </w:tc>
        <w:tc>
          <w:tcPr>
            <w:tcW w:w="0" w:type="dxa"/>
            <w:vAlign w:val="bottom"/>
          </w:tcPr>
          <w:p>
            <w:pPr>
              <w:spacing w:after="0"/>
              <w:rPr>
                <w:sz w:val="1"/>
                <w:szCs w:val="1"/>
                <w:color w:val="auto"/>
              </w:rPr>
            </w:pPr>
          </w:p>
        </w:tc>
      </w:tr>
      <w:tr>
        <w:trPr>
          <w:trHeight w:val="188"/>
        </w:trPr>
        <w:tc>
          <w:tcPr>
            <w:tcW w:w="2840" w:type="dxa"/>
            <w:vAlign w:val="bottom"/>
          </w:tcPr>
          <w:p>
            <w:pPr>
              <w:ind w:left="20"/>
              <w:spacing w:after="0"/>
              <w:rPr>
                <w:sz w:val="20"/>
                <w:szCs w:val="20"/>
                <w:color w:val="auto"/>
              </w:rPr>
            </w:pPr>
            <w:r>
              <w:rPr>
                <w:rFonts w:ascii="Arial" w:cs="Arial" w:eastAsia="Arial" w:hAnsi="Arial"/>
                <w:sz w:val="14"/>
                <w:szCs w:val="14"/>
                <w:color w:val="auto"/>
              </w:rPr>
              <w:t>Settlement of convertible notes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(84,000)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(84,000)</w:t>
            </w:r>
          </w:p>
        </w:tc>
        <w:tc>
          <w:tcPr>
            <w:tcW w:w="0" w:type="dxa"/>
            <w:vAlign w:val="bottom"/>
          </w:tcPr>
          <w:p>
            <w:pPr>
              <w:spacing w:after="0"/>
              <w:rPr>
                <w:sz w:val="1"/>
                <w:szCs w:val="1"/>
                <w:color w:val="auto"/>
              </w:rPr>
            </w:pPr>
          </w:p>
        </w:tc>
      </w:tr>
      <w:tr>
        <w:trPr>
          <w:trHeight w:val="206"/>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(5,512)</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(5,512)</w:t>
            </w:r>
          </w:p>
        </w:tc>
        <w:tc>
          <w:tcPr>
            <w:tcW w:w="0" w:type="dxa"/>
            <w:vAlign w:val="bottom"/>
          </w:tcPr>
          <w:p>
            <w:pPr>
              <w:spacing w:after="0"/>
              <w:rPr>
                <w:sz w:val="1"/>
                <w:szCs w:val="1"/>
                <w:color w:val="auto"/>
              </w:rPr>
            </w:pPr>
          </w:p>
        </w:tc>
      </w:tr>
      <w:tr>
        <w:trPr>
          <w:trHeight w:val="190"/>
        </w:trPr>
        <w:tc>
          <w:tcPr>
            <w:tcW w:w="28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26,507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26,507</w:t>
            </w:r>
          </w:p>
        </w:tc>
        <w:tc>
          <w:tcPr>
            <w:tcW w:w="0" w:type="dxa"/>
            <w:vAlign w:val="bottom"/>
          </w:tcPr>
          <w:p>
            <w:pPr>
              <w:spacing w:after="0"/>
              <w:rPr>
                <w:sz w:val="1"/>
                <w:szCs w:val="1"/>
                <w:color w:val="auto"/>
              </w:rPr>
            </w:pPr>
          </w:p>
        </w:tc>
      </w:tr>
      <w:tr>
        <w:trPr>
          <w:trHeight w:val="222"/>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2021</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39,312,225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385,917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727,838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(92,257)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(5,968,330)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(336,552)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684,985</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40"/>
          </w:cols>
          <w:pgMar w:left="320" w:top="357" w:right="5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19" w:lineRule="exact"/>
        <w:rPr>
          <w:sz w:val="20"/>
          <w:szCs w:val="20"/>
          <w:color w:val="auto"/>
        </w:rPr>
      </w:pPr>
    </w:p>
    <w:p>
      <w:pPr>
        <w:ind w:left="3200"/>
        <w:spacing w:after="0"/>
        <w:rPr>
          <w:sz w:val="20"/>
          <w:szCs w:val="20"/>
          <w:color w:val="auto"/>
        </w:rPr>
      </w:pPr>
      <w:r>
        <w:rPr>
          <w:rFonts w:ascii="Arial" w:cs="Arial" w:eastAsia="Arial" w:hAnsi="Arial"/>
          <w:sz w:val="17"/>
          <w:szCs w:val="17"/>
          <w:b w:val="1"/>
          <w:bCs w:val="1"/>
          <w:color w:val="auto"/>
        </w:rPr>
        <w:t>CONSOLIDATED STATEMENTS OF EQUITY (UNAUDITED)</w:t>
      </w:r>
    </w:p>
    <w:p>
      <w:pPr>
        <w:spacing w:after="0" w:line="32"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For the nine months ended September 30, 2022 and 2021</w:t>
      </w:r>
    </w:p>
    <w:p>
      <w:pPr>
        <w:spacing w:after="0" w:line="14"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(In thousands, except share count)</w:t>
      </w:r>
    </w:p>
    <w:p>
      <w:pPr>
        <w:spacing w:after="0" w:line="320"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6"/>
          </w:tcPr>
          <w:p>
            <w:pPr>
              <w:jc w:val="right"/>
              <w:ind w:right="19"/>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40" w:type="dxa"/>
            <w:vAlign w:val="bottom"/>
          </w:tcPr>
          <w:p>
            <w:pPr>
              <w:spacing w:after="0"/>
              <w:rPr>
                <w:sz w:val="14"/>
                <w:szCs w:val="14"/>
                <w:color w:val="auto"/>
              </w:rPr>
            </w:pPr>
          </w:p>
        </w:tc>
        <w:tc>
          <w:tcPr>
            <w:tcW w:w="13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 Other</w:t>
            </w:r>
          </w:p>
        </w:tc>
        <w:tc>
          <w:tcPr>
            <w:tcW w:w="20" w:type="dxa"/>
            <w:vAlign w:val="bottom"/>
          </w:tcPr>
          <w:p>
            <w:pPr>
              <w:spacing w:after="0"/>
              <w:rPr>
                <w:sz w:val="14"/>
                <w:szCs w:val="14"/>
                <w:color w:val="auto"/>
              </w:rPr>
            </w:pPr>
          </w:p>
        </w:tc>
        <w:tc>
          <w:tcPr>
            <w:tcW w:w="2000" w:type="dxa"/>
            <w:vAlign w:val="bottom"/>
            <w:gridSpan w:val="8"/>
          </w:tcPr>
          <w:p>
            <w:pPr>
              <w:ind w:left="480"/>
              <w:spacing w:after="0"/>
              <w:rPr>
                <w:sz w:val="20"/>
                <w:szCs w:val="20"/>
                <w:color w:val="auto"/>
              </w:rPr>
            </w:pPr>
            <w:r>
              <w:rPr>
                <w:rFonts w:ascii="Arial" w:cs="Arial" w:eastAsia="Arial" w:hAnsi="Arial"/>
                <w:sz w:val="14"/>
                <w:szCs w:val="14"/>
                <w:b w:val="1"/>
                <w:bCs w:val="1"/>
                <w:color w:val="auto"/>
              </w:rPr>
              <w:t>Treasury Stock</w:t>
            </w:r>
          </w:p>
        </w:tc>
        <w:tc>
          <w:tcPr>
            <w:tcW w:w="40" w:type="dxa"/>
            <w:vAlign w:val="bottom"/>
          </w:tcPr>
          <w:p>
            <w:pPr>
              <w:spacing w:after="0"/>
              <w:rPr>
                <w:sz w:val="14"/>
                <w:szCs w:val="14"/>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66"/>
        </w:trPr>
        <w:tc>
          <w:tcPr>
            <w:tcW w:w="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3"/>
            <w:vMerge w:val="restart"/>
          </w:tcPr>
          <w:p>
            <w:pPr>
              <w:jc w:val="center"/>
              <w:ind w:right="200"/>
              <w:spacing w:after="0" w:line="121" w:lineRule="exact"/>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Earnings</w:t>
            </w:r>
          </w:p>
        </w:tc>
        <w:tc>
          <w:tcPr>
            <w:tcW w:w="14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6"/>
              </w:rPr>
              <w:t>Comprehensive Loss</w:t>
            </w:r>
          </w:p>
        </w:tc>
        <w:tc>
          <w:tcPr>
            <w:tcW w:w="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140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80" w:type="dxa"/>
            <w:vAlign w:val="bottom"/>
          </w:tcPr>
          <w:p>
            <w:pPr>
              <w:spacing w:after="0"/>
              <w:rPr>
                <w:sz w:val="7"/>
                <w:szCs w:val="7"/>
                <w:color w:val="auto"/>
              </w:rPr>
            </w:pPr>
          </w:p>
        </w:tc>
        <w:tc>
          <w:tcPr>
            <w:tcW w:w="266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80" w:type="dxa"/>
            <w:vAlign w:val="bottom"/>
          </w:tcPr>
          <w:p>
            <w:pPr>
              <w:spacing w:after="0"/>
              <w:rPr>
                <w:sz w:val="6"/>
                <w:szCs w:val="6"/>
                <w:color w:val="auto"/>
              </w:rPr>
            </w:pPr>
          </w:p>
        </w:tc>
        <w:tc>
          <w:tcPr>
            <w:tcW w:w="266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1, 2022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39,508,340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59"/>
              <w:spacing w:after="0"/>
              <w:rPr>
                <w:sz w:val="20"/>
                <w:szCs w:val="20"/>
                <w:color w:val="auto"/>
              </w:rPr>
            </w:pPr>
            <w:r>
              <w:rPr>
                <w:rFonts w:ascii="Arial" w:cs="Arial" w:eastAsia="Arial" w:hAnsi="Arial"/>
                <w:sz w:val="10"/>
                <w:szCs w:val="10"/>
                <w:b w:val="1"/>
                <w:bCs w:val="1"/>
                <w:color w:val="auto"/>
                <w:w w:val="71"/>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40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395,742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756,137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(89,474)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(6,216,858)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(369,289)</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90"/>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693,156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740" w:type="dxa"/>
            <w:vAlign w:val="bottom"/>
            <w:gridSpan w:val="2"/>
          </w:tcPr>
          <w:p>
            <w:pPr>
              <w:ind w:left="20"/>
              <w:spacing w:after="0" w:line="139" w:lineRule="exact"/>
              <w:rPr>
                <w:sz w:val="20"/>
                <w:szCs w:val="20"/>
                <w:color w:val="auto"/>
              </w:rPr>
            </w:pPr>
            <w:r>
              <w:rPr>
                <w:rFonts w:ascii="Arial" w:cs="Arial" w:eastAsia="Arial" w:hAnsi="Arial"/>
                <w:sz w:val="14"/>
                <w:szCs w:val="14"/>
                <w:color w:val="auto"/>
                <w:w w:val="90"/>
              </w:rPr>
              <w:t>Stock issued against stock-based compensation</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290,616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3"/>
            <w:vMerge w:val="restart"/>
          </w:tcPr>
          <w:p>
            <w:pPr>
              <w:ind w:left="6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0" w:type="dxa"/>
            <w:vAlign w:val="bottom"/>
            <w:gridSpan w:val="3"/>
            <w:vMerge w:val="restart"/>
          </w:tcPr>
          <w:p>
            <w:pPr>
              <w:ind w:left="6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restart"/>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0" w:type="dxa"/>
            <w:vAlign w:val="bottom"/>
          </w:tcPr>
          <w:p>
            <w:pPr>
              <w:spacing w:after="0"/>
              <w:rPr>
                <w:sz w:val="15"/>
                <w:szCs w:val="15"/>
                <w:color w:val="auto"/>
              </w:rPr>
            </w:pPr>
          </w:p>
        </w:tc>
        <w:tc>
          <w:tcPr>
            <w:tcW w:w="2740" w:type="dxa"/>
            <w:vAlign w:val="bottom"/>
            <w:gridSpan w:val="2"/>
          </w:tcPr>
          <w:p>
            <w:pPr>
              <w:ind w:left="20"/>
              <w:spacing w:after="0"/>
              <w:rPr>
                <w:sz w:val="20"/>
                <w:szCs w:val="20"/>
                <w:color w:val="auto"/>
              </w:rPr>
            </w:pPr>
            <w:r>
              <w:rPr>
                <w:rFonts w:ascii="Arial" w:cs="Arial" w:eastAsia="Arial" w:hAnsi="Arial"/>
                <w:sz w:val="14"/>
                <w:szCs w:val="14"/>
                <w:color w:val="auto"/>
              </w:rPr>
              <w:t>plans</w:t>
            </w:r>
          </w:p>
        </w:tc>
        <w:tc>
          <w:tcPr>
            <w:tcW w:w="9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36,750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36,750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2740" w:type="dxa"/>
            <w:vAlign w:val="bottom"/>
            <w:gridSpan w:val="2"/>
          </w:tcPr>
          <w:p>
            <w:pPr>
              <w:ind w:left="20"/>
              <w:spacing w:after="0"/>
              <w:rPr>
                <w:sz w:val="20"/>
                <w:szCs w:val="20"/>
                <w:color w:val="auto"/>
              </w:rPr>
            </w:pPr>
            <w:r>
              <w:rPr>
                <w:rFonts w:ascii="Arial" w:cs="Arial" w:eastAsia="Arial" w:hAnsi="Arial"/>
                <w:sz w:val="14"/>
                <w:szCs w:val="14"/>
                <w:color w:val="auto"/>
              </w:rPr>
              <w:t>Acquisition of treasury stock</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gridSpan w:val="3"/>
          </w:tcPr>
          <w:p>
            <w:pPr>
              <w:ind w:left="6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(531,077)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(71,712)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(71,712)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(64,729)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274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111,119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gridSpan w:val="3"/>
          </w:tcPr>
          <w:p>
            <w:pPr>
              <w:ind w:left="6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0" w:type="dxa"/>
            <w:vAlign w:val="bottom"/>
            <w:gridSpan w:val="3"/>
          </w:tcPr>
          <w:p>
            <w:pPr>
              <w:ind w:left="6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111,119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8"/>
                <w:szCs w:val="18"/>
                <w:color w:val="auto"/>
              </w:rPr>
            </w:pPr>
          </w:p>
        </w:tc>
        <w:tc>
          <w:tcPr>
            <w:tcW w:w="2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2022</w:t>
            </w:r>
          </w:p>
        </w:tc>
        <w:tc>
          <w:tcPr>
            <w:tcW w:w="9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39,798,956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40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432,492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867,256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(154,203)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(6,747,935)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(441,001)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704,584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8"/>
        </w:trPr>
        <w:tc>
          <w:tcPr>
            <w:tcW w:w="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6"/>
          </w:tcPr>
          <w:p>
            <w:pPr>
              <w:jc w:val="right"/>
              <w:ind w:right="79"/>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40" w:type="dxa"/>
            <w:vAlign w:val="bottom"/>
          </w:tcPr>
          <w:p>
            <w:pPr>
              <w:spacing w:after="0"/>
              <w:rPr>
                <w:sz w:val="24"/>
                <w:szCs w:val="24"/>
                <w:color w:val="auto"/>
              </w:rPr>
            </w:pPr>
          </w:p>
        </w:tc>
        <w:tc>
          <w:tcPr>
            <w:tcW w:w="13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Accumulated Other</w:t>
            </w:r>
          </w:p>
        </w:tc>
        <w:tc>
          <w:tcPr>
            <w:tcW w:w="20" w:type="dxa"/>
            <w:vAlign w:val="bottom"/>
          </w:tcPr>
          <w:p>
            <w:pPr>
              <w:spacing w:after="0"/>
              <w:rPr>
                <w:sz w:val="24"/>
                <w:szCs w:val="24"/>
                <w:color w:val="auto"/>
              </w:rPr>
            </w:pPr>
          </w:p>
        </w:tc>
        <w:tc>
          <w:tcPr>
            <w:tcW w:w="2000" w:type="dxa"/>
            <w:vAlign w:val="bottom"/>
            <w:gridSpan w:val="8"/>
          </w:tcPr>
          <w:p>
            <w:pPr>
              <w:ind w:left="520"/>
              <w:spacing w:after="0"/>
              <w:rPr>
                <w:sz w:val="20"/>
                <w:szCs w:val="20"/>
                <w:color w:val="auto"/>
              </w:rPr>
            </w:pPr>
            <w:r>
              <w:rPr>
                <w:rFonts w:ascii="Arial" w:cs="Arial" w:eastAsia="Arial" w:hAnsi="Arial"/>
                <w:sz w:val="14"/>
                <w:szCs w:val="14"/>
                <w:b w:val="1"/>
                <w:bCs w:val="1"/>
                <w:color w:val="auto"/>
              </w:rPr>
              <w:t>Treasury Stock</w:t>
            </w:r>
          </w:p>
        </w:tc>
        <w:tc>
          <w:tcPr>
            <w:tcW w:w="40" w:type="dxa"/>
            <w:vAlign w:val="bottom"/>
          </w:tcPr>
          <w:p>
            <w:pPr>
              <w:spacing w:after="0"/>
              <w:rPr>
                <w:sz w:val="24"/>
                <w:szCs w:val="24"/>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50"/>
        </w:trPr>
        <w:tc>
          <w:tcPr>
            <w:tcW w:w="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36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4"/>
              </w:rPr>
              <w:t>Paid-in Capital</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Earnings</w:t>
            </w:r>
          </w:p>
        </w:tc>
        <w:tc>
          <w:tcPr>
            <w:tcW w:w="40" w:type="dxa"/>
            <w:vAlign w:val="bottom"/>
          </w:tcPr>
          <w:p>
            <w:pPr>
              <w:spacing w:after="0"/>
              <w:rPr>
                <w:sz w:val="3"/>
                <w:szCs w:val="3"/>
                <w:color w:val="auto"/>
              </w:rPr>
            </w:pPr>
          </w:p>
        </w:tc>
        <w:tc>
          <w:tcPr>
            <w:tcW w:w="13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3"/>
              </w:rPr>
              <w:t>Comprehensive Loss</w:t>
            </w:r>
          </w:p>
        </w:tc>
        <w:tc>
          <w:tcPr>
            <w:tcW w:w="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8"/>
        </w:trPr>
        <w:tc>
          <w:tcPr>
            <w:tcW w:w="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4"/>
                <w:szCs w:val="4"/>
                <w:color w:val="auto"/>
              </w:rPr>
            </w:pPr>
          </w:p>
        </w:tc>
        <w:tc>
          <w:tcPr>
            <w:tcW w:w="1080" w:type="dxa"/>
            <w:vAlign w:val="bottom"/>
            <w:gridSpan w:val="5"/>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36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136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740" w:type="dxa"/>
            <w:vAlign w:val="bottom"/>
            <w:tcBorders>
              <w:bottom w:val="single" w:sz="8" w:color="CCEEFF"/>
            </w:tcBorders>
            <w:gridSpan w:val="2"/>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gridSpan w:val="2"/>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gridSpan w:val="2"/>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gridSpan w:val="2"/>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gridSpan w:val="2"/>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gridSpan w:val="2"/>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1, 2021</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38,968,052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420,976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641,379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4"/>
                <w:szCs w:val="14"/>
                <w:b w:val="1"/>
                <w:bCs w:val="1"/>
                <w:color w:val="auto"/>
                <w:w w:val="91"/>
              </w:rPr>
              <w:t>(74,984)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(5,408,618)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(268,238)</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719,172</w:t>
            </w:r>
          </w:p>
        </w:tc>
        <w:tc>
          <w:tcPr>
            <w:tcW w:w="0" w:type="dxa"/>
            <w:vAlign w:val="bottom"/>
          </w:tcPr>
          <w:p>
            <w:pPr>
              <w:spacing w:after="0"/>
              <w:rPr>
                <w:sz w:val="1"/>
                <w:szCs w:val="1"/>
                <w:color w:val="auto"/>
              </w:rPr>
            </w:pPr>
          </w:p>
        </w:tc>
      </w:tr>
      <w:tr>
        <w:trPr>
          <w:trHeight w:val="131"/>
        </w:trPr>
        <w:tc>
          <w:tcPr>
            <w:tcW w:w="2820" w:type="dxa"/>
            <w:vAlign w:val="bottom"/>
            <w:gridSpan w:val="3"/>
          </w:tcPr>
          <w:p>
            <w:pPr>
              <w:ind w:left="20"/>
              <w:spacing w:after="0" w:line="131" w:lineRule="exact"/>
              <w:rPr>
                <w:sz w:val="20"/>
                <w:szCs w:val="20"/>
                <w:color w:val="auto"/>
              </w:rPr>
            </w:pPr>
            <w:r>
              <w:rPr>
                <w:rFonts w:ascii="Arial" w:cs="Arial" w:eastAsia="Arial" w:hAnsi="Arial"/>
                <w:sz w:val="14"/>
                <w:szCs w:val="14"/>
                <w:color w:val="auto"/>
                <w:w w:val="93"/>
              </w:rPr>
              <w:t>Stock issued against stock-based compensation</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344,173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709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188"/>
        </w:trPr>
        <w:tc>
          <w:tcPr>
            <w:tcW w:w="2820" w:type="dxa"/>
            <w:vAlign w:val="bottom"/>
            <w:gridSpan w:val="3"/>
          </w:tcPr>
          <w:p>
            <w:pPr>
              <w:ind w:left="20"/>
              <w:spacing w:after="0"/>
              <w:rPr>
                <w:sz w:val="20"/>
                <w:szCs w:val="20"/>
                <w:color w:val="auto"/>
              </w:rPr>
            </w:pPr>
            <w:r>
              <w:rPr>
                <w:rFonts w:ascii="Arial" w:cs="Arial" w:eastAsia="Arial" w:hAnsi="Arial"/>
                <w:sz w:val="14"/>
                <w:szCs w:val="14"/>
                <w:color w:val="auto"/>
              </w:rPr>
              <w:t>plans</w:t>
            </w: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28,796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28,796</w:t>
            </w:r>
          </w:p>
        </w:tc>
        <w:tc>
          <w:tcPr>
            <w:tcW w:w="0" w:type="dxa"/>
            <w:vAlign w:val="bottom"/>
          </w:tcPr>
          <w:p>
            <w:pPr>
              <w:spacing w:after="0"/>
              <w:rPr>
                <w:sz w:val="1"/>
                <w:szCs w:val="1"/>
                <w:color w:val="auto"/>
              </w:rPr>
            </w:pPr>
          </w:p>
        </w:tc>
      </w:tr>
      <w:tr>
        <w:trPr>
          <w:trHeight w:val="188"/>
        </w:trPr>
        <w:tc>
          <w:tcPr>
            <w:tcW w:w="2820" w:type="dxa"/>
            <w:vAlign w:val="bottom"/>
            <w:gridSpan w:val="3"/>
          </w:tcPr>
          <w:p>
            <w:pPr>
              <w:ind w:left="20"/>
              <w:spacing w:after="0"/>
              <w:rPr>
                <w:sz w:val="20"/>
                <w:szCs w:val="20"/>
                <w:color w:val="auto"/>
              </w:rPr>
            </w:pPr>
            <w:r>
              <w:rPr>
                <w:rFonts w:ascii="Arial" w:cs="Arial" w:eastAsia="Arial" w:hAnsi="Arial"/>
                <w:sz w:val="14"/>
                <w:szCs w:val="14"/>
                <w:color w:val="auto"/>
              </w:rPr>
              <w:t>Acquisition of treasury stock</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4"/>
                <w:szCs w:val="14"/>
                <w:color w:val="auto"/>
              </w:rPr>
              <w:t>(870,106)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(85,620)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(85,620)</w:t>
            </w:r>
          </w:p>
        </w:tc>
        <w:tc>
          <w:tcPr>
            <w:tcW w:w="0" w:type="dxa"/>
            <w:vAlign w:val="bottom"/>
          </w:tcPr>
          <w:p>
            <w:pPr>
              <w:spacing w:after="0"/>
              <w:rPr>
                <w:sz w:val="1"/>
                <w:szCs w:val="1"/>
                <w:color w:val="auto"/>
              </w:rPr>
            </w:pPr>
          </w:p>
        </w:tc>
      </w:tr>
      <w:tr>
        <w:trPr>
          <w:trHeight w:val="206"/>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Issuance of treasury stock</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19,436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310,394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17,306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36,742</w:t>
            </w:r>
          </w:p>
        </w:tc>
        <w:tc>
          <w:tcPr>
            <w:tcW w:w="0" w:type="dxa"/>
            <w:vAlign w:val="bottom"/>
          </w:tcPr>
          <w:p>
            <w:pPr>
              <w:spacing w:after="0"/>
              <w:rPr>
                <w:sz w:val="1"/>
                <w:szCs w:val="1"/>
                <w:color w:val="auto"/>
              </w:rPr>
            </w:pPr>
          </w:p>
        </w:tc>
      </w:tr>
      <w:tr>
        <w:trPr>
          <w:trHeight w:val="188"/>
        </w:trPr>
        <w:tc>
          <w:tcPr>
            <w:tcW w:w="2820" w:type="dxa"/>
            <w:vAlign w:val="bottom"/>
            <w:gridSpan w:val="3"/>
          </w:tcPr>
          <w:p>
            <w:pPr>
              <w:ind w:left="20"/>
              <w:spacing w:after="0"/>
              <w:rPr>
                <w:sz w:val="20"/>
                <w:szCs w:val="20"/>
                <w:color w:val="auto"/>
              </w:rPr>
            </w:pPr>
            <w:r>
              <w:rPr>
                <w:rFonts w:ascii="Arial" w:cs="Arial" w:eastAsia="Arial" w:hAnsi="Arial"/>
                <w:sz w:val="14"/>
                <w:szCs w:val="14"/>
                <w:color w:val="auto"/>
              </w:rPr>
              <w:t>Settlement of convertible notes</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(84,000)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(84,000)</w:t>
            </w:r>
          </w:p>
        </w:tc>
        <w:tc>
          <w:tcPr>
            <w:tcW w:w="0" w:type="dxa"/>
            <w:vAlign w:val="bottom"/>
          </w:tcPr>
          <w:p>
            <w:pPr>
              <w:spacing w:after="0"/>
              <w:rPr>
                <w:sz w:val="1"/>
                <w:szCs w:val="1"/>
                <w:color w:val="auto"/>
              </w:rPr>
            </w:pPr>
          </w:p>
        </w:tc>
      </w:tr>
      <w:tr>
        <w:trPr>
          <w:trHeight w:val="206"/>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w w:val="91"/>
              </w:rPr>
              <w:t>(17,273)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(17,273)</w:t>
            </w:r>
          </w:p>
        </w:tc>
        <w:tc>
          <w:tcPr>
            <w:tcW w:w="0" w:type="dxa"/>
            <w:vAlign w:val="bottom"/>
          </w:tcPr>
          <w:p>
            <w:pPr>
              <w:spacing w:after="0"/>
              <w:rPr>
                <w:sz w:val="1"/>
                <w:szCs w:val="1"/>
                <w:color w:val="auto"/>
              </w:rPr>
            </w:pPr>
          </w:p>
        </w:tc>
      </w:tr>
      <w:tr>
        <w:trPr>
          <w:trHeight w:val="190"/>
        </w:trPr>
        <w:tc>
          <w:tcPr>
            <w:tcW w:w="27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Net income</w:t>
            </w: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86,459</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86,459</w:t>
            </w:r>
          </w:p>
        </w:tc>
        <w:tc>
          <w:tcPr>
            <w:tcW w:w="0" w:type="dxa"/>
            <w:vAlign w:val="bottom"/>
          </w:tcPr>
          <w:p>
            <w:pPr>
              <w:spacing w:after="0"/>
              <w:rPr>
                <w:sz w:val="1"/>
                <w:szCs w:val="1"/>
                <w:color w:val="auto"/>
              </w:rPr>
            </w:pPr>
          </w:p>
        </w:tc>
      </w:tr>
      <w:tr>
        <w:trPr>
          <w:trHeight w:val="217"/>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39,312,225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385,917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727,838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4"/>
                <w:szCs w:val="14"/>
                <w:b w:val="1"/>
                <w:bCs w:val="1"/>
                <w:color w:val="auto"/>
                <w:w w:val="91"/>
              </w:rPr>
              <w:t>(92,257)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(5,968,330)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(336,552)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684,985</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39"/>
        <w:spacing w:after="0"/>
        <w:rPr>
          <w:sz w:val="20"/>
          <w:szCs w:val="20"/>
          <w:color w:val="auto"/>
        </w:rPr>
      </w:pPr>
      <w:r>
        <w:rPr>
          <w:rFonts w:ascii="Arial" w:cs="Arial" w:eastAsia="Arial" w:hAnsi="Arial"/>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357" w:right="47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EXLSERVICE HOLDINGS,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 (UNAUDITED)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00" w:type="dxa"/>
            <w:vAlign w:val="bottom"/>
          </w:tcPr>
          <w:p>
            <w:pPr>
              <w:spacing w:after="0"/>
              <w:rPr>
                <w:sz w:val="15"/>
                <w:szCs w:val="15"/>
                <w:color w:val="auto"/>
              </w:rPr>
            </w:pPr>
          </w:p>
        </w:tc>
        <w:tc>
          <w:tcPr>
            <w:tcW w:w="290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Nine months ended September 30,</w:t>
            </w:r>
          </w:p>
        </w:tc>
        <w:tc>
          <w:tcPr>
            <w:tcW w:w="640" w:type="dxa"/>
            <w:vAlign w:val="bottom"/>
          </w:tcPr>
          <w:p>
            <w:pPr>
              <w:spacing w:after="0"/>
              <w:rPr>
                <w:sz w:val="15"/>
                <w:szCs w:val="15"/>
                <w:color w:val="auto"/>
              </w:rPr>
            </w:pPr>
          </w:p>
        </w:tc>
      </w:tr>
      <w:tr>
        <w:trPr>
          <w:trHeight w:val="24"/>
        </w:trPr>
        <w:tc>
          <w:tcPr>
            <w:tcW w:w="7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3"/>
        </w:trPr>
        <w:tc>
          <w:tcPr>
            <w:tcW w:w="77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r>
      <w:tr>
        <w:trPr>
          <w:trHeight w:val="184"/>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88"/>
        </w:trPr>
        <w:tc>
          <w:tcPr>
            <w:tcW w:w="77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80" w:type="dxa"/>
            <w:vAlign w:val="bottom"/>
          </w:tcPr>
          <w:p>
            <w:pPr>
              <w:jc w:val="right"/>
              <w:ind w:right="93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111,119</w:t>
            </w:r>
          </w:p>
        </w:tc>
        <w:tc>
          <w:tcPr>
            <w:tcW w:w="100" w:type="dxa"/>
            <w:vAlign w:val="bottom"/>
          </w:tcPr>
          <w:p>
            <w:pPr>
              <w:spacing w:after="0"/>
              <w:rPr>
                <w:sz w:val="16"/>
                <w:szCs w:val="16"/>
                <w:color w:val="auto"/>
              </w:rPr>
            </w:pPr>
          </w:p>
        </w:tc>
        <w:tc>
          <w:tcPr>
            <w:tcW w:w="1080" w:type="dxa"/>
            <w:vAlign w:val="bottom"/>
          </w:tcPr>
          <w:p>
            <w:pPr>
              <w:jc w:val="right"/>
              <w:ind w:right="91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86,459</w:t>
            </w:r>
          </w:p>
        </w:tc>
      </w:tr>
      <w:tr>
        <w:trPr>
          <w:trHeight w:val="206"/>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8"/>
        </w:trPr>
        <w:tc>
          <w:tcPr>
            <w:tcW w:w="7700" w:type="dxa"/>
            <w:vAlign w:val="bottom"/>
          </w:tcPr>
          <w:p>
            <w:pPr>
              <w:ind w:left="340"/>
              <w:spacing w:after="0"/>
              <w:rPr>
                <w:sz w:val="20"/>
                <w:szCs w:val="20"/>
                <w:color w:val="auto"/>
              </w:rPr>
            </w:pPr>
            <w:r>
              <w:rPr>
                <w:rFonts w:ascii="Arial" w:cs="Arial" w:eastAsia="Arial" w:hAnsi="Arial"/>
                <w:sz w:val="14"/>
                <w:szCs w:val="14"/>
                <w:color w:val="auto"/>
              </w:rPr>
              <w:t>Depreciation and amortization expense</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41,993</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37,159</w:t>
            </w:r>
          </w:p>
        </w:tc>
      </w:tr>
      <w:tr>
        <w:trPr>
          <w:trHeight w:val="206"/>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36,750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28,796</w:t>
            </w:r>
          </w:p>
        </w:tc>
      </w:tr>
      <w:tr>
        <w:trPr>
          <w:trHeight w:val="188"/>
        </w:trPr>
        <w:tc>
          <w:tcPr>
            <w:tcW w:w="7700" w:type="dxa"/>
            <w:vAlign w:val="bottom"/>
          </w:tcPr>
          <w:p>
            <w:pPr>
              <w:ind w:left="340"/>
              <w:spacing w:after="0"/>
              <w:rPr>
                <w:sz w:val="20"/>
                <w:szCs w:val="20"/>
                <w:color w:val="auto"/>
              </w:rPr>
            </w:pPr>
            <w:r>
              <w:rPr>
                <w:rFonts w:ascii="Arial" w:cs="Arial" w:eastAsia="Arial" w:hAnsi="Arial"/>
                <w:sz w:val="14"/>
                <w:szCs w:val="14"/>
                <w:color w:val="auto"/>
              </w:rPr>
              <w:t>Amortization of operating lease right-of-use assets</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17,365</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20,012</w:t>
            </w:r>
          </w:p>
        </w:tc>
      </w:tr>
      <w:tr>
        <w:trPr>
          <w:trHeight w:val="206"/>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Unrealized (gain)/loss on investments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5,987</w:t>
            </w:r>
          </w:p>
        </w:tc>
      </w:tr>
      <w:tr>
        <w:trPr>
          <w:trHeight w:val="188"/>
        </w:trPr>
        <w:tc>
          <w:tcPr>
            <w:tcW w:w="7700" w:type="dxa"/>
            <w:vAlign w:val="bottom"/>
          </w:tcPr>
          <w:p>
            <w:pPr>
              <w:ind w:left="340"/>
              <w:spacing w:after="0"/>
              <w:rPr>
                <w:sz w:val="20"/>
                <w:szCs w:val="20"/>
                <w:color w:val="auto"/>
              </w:rPr>
            </w:pPr>
            <w:r>
              <w:rPr>
                <w:rFonts w:ascii="Arial" w:cs="Arial" w:eastAsia="Arial" w:hAnsi="Arial"/>
                <w:sz w:val="14"/>
                <w:szCs w:val="14"/>
                <w:color w:val="auto"/>
              </w:rPr>
              <w:t>Unrealized foreign currency exchange gain, net</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(16,813)</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(3,799)</w:t>
            </w:r>
          </w:p>
        </w:tc>
      </w:tr>
      <w:tr>
        <w:trPr>
          <w:trHeight w:val="206"/>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income tax benefit</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(17,374)</w:t>
            </w:r>
          </w:p>
        </w:tc>
      </w:tr>
      <w:tr>
        <w:trPr>
          <w:trHeight w:val="188"/>
        </w:trPr>
        <w:tc>
          <w:tcPr>
            <w:tcW w:w="7700" w:type="dxa"/>
            <w:vAlign w:val="bottom"/>
          </w:tcPr>
          <w:p>
            <w:pPr>
              <w:ind w:left="340"/>
              <w:spacing w:after="0"/>
              <w:rPr>
                <w:sz w:val="20"/>
                <w:szCs w:val="20"/>
                <w:color w:val="auto"/>
              </w:rPr>
            </w:pPr>
            <w:r>
              <w:rPr>
                <w:rFonts w:ascii="Arial" w:cs="Arial" w:eastAsia="Arial" w:hAnsi="Arial"/>
                <w:sz w:val="14"/>
                <w:szCs w:val="14"/>
                <w:color w:val="auto"/>
              </w:rPr>
              <w:t>Allowance / (reversal) of expected credit losses</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(405)</w:t>
            </w:r>
          </w:p>
        </w:tc>
      </w:tr>
      <w:tr>
        <w:trPr>
          <w:trHeight w:val="206"/>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Fair value changes in contingent consideration</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700" w:type="dxa"/>
            <w:vAlign w:val="bottom"/>
          </w:tcPr>
          <w:p>
            <w:pPr>
              <w:ind w:left="340"/>
              <w:spacing w:after="0"/>
              <w:rPr>
                <w:sz w:val="20"/>
                <w:szCs w:val="20"/>
                <w:color w:val="auto"/>
              </w:rPr>
            </w:pPr>
            <w:r>
              <w:rPr>
                <w:rFonts w:ascii="Arial" w:cs="Arial" w:eastAsia="Arial" w:hAnsi="Arial"/>
                <w:sz w:val="14"/>
                <w:szCs w:val="14"/>
                <w:color w:val="auto"/>
              </w:rPr>
              <w:t>Loss on settlement of convertible notes</w:t>
            </w:r>
          </w:p>
        </w:tc>
        <w:tc>
          <w:tcPr>
            <w:tcW w:w="108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12,845</w:t>
            </w:r>
          </w:p>
        </w:tc>
      </w:tr>
      <w:tr>
        <w:trPr>
          <w:trHeight w:val="206"/>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non-cash interest expense related to convertible senior notes</w:t>
            </w:r>
          </w:p>
        </w:tc>
        <w:tc>
          <w:tcPr>
            <w:tcW w:w="10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w:t>
            </w:r>
          </w:p>
        </w:tc>
      </w:tr>
      <w:tr>
        <w:trPr>
          <w:trHeight w:val="188"/>
        </w:trPr>
        <w:tc>
          <w:tcPr>
            <w:tcW w:w="7700" w:type="dxa"/>
            <w:vAlign w:val="bottom"/>
          </w:tcPr>
          <w:p>
            <w:pPr>
              <w:ind w:left="340"/>
              <w:spacing w:after="0"/>
              <w:rPr>
                <w:sz w:val="20"/>
                <w:szCs w:val="20"/>
                <w:color w:val="auto"/>
              </w:rPr>
            </w:pPr>
            <w:r>
              <w:rPr>
                <w:rFonts w:ascii="Arial" w:cs="Arial" w:eastAsia="Arial" w:hAnsi="Arial"/>
                <w:sz w:val="14"/>
                <w:szCs w:val="14"/>
                <w:color w:val="auto"/>
              </w:rPr>
              <w:t>Others, net</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1,240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590</w:t>
            </w:r>
          </w:p>
        </w:tc>
      </w:tr>
      <w:tr>
        <w:trPr>
          <w:trHeight w:val="206"/>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operating assets and liabilities, net of effects of acquisitions: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8"/>
        </w:trPr>
        <w:tc>
          <w:tcPr>
            <w:tcW w:w="7700" w:type="dxa"/>
            <w:vAlign w:val="bottom"/>
          </w:tcPr>
          <w:p>
            <w:pPr>
              <w:ind w:left="340"/>
              <w:spacing w:after="0"/>
              <w:rPr>
                <w:sz w:val="20"/>
                <w:szCs w:val="20"/>
                <w:color w:val="auto"/>
              </w:rPr>
            </w:pPr>
            <w:r>
              <w:rPr>
                <w:rFonts w:ascii="Arial" w:cs="Arial" w:eastAsia="Arial" w:hAnsi="Arial"/>
                <w:sz w:val="14"/>
                <w:szCs w:val="14"/>
                <w:color w:val="auto"/>
              </w:rPr>
              <w:t>Accounts receivable</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(68,066)</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(44,871)</w:t>
            </w:r>
          </w:p>
        </w:tc>
      </w:tr>
      <w:tr>
        <w:trPr>
          <w:trHeight w:val="206"/>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current assets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3,033</w:t>
            </w:r>
          </w:p>
        </w:tc>
      </w:tr>
      <w:tr>
        <w:trPr>
          <w:trHeight w:val="188"/>
        </w:trPr>
        <w:tc>
          <w:tcPr>
            <w:tcW w:w="7700" w:type="dxa"/>
            <w:vAlign w:val="bottom"/>
          </w:tcPr>
          <w:p>
            <w:pPr>
              <w:ind w:left="340"/>
              <w:spacing w:after="0"/>
              <w:rPr>
                <w:sz w:val="20"/>
                <w:szCs w:val="20"/>
                <w:color w:val="auto"/>
              </w:rPr>
            </w:pPr>
            <w:r>
              <w:rPr>
                <w:rFonts w:ascii="Arial" w:cs="Arial" w:eastAsia="Arial" w:hAnsi="Arial"/>
                <w:sz w:val="14"/>
                <w:szCs w:val="14"/>
                <w:color w:val="auto"/>
              </w:rPr>
              <w:t>Income taxes payable, net</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4,043</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(5,685)</w:t>
            </w:r>
          </w:p>
        </w:tc>
      </w:tr>
      <w:tr>
        <w:trPr>
          <w:trHeight w:val="206"/>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assets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(8,428)</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2,485</w:t>
            </w:r>
          </w:p>
        </w:tc>
      </w:tr>
      <w:tr>
        <w:trPr>
          <w:trHeight w:val="188"/>
        </w:trPr>
        <w:tc>
          <w:tcPr>
            <w:tcW w:w="770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(1,927)</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(2,333)</w:t>
            </w:r>
          </w:p>
        </w:tc>
      </w:tr>
      <w:tr>
        <w:trPr>
          <w:trHeight w:val="206"/>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revenue</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(21,196)</w:t>
            </w:r>
          </w:p>
        </w:tc>
      </w:tr>
      <w:tr>
        <w:trPr>
          <w:trHeight w:val="188"/>
        </w:trPr>
        <w:tc>
          <w:tcPr>
            <w:tcW w:w="7700" w:type="dxa"/>
            <w:vAlign w:val="bottom"/>
          </w:tcPr>
          <w:p>
            <w:pPr>
              <w:ind w:left="340"/>
              <w:spacing w:after="0"/>
              <w:rPr>
                <w:sz w:val="20"/>
                <w:szCs w:val="20"/>
                <w:color w:val="auto"/>
              </w:rPr>
            </w:pPr>
            <w:r>
              <w:rPr>
                <w:rFonts w:ascii="Arial" w:cs="Arial" w:eastAsia="Arial" w:hAnsi="Arial"/>
                <w:sz w:val="14"/>
                <w:szCs w:val="14"/>
                <w:color w:val="auto"/>
              </w:rPr>
              <w:t>Accrued employee costs</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(11,778)</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26,664</w:t>
            </w:r>
          </w:p>
        </w:tc>
      </w:tr>
      <w:tr>
        <w:trPr>
          <w:trHeight w:val="206"/>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Accrued expenses and other liabilities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w:t>
            </w:r>
          </w:p>
        </w:tc>
      </w:tr>
      <w:tr>
        <w:trPr>
          <w:trHeight w:val="190"/>
        </w:trPr>
        <w:tc>
          <w:tcPr>
            <w:tcW w:w="77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Operating lease liabilities</w:t>
            </w: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(17,831)</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(19,654)</w:t>
            </w:r>
          </w:p>
        </w:tc>
      </w:tr>
      <w:tr>
        <w:trPr>
          <w:trHeight w:val="197"/>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101,089</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113,762</w:t>
            </w:r>
          </w:p>
        </w:tc>
      </w:tr>
      <w:tr>
        <w:trPr>
          <w:trHeight w:val="32"/>
        </w:trPr>
        <w:tc>
          <w:tcPr>
            <w:tcW w:w="7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7"/>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8"/>
        </w:trPr>
        <w:tc>
          <w:tcPr>
            <w:tcW w:w="7700" w:type="dxa"/>
            <w:vAlign w:val="bottom"/>
          </w:tcPr>
          <w:p>
            <w:pPr>
              <w:ind w:left="340"/>
              <w:spacing w:after="0"/>
              <w:rPr>
                <w:sz w:val="20"/>
                <w:szCs w:val="20"/>
                <w:color w:val="auto"/>
              </w:rPr>
            </w:pPr>
            <w:r>
              <w:rPr>
                <w:rFonts w:ascii="Arial" w:cs="Arial" w:eastAsia="Arial" w:hAnsi="Arial"/>
                <w:sz w:val="14"/>
                <w:szCs w:val="14"/>
                <w:color w:val="auto"/>
              </w:rPr>
              <w:t>Purchases of property and equipment</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(32,099)</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(29,026)</w:t>
            </w:r>
          </w:p>
        </w:tc>
      </w:tr>
      <w:tr>
        <w:trPr>
          <w:trHeight w:val="206"/>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sale of property and equipment</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w:t>
            </w:r>
          </w:p>
        </w:tc>
      </w:tr>
      <w:tr>
        <w:trPr>
          <w:trHeight w:val="188"/>
        </w:trPr>
        <w:tc>
          <w:tcPr>
            <w:tcW w:w="7700" w:type="dxa"/>
            <w:vAlign w:val="bottom"/>
          </w:tcPr>
          <w:p>
            <w:pPr>
              <w:ind w:left="340"/>
              <w:spacing w:after="0"/>
              <w:rPr>
                <w:sz w:val="20"/>
                <w:szCs w:val="20"/>
                <w:color w:val="auto"/>
              </w:rPr>
            </w:pPr>
            <w:r>
              <w:rPr>
                <w:rFonts w:ascii="Arial" w:cs="Arial" w:eastAsia="Arial" w:hAnsi="Arial"/>
                <w:sz w:val="14"/>
                <w:szCs w:val="14"/>
                <w:color w:val="auto"/>
              </w:rPr>
              <w:t>Business acquisition (net of cash and cash equivalents acquired)</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(3,322)</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Purchases of investments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(164,313)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(76,500)</w:t>
            </w:r>
          </w:p>
        </w:tc>
      </w:tr>
      <w:tr>
        <w:trPr>
          <w:trHeight w:val="190"/>
        </w:trPr>
        <w:tc>
          <w:tcPr>
            <w:tcW w:w="77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Proceeds from redemption of investments</w:t>
            </w: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124,355</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83,183</w:t>
            </w:r>
          </w:p>
        </w:tc>
      </w:tr>
      <w:tr>
        <w:trPr>
          <w:trHeight w:val="197"/>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for investing activities</w:t>
            </w: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(75,182)</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(21,518)</w:t>
            </w:r>
          </w:p>
        </w:tc>
      </w:tr>
      <w:tr>
        <w:trPr>
          <w:trHeight w:val="32"/>
        </w:trPr>
        <w:tc>
          <w:tcPr>
            <w:tcW w:w="7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7"/>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8"/>
        </w:trPr>
        <w:tc>
          <w:tcPr>
            <w:tcW w:w="7700" w:type="dxa"/>
            <w:vAlign w:val="bottom"/>
          </w:tcPr>
          <w:p>
            <w:pPr>
              <w:ind w:left="340"/>
              <w:spacing w:after="0"/>
              <w:rPr>
                <w:sz w:val="20"/>
                <w:szCs w:val="20"/>
                <w:color w:val="auto"/>
              </w:rPr>
            </w:pPr>
            <w:r>
              <w:rPr>
                <w:rFonts w:ascii="Arial" w:cs="Arial" w:eastAsia="Arial" w:hAnsi="Arial"/>
                <w:sz w:val="14"/>
                <w:szCs w:val="14"/>
                <w:color w:val="auto"/>
              </w:rPr>
              <w:t>Principal payments of finance lease liabilities</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(157)</w:t>
            </w:r>
          </w:p>
        </w:tc>
      </w:tr>
      <w:tr>
        <w:trPr>
          <w:trHeight w:val="206"/>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borrowings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225,000</w:t>
            </w:r>
          </w:p>
        </w:tc>
      </w:tr>
      <w:tr>
        <w:trPr>
          <w:trHeight w:val="188"/>
        </w:trPr>
        <w:tc>
          <w:tcPr>
            <w:tcW w:w="7700" w:type="dxa"/>
            <w:vAlign w:val="bottom"/>
          </w:tcPr>
          <w:p>
            <w:pPr>
              <w:ind w:left="340"/>
              <w:spacing w:after="0"/>
              <w:rPr>
                <w:sz w:val="20"/>
                <w:szCs w:val="20"/>
                <w:color w:val="auto"/>
              </w:rPr>
            </w:pPr>
            <w:r>
              <w:rPr>
                <w:rFonts w:ascii="Arial" w:cs="Arial" w:eastAsia="Arial" w:hAnsi="Arial"/>
                <w:sz w:val="14"/>
                <w:szCs w:val="14"/>
                <w:color w:val="auto"/>
              </w:rPr>
              <w:t>Repayments of borrowings</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(329,000)</w:t>
            </w:r>
          </w:p>
        </w:tc>
      </w:tr>
      <w:tr>
        <w:trPr>
          <w:trHeight w:val="206"/>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Acquisition of treasury stock</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(71,712)</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(85,620)</w:t>
            </w:r>
          </w:p>
        </w:tc>
      </w:tr>
      <w:tr>
        <w:trPr>
          <w:trHeight w:val="190"/>
        </w:trPr>
        <w:tc>
          <w:tcPr>
            <w:tcW w:w="7700" w:type="dxa"/>
            <w:vAlign w:val="bottom"/>
          </w:tcPr>
          <w:p>
            <w:pPr>
              <w:ind w:left="340"/>
              <w:spacing w:after="0"/>
              <w:rPr>
                <w:sz w:val="20"/>
                <w:szCs w:val="20"/>
                <w:color w:val="auto"/>
              </w:rPr>
            </w:pPr>
            <w:r>
              <w:rPr>
                <w:rFonts w:ascii="Arial" w:cs="Arial" w:eastAsia="Arial" w:hAnsi="Arial"/>
                <w:sz w:val="14"/>
                <w:szCs w:val="14"/>
                <w:color w:val="auto"/>
              </w:rPr>
              <w:t>Proceeds from exercise of stock options</w:t>
            </w:r>
          </w:p>
        </w:tc>
        <w:tc>
          <w:tcPr>
            <w:tcW w:w="108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710</w:t>
            </w:r>
          </w:p>
        </w:tc>
      </w:tr>
      <w:tr>
        <w:trPr>
          <w:trHeight w:val="197"/>
        </w:trPr>
        <w:tc>
          <w:tcPr>
            <w:tcW w:w="7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for financing activities</w:t>
            </w:r>
          </w:p>
        </w:tc>
        <w:tc>
          <w:tcPr>
            <w:tcW w:w="10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(61,820)</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(189,067)</w:t>
            </w:r>
          </w:p>
        </w:tc>
      </w:tr>
      <w:tr>
        <w:trPr>
          <w:trHeight w:val="183"/>
        </w:trPr>
        <w:tc>
          <w:tcPr>
            <w:tcW w:w="7700" w:type="dxa"/>
            <w:vAlign w:val="bottom"/>
            <w:tcBorders>
              <w:bottom w:val="single" w:sz="8" w:color="CCEEFF"/>
            </w:tcBorders>
          </w:tcPr>
          <w:p>
            <w:pPr>
              <w:ind w:left="20"/>
              <w:spacing w:after="0" w:line="159" w:lineRule="exact"/>
              <w:rPr>
                <w:sz w:val="20"/>
                <w:szCs w:val="20"/>
                <w:color w:val="auto"/>
              </w:rPr>
            </w:pPr>
            <w:r>
              <w:rPr>
                <w:rFonts w:ascii="Arial" w:cs="Arial" w:eastAsia="Arial" w:hAnsi="Arial"/>
                <w:sz w:val="14"/>
                <w:szCs w:val="14"/>
                <w:color w:val="auto"/>
              </w:rPr>
              <w:t>Effect of exchange rate changes on cash, cash equivalents and restricted cash</w:t>
            </w:r>
          </w:p>
        </w:tc>
        <w:tc>
          <w:tcPr>
            <w:tcW w:w="1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(9,626)</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(5,003)</w:t>
            </w:r>
          </w:p>
        </w:tc>
      </w:tr>
      <w:tr>
        <w:trPr>
          <w:trHeight w:val="197"/>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 cash, cash equivalents and restricted cash</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(45,539)</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(101,826)</w:t>
            </w:r>
          </w:p>
        </w:tc>
      </w:tr>
      <w:tr>
        <w:trPr>
          <w:trHeight w:val="190"/>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at the beginning of the period</w:t>
            </w: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143,810</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225,519</w:t>
            </w:r>
          </w:p>
        </w:tc>
      </w:tr>
      <w:tr>
        <w:trPr>
          <w:trHeight w:val="197"/>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the end of the period</w:t>
            </w:r>
          </w:p>
        </w:tc>
        <w:tc>
          <w:tcPr>
            <w:tcW w:w="108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98,271</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123,693</w:t>
            </w:r>
          </w:p>
        </w:tc>
      </w:tr>
      <w:tr>
        <w:trPr>
          <w:trHeight w:val="32"/>
        </w:trPr>
        <w:tc>
          <w:tcPr>
            <w:tcW w:w="7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7"/>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8"/>
        </w:trPr>
        <w:tc>
          <w:tcPr>
            <w:tcW w:w="7700" w:type="dxa"/>
            <w:vAlign w:val="bottom"/>
          </w:tcPr>
          <w:p>
            <w:pPr>
              <w:ind w:left="20"/>
              <w:spacing w:after="0"/>
              <w:rPr>
                <w:sz w:val="20"/>
                <w:szCs w:val="20"/>
                <w:color w:val="auto"/>
              </w:rPr>
            </w:pPr>
            <w:r>
              <w:rPr>
                <w:rFonts w:ascii="Arial" w:cs="Arial" w:eastAsia="Arial" w:hAnsi="Arial"/>
                <w:sz w:val="14"/>
                <w:szCs w:val="14"/>
                <w:color w:val="auto"/>
              </w:rPr>
              <w:t>Cash paid during the period for:</w:t>
            </w: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6"/>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w:t>
            </w:r>
          </w:p>
        </w:tc>
        <w:tc>
          <w:tcPr>
            <w:tcW w:w="1080" w:type="dxa"/>
            <w:vAlign w:val="bottom"/>
            <w:shd w:val="clear" w:color="auto" w:fill="CCEEFF"/>
          </w:tcPr>
          <w:p>
            <w:pPr>
              <w:jc w:val="right"/>
              <w:ind w:right="93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4,982</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1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5,833</w:t>
            </w:r>
          </w:p>
        </w:tc>
      </w:tr>
      <w:tr>
        <w:trPr>
          <w:trHeight w:val="188"/>
        </w:trPr>
        <w:tc>
          <w:tcPr>
            <w:tcW w:w="7700" w:type="dxa"/>
            <w:vAlign w:val="bottom"/>
          </w:tcPr>
          <w:p>
            <w:pPr>
              <w:ind w:left="20"/>
              <w:spacing w:after="0"/>
              <w:rPr>
                <w:sz w:val="20"/>
                <w:szCs w:val="20"/>
                <w:color w:val="auto"/>
              </w:rPr>
            </w:pPr>
            <w:r>
              <w:rPr>
                <w:rFonts w:ascii="Arial" w:cs="Arial" w:eastAsia="Arial" w:hAnsi="Arial"/>
                <w:sz w:val="14"/>
                <w:szCs w:val="14"/>
                <w:color w:val="auto"/>
              </w:rPr>
              <w:t>Income taxes, net of refunds</w:t>
            </w:r>
          </w:p>
        </w:tc>
        <w:tc>
          <w:tcPr>
            <w:tcW w:w="1080" w:type="dxa"/>
            <w:vAlign w:val="bottom"/>
          </w:tcPr>
          <w:p>
            <w:pPr>
              <w:jc w:val="right"/>
              <w:ind w:right="93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35,192</w:t>
            </w:r>
          </w:p>
        </w:tc>
        <w:tc>
          <w:tcPr>
            <w:tcW w:w="100" w:type="dxa"/>
            <w:vAlign w:val="bottom"/>
          </w:tcPr>
          <w:p>
            <w:pPr>
              <w:spacing w:after="0"/>
              <w:rPr>
                <w:sz w:val="16"/>
                <w:szCs w:val="16"/>
                <w:color w:val="auto"/>
              </w:rPr>
            </w:pPr>
          </w:p>
        </w:tc>
        <w:tc>
          <w:tcPr>
            <w:tcW w:w="1080" w:type="dxa"/>
            <w:vAlign w:val="bottom"/>
          </w:tcPr>
          <w:p>
            <w:pPr>
              <w:jc w:val="right"/>
              <w:ind w:right="91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31,087</w:t>
            </w:r>
          </w:p>
        </w:tc>
      </w:tr>
      <w:tr>
        <w:trPr>
          <w:trHeight w:val="206"/>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8"/>
        </w:trPr>
        <w:tc>
          <w:tcPr>
            <w:tcW w:w="7700" w:type="dxa"/>
            <w:vAlign w:val="bottom"/>
          </w:tcPr>
          <w:p>
            <w:pPr>
              <w:ind w:left="20"/>
              <w:spacing w:after="0"/>
              <w:rPr>
                <w:sz w:val="20"/>
                <w:szCs w:val="20"/>
                <w:color w:val="auto"/>
              </w:rPr>
            </w:pPr>
            <w:r>
              <w:rPr>
                <w:rFonts w:ascii="Arial" w:cs="Arial" w:eastAsia="Arial" w:hAnsi="Arial"/>
                <w:sz w:val="14"/>
                <w:szCs w:val="14"/>
                <w:color w:val="auto"/>
              </w:rPr>
              <w:t>Settlement of portion of convertible notes through issuance of treasury stock</w:t>
            </w:r>
          </w:p>
        </w:tc>
        <w:tc>
          <w:tcPr>
            <w:tcW w:w="1080" w:type="dxa"/>
            <w:vAlign w:val="bottom"/>
          </w:tcPr>
          <w:p>
            <w:pPr>
              <w:jc w:val="right"/>
              <w:ind w:right="930"/>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1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36,742</w:t>
            </w:r>
          </w:p>
        </w:tc>
      </w:tr>
      <w:tr>
        <w:trPr>
          <w:trHeight w:val="206"/>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acquired under finance lease</w:t>
            </w:r>
          </w:p>
        </w:tc>
        <w:tc>
          <w:tcPr>
            <w:tcW w:w="1080" w:type="dxa"/>
            <w:vAlign w:val="bottom"/>
            <w:shd w:val="clear" w:color="auto" w:fill="CCEEFF"/>
          </w:tcPr>
          <w:p>
            <w:pPr>
              <w:jc w:val="right"/>
              <w:ind w:right="93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1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r>
    </w:tbl>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19"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NOTES TO UNAUDITED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w:t>
      </w:r>
    </w:p>
    <w:p>
      <w:pPr>
        <w:spacing w:after="0" w:line="243" w:lineRule="exact"/>
        <w:rPr>
          <w:sz w:val="20"/>
          <w:szCs w:val="20"/>
          <w:color w:val="auto"/>
        </w:rPr>
      </w:pPr>
    </w:p>
    <w:p>
      <w:pPr>
        <w:jc w:val="both"/>
        <w:ind w:firstLine="393"/>
        <w:spacing w:after="0" w:line="260" w:lineRule="auto"/>
        <w:rPr>
          <w:sz w:val="20"/>
          <w:szCs w:val="20"/>
          <w:color w:val="auto"/>
        </w:rPr>
      </w:pPr>
      <w:r>
        <w:rPr>
          <w:rFonts w:ascii="Arial" w:cs="Arial" w:eastAsia="Arial" w:hAnsi="Arial"/>
          <w:sz w:val="16"/>
          <w:szCs w:val="16"/>
          <w:color w:val="auto"/>
        </w:rPr>
        <w:t>ExlService Holdings, Inc. (“ExlService Holdings”) is organized as a corporation under the laws of the state of Delaware. ExlService Holdings, together with its subsidiaries and affiliates (collectively, the “Company”), is a leading data analytics and digital operations and solutions company that partners with clients to improve business outcomes and unlock growth. By bringing together deep domain expertise with robust data, powerful analytics, cloud, artificial intelligence and machine learning, the Company creates agile, scalable solutions and executes complex operations for the world’s leading corporations in industries including insurance, healthcare, banking and financial services, media, and retail, among others. The Company’s data-led value creation framework enables better and faster decision making, leveraging its end-to-end data and analytics capabilities to drive improved business outcomes, and re-designing of operating models to integrate advanced technology into operational workflows. The Company embeds digital operations and solutions into clients’ businesses and introduces its data led approach to transform operations. Accordingly, as the Company’s operations management services are now a part of its digital operations and solutions, they are referred to as “digital operations and solutions” herein; however, the Company has not changed the way in which it manages its business or its operating segments or segment reporting structure.</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Company’s clients are located principally in the United States of America (“U.S.”) and the United Kingdom (“U.K.”).</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Basis of Preparation and Principles of Consolidation</w:t>
      </w:r>
    </w:p>
    <w:p>
      <w:pPr>
        <w:spacing w:after="0" w:line="237"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6"/>
          <w:szCs w:val="16"/>
          <w:color w:val="auto"/>
        </w:rPr>
        <w:t>The unaudited consolidated financial statements have been prepared in conformity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2021.</w:t>
      </w:r>
    </w:p>
    <w:p>
      <w:pPr>
        <w:spacing w:after="0" w:line="186"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The unaudited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172"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7"/>
          <w:szCs w:val="17"/>
          <w:color w:val="auto"/>
        </w:rPr>
        <w:t>The accompanying unaudited consolidated financial statements include the financial statements of ExlService Holdings and all of its subsidiaries. The standalone financial statements of subsidiaries are fully consolidated on a line-by-line basis. Intra-group balances and transactions, and gains and losses arising from intra-group transactions, are eliminated while preparing consolidated financial statements.</w:t>
      </w:r>
    </w:p>
    <w:p>
      <w:pPr>
        <w:spacing w:after="0" w:line="205"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Accounting policies of the respective individual subsidiary and associate are aligned wherever necessary, so as to ensure consistency with the accounting policies that are adopted by the Company under U.S. GAAP.</w:t>
      </w:r>
    </w:p>
    <w:p>
      <w:pPr>
        <w:spacing w:after="0" w:line="185"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The Company’s investments in equity affiliates are initially recorded at cost and any excess purchase consideration paid over proportionate share of the fair value of the net assets of the investee at the acquisition date is recognized as goodwill. The proportionate share of net income or loss of the investee after its acquisition is recognized in the unaudited consolidated statements of income.</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 purposes of comparability, certain prior period amounts have been reclassified to conform to the current year presentation in accordance with U.S.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Use of Estimates</w:t>
      </w:r>
    </w:p>
    <w:p>
      <w:pPr>
        <w:spacing w:after="0" w:line="106" w:lineRule="exact"/>
        <w:rPr>
          <w:sz w:val="20"/>
          <w:szCs w:val="20"/>
          <w:color w:val="auto"/>
        </w:rPr>
      </w:pPr>
    </w:p>
    <w:p>
      <w:pPr>
        <w:jc w:val="both"/>
        <w:ind w:firstLine="393"/>
        <w:spacing w:after="0" w:line="278" w:lineRule="auto"/>
        <w:rPr>
          <w:sz w:val="20"/>
          <w:szCs w:val="20"/>
          <w:color w:val="auto"/>
        </w:rPr>
      </w:pPr>
      <w:r>
        <w:rPr>
          <w:rFonts w:ascii="Arial" w:cs="Arial" w:eastAsia="Arial" w:hAnsi="Arial"/>
          <w:sz w:val="15"/>
          <w:szCs w:val="15"/>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 business environment, actual results may be different from those estimates. The significant estimates and assumptions that affect the unaudited consolidated financial statements include, but are not limited to, estimates of the fair value of the identifiable intangible assets and contingent consideration, purchase price allocation, including revenue projections and discount rate applied within the discounted cash flow model for business acquisitions, allowance for expected credit losses, the nature and timing of the satisfaction of performance obligations, the standalone selling price of performance obligations, and variable consideration in a customer contract, expected recoverability from customers with contingent fee arrangements, estimated costs to complete fixed price contracts, recoverability of dues from statutory authorities, assets and obligations related to employee benefit plans, deferred tax valuation allowances, income-tax uncertainties and other contingencies, valuation of derivative financial instruments, assumptions used to calculate stock-based compensation expense, assumptions used to determine the incremental borrowing rate to calculate lease liabilities and right-of-use (“ROU”) assets, lease term to calculate amortization of ROU, depreciation and amortization periods, and recoverability of long-lived assets, goodwill and intangibles.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 Investments</w:t>
      </w:r>
    </w:p>
    <w:p>
      <w:pPr>
        <w:spacing w:after="0" w:line="250"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Company’s short-term investments consist of investments in mutual funds and those term deposits with more than three months of original maturity and less than twelve months of remaining maturity as of the reporting date, while long-term investments consist of term deposits with more than twelve months of remaining maturity as of the reporting date.</w:t>
      </w:r>
    </w:p>
    <w:p>
      <w:pPr>
        <w:spacing w:after="0" w:line="198"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Company’s investments in term deposits with financial institutions are measured and recognized at amortized cost. Interest earned on such investments is included in other income, net.</w:t>
      </w:r>
    </w:p>
    <w:p>
      <w:pPr>
        <w:spacing w:after="0" w:line="18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 xml:space="preserve">The Company’s mutual fund investments are in debt funds in India. These investments are accounted for in accordance with the fair value option under Financial Accounting Standards Board (“FASB”) Accounting Standards Codification (“ASC”) Topic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The fair value is represented by original cost on the acquisition date and the net asset value (“NAV”) as quoted, at each reporting period and any changes in fair value are included in other income, net. Gain or loss on the disposal of these investments is calculated using the weighted average cost of the investments sold and is included in other income, net.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 Derivative Financial Instruments</w:t>
      </w:r>
    </w:p>
    <w:p>
      <w:pPr>
        <w:spacing w:after="0" w:line="250" w:lineRule="exact"/>
        <w:rPr>
          <w:sz w:val="20"/>
          <w:szCs w:val="20"/>
          <w:color w:val="auto"/>
        </w:rPr>
      </w:pPr>
    </w:p>
    <w:p>
      <w:pPr>
        <w:jc w:val="both"/>
        <w:ind w:firstLine="315"/>
        <w:spacing w:after="0" w:line="314" w:lineRule="auto"/>
        <w:rPr>
          <w:sz w:val="20"/>
          <w:szCs w:val="20"/>
          <w:color w:val="auto"/>
        </w:rPr>
      </w:pPr>
      <w:r>
        <w:rPr>
          <w:rFonts w:ascii="Arial" w:cs="Arial" w:eastAsia="Arial" w:hAnsi="Arial"/>
          <w:sz w:val="15"/>
          <w:szCs w:val="15"/>
          <w:color w:val="auto"/>
        </w:rPr>
        <w:t>In the normal course of business, the Company uses derivative instruments to mitigate the exposure from risk of foreign currency and interest rate fluctuations. The Company enters into foreign currency forward contracts to hedge cash flow risks from forecasted transactions denominated in certain foreign currencies, and interest rate swaps to hedge cash flow risks from its revolving credit facility having variable interest rate obligations. These contracts adhere to the Company’s treasury operations’ objectives and policies to qualify as cash flow hedges, and are with counterparties that are highly rated financial institutions.</w:t>
      </w:r>
    </w:p>
    <w:p>
      <w:pPr>
        <w:spacing w:after="0" w:line="173" w:lineRule="exact"/>
        <w:rPr>
          <w:sz w:val="20"/>
          <w:szCs w:val="20"/>
          <w:color w:val="auto"/>
        </w:rPr>
      </w:pPr>
    </w:p>
    <w:p>
      <w:pPr>
        <w:jc w:val="both"/>
        <w:ind w:firstLine="315"/>
        <w:spacing w:after="0" w:line="309" w:lineRule="auto"/>
        <w:rPr>
          <w:sz w:val="20"/>
          <w:szCs w:val="20"/>
          <w:color w:val="auto"/>
        </w:rPr>
      </w:pPr>
      <w:r>
        <w:rPr>
          <w:rFonts w:ascii="Arial" w:cs="Arial" w:eastAsia="Arial" w:hAnsi="Arial"/>
          <w:sz w:val="15"/>
          <w:szCs w:val="15"/>
          <w:color w:val="auto"/>
        </w:rPr>
        <w:t>Changes in the fair value of these cash flow hedges are recorded as a component of accumulated other comprehensive income/(loss) (“AOCI”), net of tax. The resultant foreign exchange gain/(loss) upon settlement of cash flow hedges of a forecast transaction are recorded in the unaudited consolidated statements of income along with the underlying hedged item in the same line as part of “Cost of revenues,” “General and administrative expenses,” “Selling and marketing expenses,” and “Depreciation and amortization expense,” as applicable. The accumulated changes in the fair value of interest rate swaps recognized in AOCI are reclassed to the unaudited consolidated statements of income and are presented as a part of “Interest expense” over the term of the contract.</w:t>
      </w:r>
    </w:p>
    <w:p>
      <w:pPr>
        <w:spacing w:after="0" w:line="17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Company evaluates hedge effectiveness of cash flow hedges at the time a contract is entered into as well as on an ongoing basis. For hedge relationships that are discontinued because the forecasted transaction is not expected to occur by the end of the originally specified period, any related derivative amounts recorded in AOCI are reclassified to earnings.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379"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color w:val="auto"/>
        </w:rPr>
        <w:t>The Company also uses derivatives instruments consisting of foreign currency forward contracts to economically hedge intercompany balances and other monetary assets or liabilities denominated in currencies other than the functional currency, against the risk of foreign currency fluctuations associated with remeasurement of such assets and liabilities to functional currency. These derivatives do not qualify as fair value hedges under ASC 815. Changes in the fair value of these derivatives are recognized in the unaudited consolidated statements of income and are included in foreign exchange gain/(loss).</w:t>
      </w:r>
    </w:p>
    <w:p>
      <w:pPr>
        <w:spacing w:after="0" w:line="186"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The Company also uses foreign currency forward contracts designated as net investment hedges to hedge the foreign currency risks related to the Company's investment in foreign subsidiaries. Gains and losses on these forward contracts are recognized in AOCI as part of the foreign currency translation adjustment. All of the assets and liabilities related to the Company’s forward contracts are subject to master netting arrangements with each individual counterparty. These master netting arrangements generally provide for net settlement of all outstanding contracts with the counterparty in the case of an event of default or a termination event. The Company has presented all of the assets and liabilities related to these contracts on a gross basis, with no offsets, in its consolidated statements of financial position. There is no financial collateral (including cash collateral) provided or received by the Company related to these contracts.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 Recent Accounting Pronouncements</w:t>
      </w:r>
    </w:p>
    <w:p>
      <w:pPr>
        <w:spacing w:after="0" w:line="237" w:lineRule="exact"/>
        <w:rPr>
          <w:sz w:val="20"/>
          <w:szCs w:val="20"/>
          <w:color w:val="auto"/>
        </w:rPr>
      </w:pPr>
    </w:p>
    <w:p>
      <w:pPr>
        <w:jc w:val="both"/>
        <w:ind w:firstLine="393"/>
        <w:spacing w:after="0" w:line="243" w:lineRule="auto"/>
        <w:rPr>
          <w:sz w:val="20"/>
          <w:szCs w:val="20"/>
          <w:color w:val="auto"/>
        </w:rPr>
      </w:pPr>
      <w:r>
        <w:rPr>
          <w:rFonts w:ascii="Arial" w:cs="Arial" w:eastAsia="Arial" w:hAnsi="Arial"/>
          <w:sz w:val="17"/>
          <w:szCs w:val="17"/>
          <w:color w:val="auto"/>
        </w:rPr>
        <w:t>In October 2021, FASB issued Accounting Standard Update (“ASU”) No. 2021-08, Business Combinations (Topic 805): Accounting for Contract Assets and Contract Liabilities from Contracts with Customers. This ASU provides guidance in Topic 805 to require the acquirer entity to recognize and measure contract assets and contract liabilities acquired in a business combination in accordance with Topic 606, Revenue from Contracts with Customers, as if it had originated the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U.S. GAAP. The ASU is effective for fiscal years beginning after December 15, 2022. An entity may early adopt the ASU including adoption in an interim period, with retrospective application to all business combinations within the fiscal year that includes such interim period. The Company is currently evaluating the impact of this ASU on its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 Recently adopted Accounting Pronouncements</w:t>
      </w:r>
    </w:p>
    <w:p>
      <w:pPr>
        <w:spacing w:after="0" w:line="237" w:lineRule="exact"/>
        <w:rPr>
          <w:sz w:val="20"/>
          <w:szCs w:val="20"/>
          <w:color w:val="auto"/>
        </w:rPr>
      </w:pPr>
    </w:p>
    <w:p>
      <w:pPr>
        <w:jc w:val="both"/>
        <w:ind w:firstLine="393"/>
        <w:spacing w:after="0" w:line="247" w:lineRule="auto"/>
        <w:rPr>
          <w:sz w:val="20"/>
          <w:szCs w:val="20"/>
          <w:color w:val="auto"/>
        </w:rPr>
      </w:pPr>
      <w:r>
        <w:rPr>
          <w:rFonts w:ascii="Arial" w:cs="Arial" w:eastAsia="Arial" w:hAnsi="Arial"/>
          <w:sz w:val="17"/>
          <w:szCs w:val="17"/>
          <w:color w:val="auto"/>
        </w:rPr>
        <w:t xml:space="preserve">In March 2020, FASB issued ASU No.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w:t>
      </w:r>
      <w:r>
        <w:rPr>
          <w:rFonts w:ascii="Arial" w:cs="Arial" w:eastAsia="Arial" w:hAnsi="Arial"/>
          <w:sz w:val="17"/>
          <w:szCs w:val="17"/>
          <w:color w:val="auto"/>
        </w:rPr>
        <w:t>. This ASU provides optional guidance for a limited period of time to ease potential accounting impacts associated with transitioning away from</w:t>
      </w:r>
      <w:r>
        <w:rPr>
          <w:rFonts w:ascii="Arial" w:cs="Arial" w:eastAsia="Arial" w:hAnsi="Arial"/>
          <w:sz w:val="17"/>
          <w:szCs w:val="17"/>
          <w:i w:val="1"/>
          <w:iCs w:val="1"/>
          <w:color w:val="auto"/>
        </w:rPr>
        <w:t xml:space="preserve"> </w:t>
      </w:r>
      <w:r>
        <w:rPr>
          <w:rFonts w:ascii="Arial" w:cs="Arial" w:eastAsia="Arial" w:hAnsi="Arial"/>
          <w:sz w:val="17"/>
          <w:szCs w:val="17"/>
          <w:color w:val="auto"/>
        </w:rPr>
        <w:t>reference rates that are expected to be discontinued, such as interbank offered rates and London Inter-Bank Offered Rate (“LIBOR”). The ASU provides practical expedients and exceptions for applying U.S. GAAP to contracts, hedging relationships, and other transactions affected by reference rate reform if certain criteria are met. The amendments are elective and are effective upon issuance for all entities through December 31, 2022. The adoption of this ASU did not have a material impact on the Company’s unaudited consolidated financial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Segment and Geographical Information</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 is a provider of data analytics and digital operations and solutions.</w:t>
      </w:r>
    </w:p>
    <w:p>
      <w:pPr>
        <w:spacing w:after="0" w:line="237" w:lineRule="exact"/>
        <w:rPr>
          <w:sz w:val="20"/>
          <w:szCs w:val="20"/>
          <w:color w:val="auto"/>
        </w:rPr>
      </w:pPr>
    </w:p>
    <w:p>
      <w:pPr>
        <w:jc w:val="both"/>
        <w:ind w:firstLine="393"/>
        <w:spacing w:after="0" w:line="281" w:lineRule="auto"/>
        <w:rPr>
          <w:sz w:val="20"/>
          <w:szCs w:val="20"/>
          <w:color w:val="auto"/>
        </w:rPr>
      </w:pPr>
      <w:r>
        <w:rPr>
          <w:rFonts w:ascii="Arial" w:cs="Arial" w:eastAsia="Arial" w:hAnsi="Arial"/>
          <w:sz w:val="16"/>
          <w:szCs w:val="16"/>
          <w:color w:val="auto"/>
        </w:rPr>
        <w:t>The Company manages and reports financial information through its four reportable segments: Insurance, Healthcare, Analytics and Emerging Business, which reflects how management reviews financial information and makes operating decisions. These business units develop client-specific solutions, build capabilities, maintain a unified go-to-market approach and are integrally responsible for service delivery, customer satisfaction, growth and profitability.</w:t>
      </w:r>
    </w:p>
    <w:p>
      <w:pPr>
        <w:spacing w:after="0" w:line="180" w:lineRule="exact"/>
        <w:rPr>
          <w:sz w:val="20"/>
          <w:szCs w:val="20"/>
          <w:color w:val="auto"/>
        </w:rPr>
      </w:pPr>
    </w:p>
    <w:p>
      <w:pPr>
        <w:ind w:right="80" w:firstLine="393"/>
        <w:spacing w:after="0" w:line="257" w:lineRule="auto"/>
        <w:rPr>
          <w:sz w:val="20"/>
          <w:szCs w:val="20"/>
          <w:color w:val="auto"/>
        </w:rPr>
      </w:pPr>
      <w:r>
        <w:rPr>
          <w:rFonts w:ascii="Arial" w:cs="Arial" w:eastAsia="Arial" w:hAnsi="Arial"/>
          <w:sz w:val="17"/>
          <w:szCs w:val="17"/>
          <w:color w:val="auto"/>
        </w:rPr>
        <w:t>The chief operating decision maker (“CODM”) generally reviews financial information such as revenues, cost of revenues and gross profit, disaggregated by the operating segments to allocate an overall budget among the operating segments.</w:t>
      </w:r>
    </w:p>
    <w:p>
      <w:pPr>
        <w:spacing w:after="0" w:line="198"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The Company does not allocate and therefore the CODM does not evaluate, certain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366"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The December 2021 and June 2022 acquisition of Clairvoyant AI Inc. (“Clairvoyant”) and Inbound Media Group, LLC (“Inbound”), respectively, are both included in the Analytics reportable segment. Refer to Note 10 - Business Combinations, Goodwill and Intangible Assets to the unaudited consolidated financial statements for further details.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Revenues and cost of revenues for the three months ended September 30, 2022 and 2021, respectively, for each of the reportable segments,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3740" w:type="dxa"/>
            <w:vAlign w:val="bottom"/>
            <w:tcBorders>
              <w:top w:val="single" w:sz="8" w:color="auto"/>
              <w:bottom w:val="single" w:sz="8" w:color="auto"/>
            </w:tcBorders>
            <w:gridSpan w:val="12"/>
          </w:tcPr>
          <w:p>
            <w:pPr>
              <w:jc w:val="center"/>
              <w:ind w:right="400"/>
              <w:spacing w:after="0"/>
              <w:rPr>
                <w:sz w:val="20"/>
                <w:szCs w:val="20"/>
                <w:color w:val="auto"/>
              </w:rPr>
            </w:pPr>
            <w:r>
              <w:rPr>
                <w:rFonts w:ascii="Arial" w:cs="Arial" w:eastAsia="Arial" w:hAnsi="Arial"/>
                <w:sz w:val="14"/>
                <w:szCs w:val="14"/>
                <w:b w:val="1"/>
                <w:bCs w:val="1"/>
                <w:color w:val="auto"/>
                <w:w w:val="88"/>
              </w:rPr>
              <w:t>Three months ended September 30, 2022</w:t>
            </w: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60"/>
              <w:spacing w:after="0" w:line="178" w:lineRule="exact"/>
              <w:rPr>
                <w:sz w:val="20"/>
                <w:szCs w:val="20"/>
                <w:color w:val="auto"/>
              </w:rPr>
            </w:pPr>
            <w:r>
              <w:rPr>
                <w:rFonts w:ascii="Arial" w:cs="Arial" w:eastAsia="Arial" w:hAnsi="Arial"/>
                <w:sz w:val="17"/>
                <w:szCs w:val="17"/>
                <w:b w:val="1"/>
                <w:bCs w:val="1"/>
                <w:color w:val="auto"/>
                <w:w w:val="94"/>
              </w:rPr>
              <w:t>Emerging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ind w:left="20"/>
              <w:spacing w:after="0"/>
              <w:rPr>
                <w:sz w:val="20"/>
                <w:szCs w:val="20"/>
                <w:color w:val="auto"/>
              </w:rPr>
            </w:pPr>
            <w:r>
              <w:rPr>
                <w:rFonts w:ascii="Arial" w:cs="Arial" w:eastAsia="Arial" w:hAnsi="Arial"/>
                <w:sz w:val="17"/>
                <w:szCs w:val="17"/>
                <w:b w:val="1"/>
                <w:bCs w:val="1"/>
                <w:color w:val="auto"/>
              </w:rPr>
              <w:t>Insurance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ind w:left="80"/>
              <w:spacing w:after="0"/>
              <w:rPr>
                <w:sz w:val="20"/>
                <w:szCs w:val="20"/>
                <w:color w:val="auto"/>
              </w:rPr>
            </w:pPr>
            <w:r>
              <w:rPr>
                <w:rFonts w:ascii="Arial" w:cs="Arial" w:eastAsia="Arial" w:hAnsi="Arial"/>
                <w:sz w:val="17"/>
                <w:szCs w:val="17"/>
                <w:b w:val="1"/>
                <w:bCs w:val="1"/>
                <w:color w:val="auto"/>
              </w:rPr>
              <w:t>Healthcare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4"/>
              </w:rPr>
              <w:t>Business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ind w:left="20"/>
              <w:spacing w:after="0"/>
              <w:rPr>
                <w:sz w:val="20"/>
                <w:szCs w:val="20"/>
                <w:color w:val="auto"/>
              </w:rPr>
            </w:pPr>
            <w:r>
              <w:rPr>
                <w:rFonts w:ascii="Arial" w:cs="Arial" w:eastAsia="Arial" w:hAnsi="Arial"/>
                <w:sz w:val="17"/>
                <w:szCs w:val="17"/>
                <w:b w:val="1"/>
                <w:bCs w:val="1"/>
                <w:color w:val="auto"/>
              </w:rPr>
              <w:t>Analytics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116,198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22,820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56,035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166,298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361,351</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640" w:type="dxa"/>
            <w:vAlign w:val="bottom"/>
            <w:tcBorders>
              <w:bottom w:val="single" w:sz="8" w:color="CCEEFF"/>
            </w:tcBorders>
          </w:tcPr>
          <w:p>
            <w:pPr>
              <w:spacing w:after="0" w:line="223"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75,041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17,119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32,363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105,939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230,462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464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17"/>
                <w:szCs w:val="17"/>
                <w:color w:val="auto"/>
              </w:rPr>
              <w:t>Gross profit</w:t>
            </w:r>
            <w:r>
              <w:rPr>
                <w:rFonts w:ascii="Arial" w:cs="Arial" w:eastAsia="Arial" w:hAnsi="Arial"/>
                <w:sz w:val="22"/>
                <w:szCs w:val="22"/>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23,672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60,359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130,889</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Operating expenses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0" w:type="dxa"/>
            <w:vAlign w:val="bottom"/>
          </w:tcPr>
          <w:p>
            <w:pPr>
              <w:spacing w:after="0"/>
              <w:rPr>
                <w:sz w:val="16"/>
                <w:szCs w:val="16"/>
                <w:color w:val="auto"/>
              </w:rPr>
            </w:pPr>
          </w:p>
        </w:tc>
        <w:tc>
          <w:tcPr>
            <w:tcW w:w="4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80,778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w w:val="96"/>
              </w:rPr>
              <w:t>Foreign exchange gain, interest expense and other income, net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7"/>
                <w:szCs w:val="17"/>
                <w:color w:val="auto"/>
              </w:rPr>
              <w:t>Income tax expense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12,447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Gain from equity-method investment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7"/>
                <w:szCs w:val="17"/>
                <w:color w:val="auto"/>
              </w:rPr>
              <w:t>Net income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39,095</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24"/>
                <w:szCs w:val="24"/>
                <w:color w:val="auto"/>
                <w:vertAlign w:val="superscript"/>
              </w:rPr>
              <w:t>(1)</w:t>
            </w:r>
            <w:r>
              <w:rPr>
                <w:rFonts w:ascii="Arial" w:cs="Arial" w:eastAsia="Arial" w:hAnsi="Arial"/>
                <w:sz w:val="17"/>
                <w:szCs w:val="17"/>
                <w:color w:val="auto"/>
              </w:rPr>
              <w:t xml:space="preserve"> Exclusive of depreciation and amortization expense.</w:t>
            </w: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7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2"/>
          </w:tcPr>
          <w:p>
            <w:pPr>
              <w:ind w:left="540"/>
              <w:spacing w:after="0"/>
              <w:rPr>
                <w:sz w:val="20"/>
                <w:szCs w:val="20"/>
                <w:color w:val="auto"/>
              </w:rPr>
            </w:pPr>
            <w:r>
              <w:rPr>
                <w:rFonts w:ascii="Arial" w:cs="Arial" w:eastAsia="Arial" w:hAnsi="Arial"/>
                <w:sz w:val="14"/>
                <w:szCs w:val="14"/>
                <w:b w:val="1"/>
                <w:bCs w:val="1"/>
                <w:color w:val="auto"/>
              </w:rPr>
              <w:t>Three months ended September 30, 2021</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40"/>
              <w:spacing w:after="0" w:line="171" w:lineRule="exact"/>
              <w:rPr>
                <w:sz w:val="20"/>
                <w:szCs w:val="20"/>
                <w:color w:val="auto"/>
              </w:rPr>
            </w:pPr>
            <w:r>
              <w:rPr>
                <w:rFonts w:ascii="Arial" w:cs="Arial" w:eastAsia="Arial" w:hAnsi="Arial"/>
                <w:sz w:val="17"/>
                <w:szCs w:val="17"/>
                <w:b w:val="1"/>
                <w:bCs w:val="1"/>
                <w:color w:val="auto"/>
              </w:rPr>
              <w:t>Emerging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46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b w:val="1"/>
                <w:bCs w:val="1"/>
                <w:color w:val="auto"/>
                <w:w w:val="94"/>
              </w:rPr>
              <w:t>Insurance</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Healthcare</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7"/>
                <w:szCs w:val="17"/>
                <w:b w:val="1"/>
                <w:bCs w:val="1"/>
                <w:color w:val="auto"/>
              </w:rPr>
              <w:t>Business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Analytics</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Total</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net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98,008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w w:val="96"/>
              </w:rPr>
              <w:t>27,341</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44,513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120,463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290,325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64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61,490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540"/>
              <w:spacing w:after="0"/>
              <w:rPr>
                <w:sz w:val="20"/>
                <w:szCs w:val="20"/>
                <w:color w:val="auto"/>
              </w:rPr>
            </w:pPr>
            <w:r>
              <w:rPr>
                <w:rFonts w:ascii="Arial" w:cs="Arial" w:eastAsia="Arial" w:hAnsi="Arial"/>
                <w:sz w:val="17"/>
                <w:szCs w:val="17"/>
                <w:color w:val="auto"/>
                <w:w w:val="96"/>
              </w:rPr>
              <w:t>17,057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23,660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75,536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177,743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464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Gross profit</w:t>
            </w:r>
            <w:r>
              <w:rPr>
                <w:rFonts w:ascii="Arial" w:cs="Arial" w:eastAsia="Arial" w:hAnsi="Arial"/>
                <w:sz w:val="22"/>
                <w:szCs w:val="22"/>
                <w:color w:val="auto"/>
                <w:vertAlign w:val="superscript"/>
              </w:rPr>
              <w:t>(1)</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36,518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w w:val="96"/>
              </w:rPr>
              <w:t>10,284</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20,853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44,927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112,582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Operating expenses</w:t>
            </w: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0" w:type="dxa"/>
            <w:vAlign w:val="bottom"/>
          </w:tcPr>
          <w:p>
            <w:pPr>
              <w:spacing w:after="0"/>
              <w:rPr>
                <w:sz w:val="16"/>
                <w:szCs w:val="16"/>
                <w:color w:val="auto"/>
              </w:rPr>
            </w:pPr>
          </w:p>
        </w:tc>
        <w:tc>
          <w:tcPr>
            <w:tcW w:w="4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70,144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464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w w:val="96"/>
              </w:rPr>
              <w:t>Loss on settlement of convertible notes, foreign exchange gain,</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(11,763)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464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interest expense and other income, net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80" w:type="dxa"/>
            <w:vAlign w:val="bottom"/>
          </w:tcPr>
          <w:p>
            <w:pPr>
              <w:spacing w:after="0"/>
              <w:rPr>
                <w:sz w:val="8"/>
                <w:szCs w:val="8"/>
                <w:color w:val="auto"/>
              </w:rPr>
            </w:pPr>
          </w:p>
        </w:tc>
        <w:tc>
          <w:tcPr>
            <w:tcW w:w="464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64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4,196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from equity-method investment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6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26,507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left="200" w:hanging="195"/>
        <w:spacing w:after="0"/>
        <w:tabs>
          <w:tab w:leader="none" w:pos="200" w:val="left"/>
        </w:tabs>
        <w:numPr>
          <w:ilvl w:val="0"/>
          <w:numId w:val="4"/>
        </w:numPr>
        <w:rPr>
          <w:rFonts w:ascii="Arial" w:cs="Arial" w:eastAsia="Arial" w:hAnsi="Arial"/>
          <w:sz w:val="23"/>
          <w:szCs w:val="23"/>
          <w:color w:val="auto"/>
          <w:vertAlign w:val="superscript"/>
        </w:rPr>
      </w:pPr>
      <w:r>
        <w:rPr>
          <w:rFonts w:ascii="Arial" w:cs="Arial" w:eastAsia="Arial" w:hAnsi="Arial"/>
          <w:sz w:val="16"/>
          <w:szCs w:val="16"/>
          <w:color w:val="auto"/>
        </w:rPr>
        <w:t>Exclusive of depreciation and amortization expense.</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Revenues and cost of revenues for the nine months ended September 30, 2022 and 2021, respectively, for each of the reportable segments,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392430</wp:posOffset>
            </wp:positionV>
            <wp:extent cx="42799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799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60" w:type="dxa"/>
            <w:vAlign w:val="bottom"/>
            <w:gridSpan w:val="12"/>
          </w:tcPr>
          <w:p>
            <w:pPr>
              <w:ind w:left="640"/>
              <w:spacing w:after="0"/>
              <w:rPr>
                <w:sz w:val="20"/>
                <w:szCs w:val="20"/>
                <w:color w:val="auto"/>
              </w:rPr>
            </w:pPr>
            <w:r>
              <w:rPr>
                <w:rFonts w:ascii="Arial" w:cs="Arial" w:eastAsia="Arial" w:hAnsi="Arial"/>
                <w:sz w:val="14"/>
                <w:szCs w:val="14"/>
                <w:b w:val="1"/>
                <w:bCs w:val="1"/>
                <w:color w:val="auto"/>
              </w:rPr>
              <w:t>Nine months ended September 30, 2022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ind w:left="80"/>
              <w:spacing w:after="0" w:line="163" w:lineRule="exact"/>
              <w:rPr>
                <w:sz w:val="20"/>
                <w:szCs w:val="20"/>
                <w:color w:val="auto"/>
              </w:rPr>
            </w:pPr>
            <w:r>
              <w:rPr>
                <w:rFonts w:ascii="Arial" w:cs="Arial" w:eastAsia="Arial" w:hAnsi="Arial"/>
                <w:sz w:val="17"/>
                <w:szCs w:val="17"/>
                <w:b w:val="1"/>
                <w:bCs w:val="1"/>
                <w:color w:val="auto"/>
              </w:rPr>
              <w:t>Emerging</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2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2"/>
              </w:rPr>
              <w:t>Insurance</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b w:val="1"/>
                <w:bCs w:val="1"/>
                <w:color w:val="auto"/>
              </w:rPr>
              <w:t>Healthcare</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w w:val="97"/>
              </w:rPr>
              <w:t>Business</w:t>
            </w:r>
          </w:p>
        </w:tc>
        <w:tc>
          <w:tcPr>
            <w:tcW w:w="100" w:type="dxa"/>
            <w:vAlign w:val="bottom"/>
            <w:tcBorders>
              <w:bottom w:val="single" w:sz="8" w:color="CCEEFF"/>
            </w:tcBorders>
            <w:gridSpan w:val="2"/>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Analytics</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net</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328,021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72,027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160,655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476,638</w:t>
            </w: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1,037,341</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2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210,768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52,464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92,790</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303,163</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659,185</w:t>
            </w:r>
          </w:p>
        </w:tc>
        <w:tc>
          <w:tcPr>
            <w:tcW w:w="0" w:type="dxa"/>
            <w:vAlign w:val="bottom"/>
          </w:tcPr>
          <w:p>
            <w:pPr>
              <w:spacing w:after="0"/>
              <w:rPr>
                <w:sz w:val="1"/>
                <w:szCs w:val="1"/>
                <w:color w:val="auto"/>
              </w:rPr>
            </w:pPr>
          </w:p>
        </w:tc>
      </w:tr>
      <w:tr>
        <w:trPr>
          <w:trHeight w:val="236"/>
        </w:trPr>
        <w:tc>
          <w:tcPr>
            <w:tcW w:w="422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Gross profit</w:t>
            </w:r>
            <w:r>
              <w:rPr>
                <w:rFonts w:ascii="Arial" w:cs="Arial" w:eastAsia="Arial" w:hAnsi="Arial"/>
                <w:sz w:val="22"/>
                <w:szCs w:val="22"/>
                <w:color w:val="auto"/>
                <w:vertAlign w:val="superscript"/>
              </w:rPr>
              <w:t>(1)</w:t>
            </w:r>
          </w:p>
        </w:tc>
        <w:tc>
          <w:tcPr>
            <w:tcW w:w="2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117,253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19,563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67,865</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173,475</w:t>
            </w:r>
          </w:p>
        </w:tc>
        <w:tc>
          <w:tcPr>
            <w:tcW w:w="4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378,156</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Operating expenses</w:t>
            </w: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2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236,989</w:t>
            </w:r>
          </w:p>
        </w:tc>
        <w:tc>
          <w:tcPr>
            <w:tcW w:w="0" w:type="dxa"/>
            <w:vAlign w:val="bottom"/>
          </w:tcPr>
          <w:p>
            <w:pPr>
              <w:spacing w:after="0"/>
              <w:rPr>
                <w:sz w:val="1"/>
                <w:szCs w:val="1"/>
                <w:color w:val="auto"/>
              </w:rPr>
            </w:pPr>
          </w:p>
        </w:tc>
      </w:tr>
      <w:tr>
        <w:trPr>
          <w:trHeight w:val="223"/>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2"/>
              </w:rPr>
              <w:t>Foreign exchange gain, interest expense and other income, net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4,361</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34,774</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from equity-method investment</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111,119</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24"/>
                <w:szCs w:val="24"/>
                <w:color w:val="auto"/>
                <w:vertAlign w:val="superscript"/>
              </w:rPr>
              <w:t>(1)</w:t>
            </w:r>
            <w:r>
              <w:rPr>
                <w:rFonts w:ascii="Arial" w:cs="Arial" w:eastAsia="Arial" w:hAnsi="Arial"/>
                <w:sz w:val="17"/>
                <w:szCs w:val="17"/>
                <w:color w:val="auto"/>
              </w:rPr>
              <w:t xml:space="preserve"> Exclusive of depreciation and amortization expense.</w:t>
            </w: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4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10"/>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Nine months ended September 30, 2021</w:t>
            </w: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6"/>
        </w:trPr>
        <w:tc>
          <w:tcPr>
            <w:tcW w:w="4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ind w:left="60"/>
              <w:spacing w:after="0"/>
              <w:rPr>
                <w:sz w:val="20"/>
                <w:szCs w:val="20"/>
                <w:color w:val="auto"/>
              </w:rPr>
            </w:pPr>
            <w:r>
              <w:rPr>
                <w:rFonts w:ascii="Arial" w:cs="Arial" w:eastAsia="Arial" w:hAnsi="Arial"/>
                <w:sz w:val="17"/>
                <w:szCs w:val="17"/>
                <w:b w:val="1"/>
                <w:bCs w:val="1"/>
                <w:color w:val="auto"/>
              </w:rPr>
              <w:t>Insurance</w:t>
            </w: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7"/>
                <w:szCs w:val="17"/>
                <w:b w:val="1"/>
                <w:bCs w:val="1"/>
                <w:color w:val="auto"/>
              </w:rPr>
              <w:t>Healthcare</w:t>
            </w:r>
          </w:p>
        </w:tc>
        <w:tc>
          <w:tcPr>
            <w:tcW w:w="10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gridSpan w:val="5"/>
          </w:tcPr>
          <w:p>
            <w:pPr>
              <w:ind w:left="40"/>
              <w:spacing w:after="0"/>
              <w:rPr>
                <w:sz w:val="20"/>
                <w:szCs w:val="20"/>
                <w:color w:val="auto"/>
              </w:rPr>
            </w:pPr>
            <w:r>
              <w:rPr>
                <w:rFonts w:ascii="Arial" w:cs="Arial" w:eastAsia="Arial" w:hAnsi="Arial"/>
                <w:sz w:val="17"/>
                <w:szCs w:val="17"/>
                <w:b w:val="1"/>
                <w:bCs w:val="1"/>
                <w:color w:val="auto"/>
                <w:w w:val="91"/>
              </w:rPr>
              <w:t>Emerging Business</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Analytics</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net</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13"/>
              <w:spacing w:after="0"/>
              <w:rPr>
                <w:sz w:val="20"/>
                <w:szCs w:val="20"/>
                <w:color w:val="auto"/>
              </w:rPr>
            </w:pPr>
            <w:r>
              <w:rPr>
                <w:rFonts w:ascii="Arial" w:cs="Arial" w:eastAsia="Arial" w:hAnsi="Arial"/>
                <w:sz w:val="17"/>
                <w:szCs w:val="17"/>
                <w:color w:val="auto"/>
                <w:w w:val="91"/>
              </w:rPr>
              <w:t>283,887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122,871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334,190</w:t>
            </w: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826,804</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13"/>
              <w:spacing w:after="0"/>
              <w:rPr>
                <w:sz w:val="20"/>
                <w:szCs w:val="20"/>
                <w:color w:val="auto"/>
              </w:rPr>
            </w:pPr>
            <w:r>
              <w:rPr>
                <w:rFonts w:ascii="Arial" w:cs="Arial" w:eastAsia="Arial" w:hAnsi="Arial"/>
                <w:sz w:val="17"/>
                <w:szCs w:val="17"/>
                <w:color w:val="auto"/>
                <w:w w:val="91"/>
              </w:rPr>
              <w:t>176,942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52,133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66,850</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211,340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507,265</w:t>
            </w:r>
          </w:p>
        </w:tc>
        <w:tc>
          <w:tcPr>
            <w:tcW w:w="0" w:type="dxa"/>
            <w:vAlign w:val="bottom"/>
          </w:tcPr>
          <w:p>
            <w:pPr>
              <w:spacing w:after="0"/>
              <w:rPr>
                <w:sz w:val="1"/>
                <w:szCs w:val="1"/>
                <w:color w:val="auto"/>
              </w:rPr>
            </w:pPr>
          </w:p>
        </w:tc>
      </w:tr>
      <w:tr>
        <w:trPr>
          <w:trHeight w:val="236"/>
        </w:trPr>
        <w:tc>
          <w:tcPr>
            <w:tcW w:w="422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Gross profit</w:t>
            </w:r>
            <w:r>
              <w:rPr>
                <w:rFonts w:ascii="Arial" w:cs="Arial" w:eastAsia="Arial" w:hAnsi="Arial"/>
                <w:sz w:val="22"/>
                <w:szCs w:val="22"/>
                <w:color w:val="auto"/>
                <w:vertAlign w:val="superscript"/>
              </w:rPr>
              <w:t>(1)</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center"/>
              <w:ind w:left="13"/>
              <w:spacing w:after="0"/>
              <w:rPr>
                <w:sz w:val="20"/>
                <w:szCs w:val="20"/>
                <w:color w:val="auto"/>
              </w:rPr>
            </w:pPr>
            <w:r>
              <w:rPr>
                <w:rFonts w:ascii="Arial" w:cs="Arial" w:eastAsia="Arial" w:hAnsi="Arial"/>
                <w:sz w:val="17"/>
                <w:szCs w:val="17"/>
                <w:color w:val="auto"/>
                <w:w w:val="91"/>
              </w:rPr>
              <w:t>106,945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56,021</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122,850</w:t>
            </w:r>
          </w:p>
        </w:tc>
        <w:tc>
          <w:tcPr>
            <w:tcW w:w="4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319,539</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Operating expenses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2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199,716</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w w:val="96"/>
              </w:rPr>
              <w:t>Loss on settlement of convertible notes, foreign exchange</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(11,345)</w:t>
            </w:r>
          </w:p>
        </w:tc>
        <w:tc>
          <w:tcPr>
            <w:tcW w:w="0" w:type="dxa"/>
            <w:vAlign w:val="bottom"/>
          </w:tcPr>
          <w:p>
            <w:pPr>
              <w:spacing w:after="0"/>
              <w:rPr>
                <w:sz w:val="1"/>
                <w:szCs w:val="1"/>
                <w:color w:val="auto"/>
              </w:rPr>
            </w:pPr>
          </w:p>
        </w:tc>
      </w:tr>
      <w:tr>
        <w:trPr>
          <w:trHeight w:val="143"/>
        </w:trPr>
        <w:tc>
          <w:tcPr>
            <w:tcW w:w="422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gain, interest expense and other income, net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422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w:t>
            </w:r>
          </w:p>
        </w:tc>
        <w:tc>
          <w:tcPr>
            <w:tcW w:w="2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22,019</w:t>
            </w:r>
          </w:p>
        </w:tc>
        <w:tc>
          <w:tcPr>
            <w:tcW w:w="0" w:type="dxa"/>
            <w:vAlign w:val="bottom"/>
          </w:tcPr>
          <w:p>
            <w:pPr>
              <w:spacing w:after="0"/>
              <w:rPr>
                <w:sz w:val="1"/>
                <w:szCs w:val="1"/>
                <w:color w:val="auto"/>
              </w:rPr>
            </w:pPr>
          </w:p>
        </w:tc>
      </w:tr>
      <w:tr>
        <w:trPr>
          <w:trHeight w:val="236"/>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86,459</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400" w:right="7380" w:hanging="395"/>
        <w:spacing w:after="0" w:line="455" w:lineRule="auto"/>
        <w:tabs>
          <w:tab w:leader="none" w:pos="196"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Exclusive of depreciation and amortization expense. Revenues, net by service type, were as follows:</w:t>
      </w:r>
    </w:p>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97"/>
        </w:trPr>
        <w:tc>
          <w:tcPr>
            <w:tcW w:w="428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720" w:type="dxa"/>
            <w:vAlign w:val="bottom"/>
            <w:gridSpan w:val="5"/>
            <w:shd w:val="clear" w:color="auto" w:fill="CCEEFF"/>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shd w:val="clear" w:color="auto" w:fill="CCEEFF"/>
          </w:tcPr>
          <w:p>
            <w:pPr>
              <w:spacing w:after="0"/>
              <w:rPr>
                <w:sz w:val="17"/>
                <w:szCs w:val="17"/>
                <w:color w:val="auto"/>
              </w:rPr>
            </w:pPr>
          </w:p>
        </w:tc>
        <w:tc>
          <w:tcPr>
            <w:tcW w:w="2520" w:type="dxa"/>
            <w:vAlign w:val="bottom"/>
            <w:gridSpan w:val="4"/>
            <w:shd w:val="clear" w:color="auto" w:fill="CCEEFF"/>
          </w:tcPr>
          <w:p>
            <w:pPr>
              <w:jc w:val="right"/>
              <w:ind w:right="277"/>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83"/>
        </w:trPr>
        <w:tc>
          <w:tcPr>
            <w:tcW w:w="42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r>
      <w:tr>
        <w:trPr>
          <w:trHeight w:val="223"/>
        </w:trPr>
        <w:tc>
          <w:tcPr>
            <w:tcW w:w="428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Digital operations and solutions</w:t>
            </w:r>
            <w:r>
              <w:rPr>
                <w:rFonts w:ascii="Arial" w:cs="Arial" w:eastAsia="Arial" w:hAnsi="Arial"/>
                <w:sz w:val="22"/>
                <w:szCs w:val="22"/>
                <w:color w:val="auto"/>
                <w:vertAlign w:val="superscript"/>
              </w:rPr>
              <w:t>(1)</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195,053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169,862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560,703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492,614</w:t>
            </w:r>
          </w:p>
        </w:tc>
      </w:tr>
      <w:tr>
        <w:trPr>
          <w:trHeight w:val="22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Analytics services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166,298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120,463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476,638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334,190</w:t>
            </w:r>
          </w:p>
        </w:tc>
      </w:tr>
      <w:tr>
        <w:trPr>
          <w:trHeight w:val="241"/>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 net</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361,351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290,325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1,037,341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826,804</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right="300" w:firstLine="398"/>
        <w:spacing w:after="0" w:line="229" w:lineRule="auto"/>
        <w:tabs>
          <w:tab w:leader="none" w:pos="582"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Digital operations and solutions include revenues of the Company’s Insurance, Healthcare and Emerging Business reportable segments. Refer to the reportable segment disclosure above.</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 attributes the revenues to regions based upon the location of its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660" w:type="dxa"/>
        <w:tblCellMar>
          <w:top w:w="0" w:type="dxa"/>
          <w:left w:w="0" w:type="dxa"/>
          <w:bottom w:w="0" w:type="dxa"/>
          <w:right w:w="0" w:type="dxa"/>
        </w:tblCellMar>
      </w:tblPr>
      <w:tr>
        <w:trPr>
          <w:trHeight w:val="183"/>
        </w:trPr>
        <w:tc>
          <w:tcPr>
            <w:tcW w:w="4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5"/>
                <w:szCs w:val="15"/>
                <w:color w:val="auto"/>
              </w:rPr>
            </w:pPr>
          </w:p>
        </w:tc>
        <w:tc>
          <w:tcPr>
            <w:tcW w:w="260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4"/>
        </w:trPr>
        <w:tc>
          <w:tcPr>
            <w:tcW w:w="4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3"/>
        </w:trPr>
        <w:tc>
          <w:tcPr>
            <w:tcW w:w="45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r>
      <w:tr>
        <w:trPr>
          <w:trHeight w:val="210"/>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 net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7"/>
                <w:szCs w:val="17"/>
                <w:color w:val="auto"/>
              </w:rPr>
              <w:t>United States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310,652</w:t>
            </w:r>
          </w:p>
        </w:tc>
        <w:tc>
          <w:tcPr>
            <w:tcW w:w="10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249,726</w:t>
            </w:r>
          </w:p>
        </w:tc>
        <w:tc>
          <w:tcPr>
            <w:tcW w:w="8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891,551</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709,382</w:t>
            </w: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Non-United States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4560" w:type="dxa"/>
            <w:vAlign w:val="bottom"/>
          </w:tcPr>
          <w:p>
            <w:pPr>
              <w:ind w:left="200"/>
              <w:spacing w:after="0"/>
              <w:rPr>
                <w:sz w:val="20"/>
                <w:szCs w:val="20"/>
                <w:color w:val="auto"/>
              </w:rPr>
            </w:pPr>
            <w:r>
              <w:rPr>
                <w:rFonts w:ascii="Arial" w:cs="Arial" w:eastAsia="Arial" w:hAnsi="Arial"/>
                <w:sz w:val="17"/>
                <w:szCs w:val="17"/>
                <w:color w:val="auto"/>
              </w:rPr>
              <w:t>United Kingdom</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34,131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27,433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98,994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78,359</w:t>
            </w:r>
          </w:p>
        </w:tc>
      </w:tr>
      <w:tr>
        <w:trPr>
          <w:trHeight w:val="223"/>
        </w:trPr>
        <w:tc>
          <w:tcPr>
            <w:tcW w:w="4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Rest of World</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13,166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39,063</w:t>
            </w:r>
          </w:p>
        </w:tc>
      </w:tr>
      <w:tr>
        <w:trPr>
          <w:trHeight w:val="216"/>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Non-United States</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50,699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40,599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145,790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117,422</w:t>
            </w:r>
          </w:p>
        </w:tc>
      </w:tr>
      <w:tr>
        <w:trPr>
          <w:trHeight w:val="241"/>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 net</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361,351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290,325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1,037,341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826,804</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Long-lived assets by geographic area, which consist of property and equipment, net and operating lease right-of-use assets were as follows:</w:t>
      </w:r>
    </w:p>
    <w:p>
      <w:pPr>
        <w:spacing w:after="0" w:line="135" w:lineRule="exact"/>
        <w:rPr>
          <w:sz w:val="20"/>
          <w:szCs w:val="20"/>
          <w:color w:val="auto"/>
        </w:rPr>
      </w:pPr>
    </w:p>
    <w:tbl>
      <w:tblPr>
        <w:tblLayout w:type="fixed"/>
        <w:tblInd w:w="640" w:type="dxa"/>
        <w:tblCellMar>
          <w:top w:w="0" w:type="dxa"/>
          <w:left w:w="0" w:type="dxa"/>
          <w:bottom w:w="0" w:type="dxa"/>
          <w:right w:w="0" w:type="dxa"/>
        </w:tblCellMar>
      </w:tblPr>
      <w:tr>
        <w:trPr>
          <w:trHeight w:val="183"/>
        </w:trPr>
        <w:tc>
          <w:tcPr>
            <w:tcW w:w="6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3"/>
          </w:tcPr>
          <w:p>
            <w:pPr>
              <w:jc w:val="right"/>
              <w:ind w:right="53"/>
              <w:spacing w:after="0"/>
              <w:rPr>
                <w:sz w:val="20"/>
                <w:szCs w:val="20"/>
                <w:color w:val="auto"/>
              </w:rPr>
            </w:pPr>
            <w:r>
              <w:rPr>
                <w:rFonts w:ascii="Arial" w:cs="Arial" w:eastAsia="Arial" w:hAnsi="Arial"/>
                <w:sz w:val="14"/>
                <w:szCs w:val="14"/>
                <w:b w:val="1"/>
                <w:bCs w:val="1"/>
                <w:color w:val="auto"/>
              </w:rPr>
              <w:t>As of</w:t>
            </w:r>
          </w:p>
        </w:tc>
        <w:tc>
          <w:tcPr>
            <w:tcW w:w="1460" w:type="dxa"/>
            <w:vAlign w:val="bottom"/>
          </w:tcPr>
          <w:p>
            <w:pPr>
              <w:spacing w:after="0"/>
              <w:rPr>
                <w:sz w:val="15"/>
                <w:szCs w:val="15"/>
                <w:color w:val="auto"/>
              </w:rPr>
            </w:pPr>
          </w:p>
        </w:tc>
      </w:tr>
      <w:tr>
        <w:trPr>
          <w:trHeight w:val="24"/>
        </w:trPr>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3"/>
        </w:trPr>
        <w:tc>
          <w:tcPr>
            <w:tcW w:w="6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5"/>
                <w:szCs w:val="15"/>
                <w:color w:val="auto"/>
              </w:rPr>
            </w:pPr>
          </w:p>
        </w:tc>
        <w:tc>
          <w:tcPr>
            <w:tcW w:w="1460" w:type="dxa"/>
            <w:vAlign w:val="bottom"/>
          </w:tcPr>
          <w:p>
            <w:pPr>
              <w:jc w:val="right"/>
              <w:ind w:right="176"/>
              <w:spacing w:after="0"/>
              <w:rPr>
                <w:sz w:val="20"/>
                <w:szCs w:val="20"/>
                <w:color w:val="auto"/>
              </w:rPr>
            </w:pPr>
            <w:r>
              <w:rPr>
                <w:rFonts w:ascii="Arial" w:cs="Arial" w:eastAsia="Arial" w:hAnsi="Arial"/>
                <w:sz w:val="14"/>
                <w:szCs w:val="14"/>
                <w:b w:val="1"/>
                <w:bCs w:val="1"/>
                <w:color w:val="auto"/>
                <w:w w:val="93"/>
              </w:rPr>
              <w:t>December 31, 2021</w:t>
            </w:r>
          </w:p>
        </w:tc>
      </w:tr>
      <w:tr>
        <w:trPr>
          <w:trHeight w:val="210"/>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Long-lived assets</w:t>
            </w: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7"/>
                <w:szCs w:val="17"/>
                <w:color w:val="auto"/>
              </w:rPr>
              <w:t>India</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58,969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79,604</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50,095</w:t>
            </w:r>
          </w:p>
        </w:tc>
      </w:tr>
      <w:tr>
        <w:trPr>
          <w:trHeight w:val="223"/>
        </w:trPr>
        <w:tc>
          <w:tcPr>
            <w:tcW w:w="6280" w:type="dxa"/>
            <w:vAlign w:val="bottom"/>
          </w:tcPr>
          <w:p>
            <w:pPr>
              <w:ind w:left="20"/>
              <w:spacing w:after="0"/>
              <w:rPr>
                <w:sz w:val="20"/>
                <w:szCs w:val="20"/>
                <w:color w:val="auto"/>
              </w:rPr>
            </w:pPr>
            <w:r>
              <w:rPr>
                <w:rFonts w:ascii="Arial" w:cs="Arial" w:eastAsia="Arial" w:hAnsi="Arial"/>
                <w:sz w:val="17"/>
                <w:szCs w:val="17"/>
                <w:color w:val="auto"/>
              </w:rPr>
              <w:t>Philippines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18,899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22,011</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 of World</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10,990</w:t>
            </w:r>
          </w:p>
        </w:tc>
      </w:tr>
      <w:tr>
        <w:trPr>
          <w:trHeight w:val="216"/>
        </w:trPr>
        <w:tc>
          <w:tcPr>
            <w:tcW w:w="6280" w:type="dxa"/>
            <w:vAlign w:val="bottom"/>
          </w:tcPr>
          <w:p>
            <w:pPr>
              <w:ind w:left="20"/>
              <w:spacing w:after="0"/>
              <w:rPr>
                <w:sz w:val="20"/>
                <w:szCs w:val="20"/>
                <w:color w:val="auto"/>
              </w:rPr>
            </w:pPr>
            <w:r>
              <w:rPr>
                <w:rFonts w:ascii="Arial" w:cs="Arial" w:eastAsia="Arial" w:hAnsi="Arial"/>
                <w:sz w:val="17"/>
                <w:szCs w:val="17"/>
                <w:color w:val="auto"/>
              </w:rPr>
              <w:t>Long-lived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141,899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162,700</w:t>
            </w:r>
          </w:p>
        </w:tc>
      </w:tr>
      <w:tr>
        <w:trPr>
          <w:trHeight w:val="20"/>
        </w:trPr>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Revenues, net</w:t>
      </w:r>
    </w:p>
    <w:p>
      <w:pPr>
        <w:spacing w:after="0" w:line="243" w:lineRule="exact"/>
        <w:rPr>
          <w:sz w:val="20"/>
          <w:szCs w:val="20"/>
          <w:color w:val="auto"/>
        </w:rPr>
      </w:pPr>
    </w:p>
    <w:p>
      <w:pPr>
        <w:ind w:right="420" w:firstLine="393"/>
        <w:spacing w:after="0" w:line="273" w:lineRule="auto"/>
        <w:rPr>
          <w:sz w:val="20"/>
          <w:szCs w:val="20"/>
          <w:color w:val="auto"/>
        </w:rPr>
      </w:pPr>
      <w:r>
        <w:rPr>
          <w:rFonts w:ascii="Arial" w:cs="Arial" w:eastAsia="Arial" w:hAnsi="Arial"/>
          <w:sz w:val="17"/>
          <w:szCs w:val="17"/>
          <w:color w:val="auto"/>
        </w:rPr>
        <w:t>Refer to Note 3 - Segment and Geographical Information to the unaudited consolidated financial statements for revenues disaggregated by reportable segments and geography.</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Contract balances</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provides information about accounts receivable, contract assets and contract liabilities from contracts with customers:</w:t>
      </w:r>
    </w:p>
    <w:p>
      <w:pPr>
        <w:spacing w:after="0" w:line="5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6"/>
                <w:szCs w:val="16"/>
                <w:b w:val="1"/>
                <w:bCs w:val="1"/>
                <w:color w:val="auto"/>
              </w:rPr>
              <w:t>As of</w:t>
            </w:r>
          </w:p>
        </w:tc>
        <w:tc>
          <w:tcPr>
            <w:tcW w:w="1660" w:type="dxa"/>
            <w:vAlign w:val="bottom"/>
            <w:tcBorders>
              <w:bottom w:val="single" w:sz="8" w:color="auto"/>
            </w:tcBorders>
          </w:tcPr>
          <w:p>
            <w:pPr>
              <w:spacing w:after="0"/>
              <w:rPr>
                <w:sz w:val="18"/>
                <w:szCs w:val="18"/>
                <w:color w:val="auto"/>
              </w:rPr>
            </w:pPr>
          </w:p>
        </w:tc>
      </w:tr>
      <w:tr>
        <w:trPr>
          <w:trHeight w:val="206"/>
        </w:trPr>
        <w:tc>
          <w:tcPr>
            <w:tcW w:w="6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September 30, 2022</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214"/>
              <w:spacing w:after="0"/>
              <w:rPr>
                <w:sz w:val="20"/>
                <w:szCs w:val="20"/>
                <w:color w:val="auto"/>
              </w:rPr>
            </w:pPr>
            <w:r>
              <w:rPr>
                <w:rFonts w:ascii="Arial" w:cs="Arial" w:eastAsia="Arial" w:hAnsi="Arial"/>
                <w:sz w:val="16"/>
                <w:szCs w:val="16"/>
                <w:b w:val="1"/>
                <w:bCs w:val="1"/>
                <w:color w:val="auto"/>
                <w:w w:val="92"/>
              </w:rPr>
              <w:t>December 31, 2021</w:t>
            </w:r>
          </w:p>
        </w:tc>
      </w:tr>
      <w:tr>
        <w:trPr>
          <w:trHeight w:val="216"/>
        </w:trPr>
        <w:tc>
          <w:tcPr>
            <w:tcW w:w="690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20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256,911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194,232</w:t>
            </w:r>
          </w:p>
        </w:tc>
      </w:tr>
      <w:tr>
        <w:trPr>
          <w:trHeight w:val="223"/>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Contract assets</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2,524</w:t>
            </w:r>
          </w:p>
        </w:tc>
      </w:tr>
      <w:tr>
        <w:trPr>
          <w:trHeight w:val="223"/>
        </w:trPr>
        <w:tc>
          <w:tcPr>
            <w:tcW w:w="6900" w:type="dxa"/>
            <w:vAlign w:val="bottom"/>
          </w:tcPr>
          <w:p>
            <w:pPr>
              <w:spacing w:after="0"/>
              <w:rPr>
                <w:sz w:val="20"/>
                <w:szCs w:val="20"/>
                <w:color w:val="auto"/>
              </w:rPr>
            </w:pPr>
            <w:r>
              <w:rPr>
                <w:rFonts w:ascii="Arial" w:cs="Arial" w:eastAsia="Arial" w:hAnsi="Arial"/>
                <w:sz w:val="17"/>
                <w:szCs w:val="17"/>
                <w:color w:val="auto"/>
              </w:rPr>
              <w:t>Contract liabilities:</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3"/>
        </w:trPr>
        <w:tc>
          <w:tcPr>
            <w:tcW w:w="69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Deferred revenue (consideration received in advance)</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18,247</w:t>
            </w:r>
          </w:p>
        </w:tc>
      </w:tr>
      <w:tr>
        <w:trPr>
          <w:trHeight w:val="222"/>
        </w:trPr>
        <w:tc>
          <w:tcPr>
            <w:tcW w:w="6900" w:type="dxa"/>
            <w:vAlign w:val="bottom"/>
          </w:tcPr>
          <w:p>
            <w:pPr>
              <w:ind w:left="200"/>
              <w:spacing w:after="0"/>
              <w:rPr>
                <w:sz w:val="20"/>
                <w:szCs w:val="20"/>
                <w:color w:val="auto"/>
              </w:rPr>
            </w:pPr>
            <w:r>
              <w:rPr>
                <w:rFonts w:ascii="Arial" w:cs="Arial" w:eastAsia="Arial" w:hAnsi="Arial"/>
                <w:sz w:val="17"/>
                <w:szCs w:val="17"/>
                <w:color w:val="auto"/>
              </w:rPr>
              <w:t>Consideration received for process transition activities</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4,515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2,203</w:t>
            </w:r>
          </w:p>
        </w:tc>
      </w:tr>
    </w:tbl>
    <w:p>
      <w:pPr>
        <w:spacing w:after="0" w:line="290"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Accounts receivable includes $134,334 and $93,336 as of September 30, 2022 and December 31, 2021, respectively, representing unbilled receivables. The Company has accrued the unbilled receivables for work performed in accordance with the terms of contracts with customers and considers no significant performance risk associated with its unbilled receivables.</w:t>
      </w:r>
    </w:p>
    <w:p>
      <w:pPr>
        <w:spacing w:after="0" w:line="198"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Contract assets represent upfront payments such as deal signing discounts or deal signing bonuses made to customers. These costs are amortized over the expected period of the benefit and are recorded as an adjustment to transaction price and reduced from revenues. The Company’s assessment did not indicate any impairment losses on its contract assets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366" w:lineRule="exact"/>
        <w:rPr>
          <w:sz w:val="20"/>
          <w:szCs w:val="20"/>
          <w:color w:val="auto"/>
        </w:rPr>
      </w:pPr>
    </w:p>
    <w:p>
      <w:pPr>
        <w:jc w:val="both"/>
        <w:ind w:firstLine="354"/>
        <w:spacing w:after="0" w:line="249" w:lineRule="auto"/>
        <w:rPr>
          <w:sz w:val="20"/>
          <w:szCs w:val="20"/>
          <w:color w:val="auto"/>
        </w:rPr>
      </w:pPr>
      <w:r>
        <w:rPr>
          <w:rFonts w:ascii="Arial" w:cs="Arial" w:eastAsia="Arial" w:hAnsi="Arial"/>
          <w:sz w:val="17"/>
          <w:szCs w:val="17"/>
          <w:color w:val="auto"/>
        </w:rPr>
        <w:t>Contract liabilities represent that portion of deferred revenue for which payments have been received in advance from customers. The Company also defers revenues attributable to certain process transition activities for which costs have been capitalized by the Company as contract fulfillment costs. Consideration received from customers, if any, relating to such transition activities are classified under contract liabilities and are included within “Deferred revenues” and “Other non-current liabilities” in the consolidated balance sheets. The revenues are recognized as (or when) the performance obligation is fulfilled under the contract with customer.</w:t>
      </w:r>
    </w:p>
    <w:p>
      <w:pPr>
        <w:spacing w:after="0" w:line="206"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Revenue recognized during the three and nine months ended September 30, 2022 and 2021, which was included in the contract liabilities balance at the beginning of the respective periods: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302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5"/>
                <w:szCs w:val="15"/>
                <w:color w:val="auto"/>
              </w:rPr>
            </w:pPr>
          </w:p>
        </w:tc>
        <w:tc>
          <w:tcPr>
            <w:tcW w:w="2480" w:type="dxa"/>
            <w:vAlign w:val="bottom"/>
            <w:gridSpan w:val="4"/>
          </w:tcPr>
          <w:p>
            <w:pPr>
              <w:jc w:val="right"/>
              <w:ind w:right="238"/>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4"/>
        </w:trPr>
        <w:tc>
          <w:tcPr>
            <w:tcW w:w="5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 (consideration received in advance)</w:t>
            </w: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16,326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28,731</w:t>
            </w:r>
          </w:p>
        </w:tc>
      </w:tr>
      <w:tr>
        <w:trPr>
          <w:trHeight w:val="222"/>
        </w:trPr>
        <w:tc>
          <w:tcPr>
            <w:tcW w:w="5200" w:type="dxa"/>
            <w:vAlign w:val="bottom"/>
          </w:tcPr>
          <w:p>
            <w:pPr>
              <w:ind w:left="20"/>
              <w:spacing w:after="0"/>
              <w:rPr>
                <w:sz w:val="20"/>
                <w:szCs w:val="20"/>
                <w:color w:val="auto"/>
              </w:rPr>
            </w:pPr>
            <w:r>
              <w:rPr>
                <w:rFonts w:ascii="Arial" w:cs="Arial" w:eastAsia="Arial" w:hAnsi="Arial"/>
                <w:sz w:val="17"/>
                <w:szCs w:val="17"/>
                <w:color w:val="auto"/>
              </w:rPr>
              <w:t>Consideration received for process transition activities</w:t>
            </w:r>
          </w:p>
        </w:tc>
        <w:tc>
          <w:tcPr>
            <w:tcW w:w="920" w:type="dxa"/>
            <w:vAlign w:val="bottom"/>
          </w:tcPr>
          <w:p>
            <w:pPr>
              <w:jc w:val="right"/>
              <w:ind w:right="741"/>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706</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411</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
              <w:spacing w:after="0"/>
              <w:rPr>
                <w:sz w:val="20"/>
                <w:szCs w:val="20"/>
                <w:color w:val="auto"/>
              </w:rPr>
            </w:pPr>
            <w:r>
              <w:rPr>
                <w:rFonts w:ascii="Arial" w:cs="Arial" w:eastAsia="Arial" w:hAnsi="Arial"/>
                <w:sz w:val="17"/>
                <w:szCs w:val="17"/>
                <w:color w:val="auto"/>
              </w:rPr>
              <w:t>1,370</w:t>
            </w:r>
          </w:p>
        </w:tc>
        <w:tc>
          <w:tcPr>
            <w:tcW w:w="8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1,598</w:t>
            </w: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Contract acquisition and fulfillment costs</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provides details of the Company’s contract acquisition and fulfillment costs: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10"/>
          </w:tcPr>
          <w:p>
            <w:pPr>
              <w:jc w:val="right"/>
              <w:spacing w:after="0"/>
              <w:rPr>
                <w:sz w:val="20"/>
                <w:szCs w:val="20"/>
                <w:color w:val="auto"/>
              </w:rPr>
            </w:pPr>
            <w:r>
              <w:rPr>
                <w:rFonts w:ascii="Arial" w:cs="Arial" w:eastAsia="Arial" w:hAnsi="Arial"/>
                <w:sz w:val="17"/>
                <w:szCs w:val="17"/>
                <w:b w:val="1"/>
                <w:bCs w:val="1"/>
                <w:color w:val="auto"/>
              </w:rPr>
              <w:t>Contract Acquisition Costs</w:t>
            </w:r>
          </w:p>
        </w:tc>
        <w:tc>
          <w:tcPr>
            <w:tcW w:w="8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16"/>
        </w:trPr>
        <w:tc>
          <w:tcPr>
            <w:tcW w:w="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9"/>
          </w:tcPr>
          <w:p>
            <w:pPr>
              <w:ind w:left="260"/>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Pr>
          <w:p>
            <w:pPr>
              <w:spacing w:after="0"/>
              <w:rPr>
                <w:sz w:val="18"/>
                <w:szCs w:val="18"/>
                <w:color w:val="auto"/>
              </w:rPr>
            </w:pPr>
          </w:p>
        </w:tc>
        <w:tc>
          <w:tcPr>
            <w:tcW w:w="2380" w:type="dxa"/>
            <w:vAlign w:val="bottom"/>
            <w:gridSpan w:val="9"/>
          </w:tcPr>
          <w:p>
            <w:pPr>
              <w:ind w:left="280"/>
              <w:spacing w:after="0"/>
              <w:rPr>
                <w:sz w:val="20"/>
                <w:szCs w:val="20"/>
                <w:color w:val="auto"/>
              </w:rPr>
            </w:pPr>
            <w:r>
              <w:rPr>
                <w:rFonts w:ascii="Arial" w:cs="Arial" w:eastAsia="Arial" w:hAnsi="Arial"/>
                <w:sz w:val="17"/>
                <w:szCs w:val="17"/>
                <w:b w:val="1"/>
                <w:bCs w:val="1"/>
                <w:color w:val="auto"/>
              </w:rPr>
              <w:t>Nine months ended</w:t>
            </w:r>
          </w:p>
        </w:tc>
        <w:tc>
          <w:tcPr>
            <w:tcW w:w="14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1"/>
              </w:rPr>
              <w:t>Year ended</w:t>
            </w:r>
          </w:p>
        </w:tc>
      </w:tr>
      <w:tr>
        <w:trPr>
          <w:trHeight w:val="171"/>
        </w:trPr>
        <w:tc>
          <w:tcPr>
            <w:tcW w:w="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Borders>
              <w:top w:val="single" w:sz="8" w:color="auto"/>
            </w:tcBorders>
            <w:gridSpan w:val="5"/>
          </w:tcPr>
          <w:p>
            <w:pPr>
              <w:jc w:val="center"/>
              <w:ind w:right="100"/>
              <w:spacing w:after="0" w:line="172" w:lineRule="exact"/>
              <w:rPr>
                <w:sz w:val="20"/>
                <w:szCs w:val="20"/>
                <w:color w:val="auto"/>
              </w:rPr>
            </w:pPr>
            <w:r>
              <w:rPr>
                <w:rFonts w:ascii="Arial" w:cs="Arial" w:eastAsia="Arial" w:hAnsi="Arial"/>
                <w:sz w:val="17"/>
                <w:szCs w:val="17"/>
                <w:b w:val="1"/>
                <w:bCs w:val="1"/>
                <w:color w:val="auto"/>
                <w:w w:val="91"/>
              </w:rPr>
              <w:t>September 30,</w:t>
            </w:r>
          </w:p>
        </w:tc>
        <w:tc>
          <w:tcPr>
            <w:tcW w:w="1240" w:type="dxa"/>
            <w:vAlign w:val="bottom"/>
            <w:tcBorders>
              <w:top w:val="single" w:sz="8" w:color="auto"/>
            </w:tcBorders>
            <w:gridSpan w:val="3"/>
          </w:tcPr>
          <w:p>
            <w:pPr>
              <w:jc w:val="center"/>
              <w:spacing w:after="0" w:line="172" w:lineRule="exact"/>
              <w:rPr>
                <w:sz w:val="20"/>
                <w:szCs w:val="20"/>
                <w:color w:val="auto"/>
              </w:rPr>
            </w:pPr>
            <w:r>
              <w:rPr>
                <w:rFonts w:ascii="Arial" w:cs="Arial" w:eastAsia="Arial" w:hAnsi="Arial"/>
                <w:sz w:val="17"/>
                <w:szCs w:val="17"/>
                <w:b w:val="1"/>
                <w:bCs w:val="1"/>
                <w:color w:val="auto"/>
                <w:w w:val="92"/>
              </w:rPr>
              <w:t>September 30,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Borders>
              <w:top w:val="single" w:sz="8" w:color="auto"/>
            </w:tcBorders>
            <w:gridSpan w:val="5"/>
          </w:tcPr>
          <w:p>
            <w:pPr>
              <w:jc w:val="center"/>
              <w:ind w:right="120"/>
              <w:spacing w:after="0" w:line="172" w:lineRule="exact"/>
              <w:rPr>
                <w:sz w:val="20"/>
                <w:szCs w:val="20"/>
                <w:color w:val="auto"/>
              </w:rPr>
            </w:pPr>
            <w:r>
              <w:rPr>
                <w:rFonts w:ascii="Arial" w:cs="Arial" w:eastAsia="Arial" w:hAnsi="Arial"/>
                <w:sz w:val="17"/>
                <w:szCs w:val="17"/>
                <w:b w:val="1"/>
                <w:bCs w:val="1"/>
                <w:color w:val="auto"/>
                <w:w w:val="92"/>
              </w:rPr>
              <w:t>September 30,</w:t>
            </w:r>
          </w:p>
        </w:tc>
        <w:tc>
          <w:tcPr>
            <w:tcW w:w="1240" w:type="dxa"/>
            <w:vAlign w:val="bottom"/>
            <w:tcBorders>
              <w:top w:val="single" w:sz="8" w:color="auto"/>
            </w:tcBorders>
            <w:gridSpan w:val="3"/>
          </w:tcPr>
          <w:p>
            <w:pPr>
              <w:jc w:val="center"/>
              <w:ind w:right="20"/>
              <w:spacing w:after="0" w:line="172" w:lineRule="exact"/>
              <w:rPr>
                <w:sz w:val="20"/>
                <w:szCs w:val="20"/>
                <w:color w:val="auto"/>
              </w:rPr>
            </w:pPr>
            <w:r>
              <w:rPr>
                <w:rFonts w:ascii="Arial" w:cs="Arial" w:eastAsia="Arial" w:hAnsi="Arial"/>
                <w:sz w:val="17"/>
                <w:szCs w:val="17"/>
                <w:b w:val="1"/>
                <w:bCs w:val="1"/>
                <w:color w:val="auto"/>
                <w:w w:val="91"/>
              </w:rPr>
              <w:t>September 30,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center"/>
              <w:ind w:right="160"/>
              <w:spacing w:after="0" w:line="172" w:lineRule="exact"/>
              <w:rPr>
                <w:sz w:val="20"/>
                <w:szCs w:val="20"/>
                <w:color w:val="auto"/>
              </w:rPr>
            </w:pPr>
            <w:r>
              <w:rPr>
                <w:rFonts w:ascii="Arial" w:cs="Arial" w:eastAsia="Arial" w:hAnsi="Arial"/>
                <w:sz w:val="17"/>
                <w:szCs w:val="17"/>
                <w:b w:val="1"/>
                <w:bCs w:val="1"/>
                <w:color w:val="auto"/>
                <w:w w:val="92"/>
              </w:rPr>
              <w:t>December 31,</w:t>
            </w:r>
          </w:p>
        </w:tc>
      </w:tr>
      <w:tr>
        <w:trPr>
          <w:trHeight w:val="228"/>
        </w:trPr>
        <w:tc>
          <w:tcPr>
            <w:tcW w:w="1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73"/>
              <w:spacing w:after="0"/>
              <w:rPr>
                <w:sz w:val="20"/>
                <w:szCs w:val="20"/>
                <w:color w:val="auto"/>
              </w:rPr>
            </w:pPr>
            <w:r>
              <w:rPr>
                <w:rFonts w:ascii="Arial" w:cs="Arial" w:eastAsia="Arial" w:hAnsi="Arial"/>
                <w:sz w:val="17"/>
                <w:szCs w:val="17"/>
                <w:b w:val="1"/>
                <w:bCs w:val="1"/>
                <w:color w:val="auto"/>
                <w:w w:val="89"/>
              </w:rPr>
              <w:t>2022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53"/>
              <w:spacing w:after="0"/>
              <w:rPr>
                <w:sz w:val="20"/>
                <w:szCs w:val="20"/>
                <w:color w:val="auto"/>
              </w:rPr>
            </w:pPr>
            <w:r>
              <w:rPr>
                <w:rFonts w:ascii="Arial" w:cs="Arial" w:eastAsia="Arial" w:hAnsi="Arial"/>
                <w:sz w:val="17"/>
                <w:szCs w:val="17"/>
                <w:b w:val="1"/>
                <w:bCs w:val="1"/>
                <w:color w:val="auto"/>
                <w:w w:val="95"/>
              </w:rPr>
              <w:t>2021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3"/>
              <w:spacing w:after="0"/>
              <w:rPr>
                <w:sz w:val="20"/>
                <w:szCs w:val="20"/>
                <w:color w:val="auto"/>
              </w:rPr>
            </w:pPr>
            <w:r>
              <w:rPr>
                <w:rFonts w:ascii="Arial" w:cs="Arial" w:eastAsia="Arial" w:hAnsi="Arial"/>
                <w:sz w:val="17"/>
                <w:szCs w:val="17"/>
                <w:b w:val="1"/>
                <w:bCs w:val="1"/>
                <w:color w:val="auto"/>
                <w:w w:val="95"/>
              </w:rPr>
              <w:t>2022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313"/>
              <w:spacing w:after="0"/>
              <w:rPr>
                <w:sz w:val="20"/>
                <w:szCs w:val="20"/>
                <w:color w:val="auto"/>
              </w:rPr>
            </w:pPr>
            <w:r>
              <w:rPr>
                <w:rFonts w:ascii="Arial" w:cs="Arial" w:eastAsia="Arial" w:hAnsi="Arial"/>
                <w:sz w:val="17"/>
                <w:szCs w:val="17"/>
                <w:b w:val="1"/>
                <w:bCs w:val="1"/>
                <w:color w:val="auto"/>
                <w:w w:val="89"/>
              </w:rPr>
              <w:t>2021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95"/>
              </w:rPr>
              <w:t>2021</w:t>
            </w:r>
          </w:p>
        </w:tc>
        <w:tc>
          <w:tcPr>
            <w:tcW w:w="20" w:type="dxa"/>
            <w:vAlign w:val="bottom"/>
            <w:tcBorders>
              <w:bottom w:val="single" w:sz="8" w:color="auto"/>
            </w:tcBorders>
          </w:tcPr>
          <w:p>
            <w:pPr>
              <w:spacing w:after="0"/>
              <w:rPr>
                <w:sz w:val="19"/>
                <w:szCs w:val="19"/>
                <w:color w:val="auto"/>
              </w:rPr>
            </w:pPr>
          </w:p>
        </w:tc>
      </w:tr>
      <w:tr>
        <w:trPr>
          <w:trHeight w:val="216"/>
        </w:trPr>
        <w:tc>
          <w:tcPr>
            <w:tcW w:w="140" w:type="dxa"/>
            <w:vAlign w:val="bottom"/>
          </w:tcPr>
          <w:p>
            <w:pPr>
              <w:spacing w:after="0"/>
              <w:rPr>
                <w:sz w:val="18"/>
                <w:szCs w:val="18"/>
                <w:color w:val="auto"/>
              </w:rPr>
            </w:pPr>
          </w:p>
        </w:tc>
        <w:tc>
          <w:tcPr>
            <w:tcW w:w="4220" w:type="dxa"/>
            <w:vAlign w:val="bottom"/>
            <w:gridSpan w:val="2"/>
          </w:tcPr>
          <w:p>
            <w:pPr>
              <w:ind w:left="20"/>
              <w:spacing w:after="0"/>
              <w:rPr>
                <w:sz w:val="20"/>
                <w:szCs w:val="20"/>
                <w:color w:val="auto"/>
              </w:rPr>
            </w:pPr>
            <w:r>
              <w:rPr>
                <w:rFonts w:ascii="Arial" w:cs="Arial" w:eastAsia="Arial" w:hAnsi="Arial"/>
                <w:sz w:val="17"/>
                <w:szCs w:val="17"/>
                <w:color w:val="auto"/>
              </w:rPr>
              <w:t>Opening Balance</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983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867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1,027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1,027</w:t>
            </w:r>
          </w:p>
        </w:tc>
        <w:tc>
          <w:tcPr>
            <w:tcW w:w="20" w:type="dxa"/>
            <w:vAlign w:val="bottom"/>
          </w:tcPr>
          <w:p>
            <w:pPr>
              <w:spacing w:after="0"/>
              <w:rPr>
                <w:sz w:val="18"/>
                <w:szCs w:val="18"/>
                <w:color w:val="auto"/>
              </w:rPr>
            </w:pPr>
          </w:p>
        </w:tc>
      </w:tr>
      <w:tr>
        <w:trPr>
          <w:trHeight w:val="223"/>
        </w:trPr>
        <w:tc>
          <w:tcPr>
            <w:tcW w:w="140" w:type="dxa"/>
            <w:vAlign w:val="bottom"/>
          </w:tcPr>
          <w:p>
            <w:pPr>
              <w:spacing w:after="0"/>
              <w:rPr>
                <w:sz w:val="19"/>
                <w:szCs w:val="19"/>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Additions / (reductions)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20" w:type="dxa"/>
            <w:vAlign w:val="bottom"/>
            <w:shd w:val="clear" w:color="auto" w:fill="CCEEFF"/>
          </w:tcPr>
          <w:p>
            <w:pPr>
              <w:spacing w:after="0"/>
              <w:rPr>
                <w:sz w:val="19"/>
                <w:szCs w:val="19"/>
                <w:color w:val="auto"/>
              </w:rPr>
            </w:pPr>
          </w:p>
        </w:tc>
      </w:tr>
      <w:tr>
        <w:trPr>
          <w:trHeight w:val="223"/>
        </w:trPr>
        <w:tc>
          <w:tcPr>
            <w:tcW w:w="140" w:type="dxa"/>
            <w:vAlign w:val="bottom"/>
          </w:tcPr>
          <w:p>
            <w:pPr>
              <w:spacing w:after="0"/>
              <w:rPr>
                <w:sz w:val="19"/>
                <w:szCs w:val="19"/>
                <w:color w:val="auto"/>
              </w:rPr>
            </w:pPr>
          </w:p>
        </w:tc>
        <w:tc>
          <w:tcPr>
            <w:tcW w:w="42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Amortization</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(692)</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(793)</w:t>
            </w:r>
          </w:p>
        </w:tc>
        <w:tc>
          <w:tcPr>
            <w:tcW w:w="20" w:type="dxa"/>
            <w:vAlign w:val="bottom"/>
            <w:tcBorders>
              <w:bottom w:val="single" w:sz="8" w:color="auto"/>
            </w:tcBorders>
          </w:tcPr>
          <w:p>
            <w:pPr>
              <w:spacing w:after="0"/>
              <w:rPr>
                <w:sz w:val="19"/>
                <w:szCs w:val="19"/>
                <w:color w:val="auto"/>
              </w:rPr>
            </w:pPr>
          </w:p>
        </w:tc>
      </w:tr>
      <w:tr>
        <w:trPr>
          <w:trHeight w:val="241"/>
        </w:trPr>
        <w:tc>
          <w:tcPr>
            <w:tcW w:w="140" w:type="dxa"/>
            <w:vAlign w:val="bottom"/>
          </w:tcPr>
          <w:p>
            <w:pPr>
              <w:spacing w:after="0"/>
              <w:rPr>
                <w:sz w:val="20"/>
                <w:szCs w:val="20"/>
                <w:color w:val="auto"/>
              </w:rPr>
            </w:pPr>
          </w:p>
        </w:tc>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Closing Balance</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988</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612</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988</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612</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511</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14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549"/>
        </w:trPr>
        <w:tc>
          <w:tcPr>
            <w:tcW w:w="1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0"/>
          </w:tcPr>
          <w:p>
            <w:pPr>
              <w:jc w:val="right"/>
              <w:spacing w:after="0"/>
              <w:rPr>
                <w:sz w:val="20"/>
                <w:szCs w:val="20"/>
                <w:color w:val="auto"/>
              </w:rPr>
            </w:pPr>
            <w:r>
              <w:rPr>
                <w:rFonts w:ascii="Arial" w:cs="Arial" w:eastAsia="Arial" w:hAnsi="Arial"/>
                <w:sz w:val="17"/>
                <w:szCs w:val="17"/>
                <w:b w:val="1"/>
                <w:bCs w:val="1"/>
                <w:color w:val="auto"/>
              </w:rPr>
              <w:t>Contract Fulfillment Costs</w:t>
            </w: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9"/>
          </w:tcPr>
          <w:p>
            <w:pPr>
              <w:ind w:left="240"/>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Pr>
          <w:p>
            <w:pPr>
              <w:spacing w:after="0"/>
              <w:rPr>
                <w:sz w:val="18"/>
                <w:szCs w:val="18"/>
                <w:color w:val="auto"/>
              </w:rPr>
            </w:pPr>
          </w:p>
        </w:tc>
        <w:tc>
          <w:tcPr>
            <w:tcW w:w="2380" w:type="dxa"/>
            <w:vAlign w:val="bottom"/>
            <w:gridSpan w:val="9"/>
          </w:tcPr>
          <w:p>
            <w:pPr>
              <w:ind w:left="280"/>
              <w:spacing w:after="0"/>
              <w:rPr>
                <w:sz w:val="20"/>
                <w:szCs w:val="20"/>
                <w:color w:val="auto"/>
              </w:rPr>
            </w:pPr>
            <w:r>
              <w:rPr>
                <w:rFonts w:ascii="Arial" w:cs="Arial" w:eastAsia="Arial" w:hAnsi="Arial"/>
                <w:sz w:val="17"/>
                <w:szCs w:val="17"/>
                <w:b w:val="1"/>
                <w:bCs w:val="1"/>
                <w:color w:val="auto"/>
              </w:rPr>
              <w:t>Nine months ended</w:t>
            </w:r>
          </w:p>
        </w:tc>
        <w:tc>
          <w:tcPr>
            <w:tcW w:w="140" w:type="dxa"/>
            <w:vAlign w:val="bottom"/>
          </w:tcPr>
          <w:p>
            <w:pPr>
              <w:spacing w:after="0"/>
              <w:rPr>
                <w:sz w:val="18"/>
                <w:szCs w:val="18"/>
                <w:color w:val="auto"/>
              </w:rPr>
            </w:pPr>
          </w:p>
        </w:tc>
        <w:tc>
          <w:tcPr>
            <w:tcW w:w="1280" w:type="dxa"/>
            <w:vAlign w:val="bottom"/>
          </w:tcPr>
          <w:p>
            <w:pPr>
              <w:jc w:val="center"/>
              <w:ind w:right="73"/>
              <w:spacing w:after="0"/>
              <w:rPr>
                <w:sz w:val="20"/>
                <w:szCs w:val="20"/>
                <w:color w:val="auto"/>
              </w:rPr>
            </w:pPr>
            <w:r>
              <w:rPr>
                <w:rFonts w:ascii="Arial" w:cs="Arial" w:eastAsia="Arial" w:hAnsi="Arial"/>
                <w:sz w:val="17"/>
                <w:szCs w:val="17"/>
                <w:b w:val="1"/>
                <w:bCs w:val="1"/>
                <w:color w:val="auto"/>
                <w:w w:val="91"/>
              </w:rPr>
              <w:t>Year ended</w:t>
            </w:r>
          </w:p>
        </w:tc>
        <w:tc>
          <w:tcPr>
            <w:tcW w:w="20" w:type="dxa"/>
            <w:vAlign w:val="bottom"/>
          </w:tcPr>
          <w:p>
            <w:pPr>
              <w:spacing w:after="0"/>
              <w:rPr>
                <w:sz w:val="18"/>
                <w:szCs w:val="18"/>
                <w:color w:val="auto"/>
              </w:rPr>
            </w:pPr>
          </w:p>
        </w:tc>
      </w:tr>
      <w:tr>
        <w:trPr>
          <w:trHeight w:val="164"/>
        </w:trPr>
        <w:tc>
          <w:tcPr>
            <w:tcW w:w="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5"/>
          </w:tcPr>
          <w:p>
            <w:pPr>
              <w:jc w:val="center"/>
              <w:ind w:right="120"/>
              <w:spacing w:after="0" w:line="163" w:lineRule="exact"/>
              <w:rPr>
                <w:sz w:val="20"/>
                <w:szCs w:val="20"/>
                <w:color w:val="auto"/>
              </w:rPr>
            </w:pPr>
            <w:r>
              <w:rPr>
                <w:rFonts w:ascii="Arial" w:cs="Arial" w:eastAsia="Arial" w:hAnsi="Arial"/>
                <w:sz w:val="17"/>
                <w:szCs w:val="17"/>
                <w:b w:val="1"/>
                <w:bCs w:val="1"/>
                <w:color w:val="auto"/>
                <w:w w:val="92"/>
              </w:rPr>
              <w:t>September 30,</w:t>
            </w:r>
          </w:p>
        </w:tc>
        <w:tc>
          <w:tcPr>
            <w:tcW w:w="1220" w:type="dxa"/>
            <w:vAlign w:val="bottom"/>
            <w:tcBorders>
              <w:top w:val="single" w:sz="8" w:color="auto"/>
            </w:tcBorders>
            <w:gridSpan w:val="2"/>
          </w:tcPr>
          <w:p>
            <w:pPr>
              <w:jc w:val="center"/>
              <w:spacing w:after="0" w:line="163" w:lineRule="exact"/>
              <w:rPr>
                <w:sz w:val="20"/>
                <w:szCs w:val="20"/>
                <w:color w:val="auto"/>
              </w:rPr>
            </w:pPr>
            <w:r>
              <w:rPr>
                <w:rFonts w:ascii="Arial" w:cs="Arial" w:eastAsia="Arial" w:hAnsi="Arial"/>
                <w:sz w:val="17"/>
                <w:szCs w:val="17"/>
                <w:b w:val="1"/>
                <w:bCs w:val="1"/>
                <w:color w:val="auto"/>
                <w:w w:val="91"/>
              </w:rPr>
              <w:t>September 30,</w:t>
            </w:r>
          </w:p>
        </w:tc>
        <w:tc>
          <w:tcPr>
            <w:tcW w:w="100" w:type="dxa"/>
            <w:vAlign w:val="bottom"/>
            <w:gridSpan w:val="2"/>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5"/>
          </w:tcPr>
          <w:p>
            <w:pPr>
              <w:jc w:val="center"/>
              <w:ind w:right="140"/>
              <w:spacing w:after="0" w:line="163" w:lineRule="exact"/>
              <w:rPr>
                <w:sz w:val="20"/>
                <w:szCs w:val="20"/>
                <w:color w:val="auto"/>
              </w:rPr>
            </w:pPr>
            <w:r>
              <w:rPr>
                <w:rFonts w:ascii="Arial" w:cs="Arial" w:eastAsia="Arial" w:hAnsi="Arial"/>
                <w:sz w:val="17"/>
                <w:szCs w:val="17"/>
                <w:b w:val="1"/>
                <w:bCs w:val="1"/>
                <w:color w:val="auto"/>
                <w:w w:val="91"/>
              </w:rPr>
              <w:t>September 30,</w:t>
            </w:r>
          </w:p>
        </w:tc>
        <w:tc>
          <w:tcPr>
            <w:tcW w:w="1220" w:type="dxa"/>
            <w:vAlign w:val="bottom"/>
            <w:tcBorders>
              <w:top w:val="single" w:sz="8" w:color="auto"/>
            </w:tcBorders>
            <w:gridSpan w:val="2"/>
          </w:tcPr>
          <w:p>
            <w:pPr>
              <w:jc w:val="center"/>
              <w:spacing w:after="0" w:line="163" w:lineRule="exact"/>
              <w:rPr>
                <w:sz w:val="20"/>
                <w:szCs w:val="20"/>
                <w:color w:val="auto"/>
              </w:rPr>
            </w:pPr>
            <w:r>
              <w:rPr>
                <w:rFonts w:ascii="Arial" w:cs="Arial" w:eastAsia="Arial" w:hAnsi="Arial"/>
                <w:sz w:val="17"/>
                <w:szCs w:val="17"/>
                <w:b w:val="1"/>
                <w:bCs w:val="1"/>
                <w:color w:val="auto"/>
                <w:w w:val="91"/>
              </w:rPr>
              <w:t>September 30,</w:t>
            </w:r>
          </w:p>
        </w:tc>
        <w:tc>
          <w:tcPr>
            <w:tcW w:w="80" w:type="dxa"/>
            <w:vAlign w:val="bottom"/>
            <w:gridSpan w:val="2"/>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53"/>
              <w:spacing w:after="0" w:line="163" w:lineRule="exact"/>
              <w:rPr>
                <w:sz w:val="20"/>
                <w:szCs w:val="20"/>
                <w:color w:val="auto"/>
              </w:rPr>
            </w:pPr>
            <w:r>
              <w:rPr>
                <w:rFonts w:ascii="Arial" w:cs="Arial" w:eastAsia="Arial" w:hAnsi="Arial"/>
                <w:sz w:val="17"/>
                <w:szCs w:val="17"/>
                <w:b w:val="1"/>
                <w:bCs w:val="1"/>
                <w:color w:val="auto"/>
                <w:w w:val="92"/>
              </w:rPr>
              <w:t>December 31,</w:t>
            </w:r>
          </w:p>
        </w:tc>
        <w:tc>
          <w:tcPr>
            <w:tcW w:w="20" w:type="dxa"/>
            <w:vAlign w:val="bottom"/>
          </w:tcPr>
          <w:p>
            <w:pPr>
              <w:spacing w:after="0"/>
              <w:rPr>
                <w:sz w:val="14"/>
                <w:szCs w:val="14"/>
                <w:color w:val="auto"/>
              </w:rPr>
            </w:pPr>
          </w:p>
        </w:tc>
      </w:tr>
      <w:tr>
        <w:trPr>
          <w:trHeight w:val="232"/>
        </w:trPr>
        <w:tc>
          <w:tcPr>
            <w:tcW w:w="140" w:type="dxa"/>
            <w:vAlign w:val="bottom"/>
            <w:tcBorders>
              <w:bottom w:val="single" w:sz="8" w:color="CCEEFF"/>
            </w:tcBorders>
          </w:tcPr>
          <w:p>
            <w:pPr>
              <w:spacing w:after="0"/>
              <w:rPr>
                <w:sz w:val="20"/>
                <w:szCs w:val="20"/>
                <w:color w:val="auto"/>
              </w:rPr>
            </w:pPr>
          </w:p>
        </w:tc>
        <w:tc>
          <w:tcPr>
            <w:tcW w:w="42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93"/>
              <w:spacing w:after="0"/>
              <w:rPr>
                <w:sz w:val="20"/>
                <w:szCs w:val="20"/>
                <w:color w:val="auto"/>
              </w:rPr>
            </w:pPr>
            <w:r>
              <w:rPr>
                <w:rFonts w:ascii="Arial" w:cs="Arial" w:eastAsia="Arial" w:hAnsi="Arial"/>
                <w:sz w:val="17"/>
                <w:szCs w:val="17"/>
                <w:b w:val="1"/>
                <w:bCs w:val="1"/>
                <w:color w:val="auto"/>
                <w:w w:val="95"/>
              </w:rPr>
              <w:t>2022</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73"/>
              <w:spacing w:after="0"/>
              <w:rPr>
                <w:sz w:val="20"/>
                <w:szCs w:val="20"/>
                <w:color w:val="auto"/>
              </w:rPr>
            </w:pPr>
            <w:r>
              <w:rPr>
                <w:rFonts w:ascii="Arial" w:cs="Arial" w:eastAsia="Arial" w:hAnsi="Arial"/>
                <w:sz w:val="17"/>
                <w:szCs w:val="17"/>
                <w:b w:val="1"/>
                <w:bCs w:val="1"/>
                <w:color w:val="auto"/>
                <w:w w:val="89"/>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93"/>
              <w:spacing w:after="0"/>
              <w:rPr>
                <w:sz w:val="20"/>
                <w:szCs w:val="20"/>
                <w:color w:val="auto"/>
              </w:rPr>
            </w:pPr>
            <w:r>
              <w:rPr>
                <w:rFonts w:ascii="Arial" w:cs="Arial" w:eastAsia="Arial" w:hAnsi="Arial"/>
                <w:sz w:val="17"/>
                <w:szCs w:val="17"/>
                <w:b w:val="1"/>
                <w:bCs w:val="1"/>
                <w:color w:val="auto"/>
                <w:w w:val="89"/>
              </w:rPr>
              <w:t>2022</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33"/>
              <w:spacing w:after="0"/>
              <w:rPr>
                <w:sz w:val="20"/>
                <w:szCs w:val="20"/>
                <w:color w:val="auto"/>
              </w:rPr>
            </w:pPr>
            <w:r>
              <w:rPr>
                <w:rFonts w:ascii="Arial" w:cs="Arial" w:eastAsia="Arial" w:hAnsi="Arial"/>
                <w:sz w:val="17"/>
                <w:szCs w:val="17"/>
                <w:b w:val="1"/>
                <w:bCs w:val="1"/>
                <w:color w:val="auto"/>
                <w:w w:val="95"/>
              </w:rPr>
              <w:t>2021</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5"/>
              </w:rPr>
              <w:t>2021</w:t>
            </w:r>
          </w:p>
        </w:tc>
        <w:tc>
          <w:tcPr>
            <w:tcW w:w="20" w:type="dxa"/>
            <w:vAlign w:val="bottom"/>
          </w:tcPr>
          <w:p>
            <w:pPr>
              <w:spacing w:after="0"/>
              <w:rPr>
                <w:sz w:val="20"/>
                <w:szCs w:val="20"/>
                <w:color w:val="auto"/>
              </w:rPr>
            </w:pPr>
          </w:p>
        </w:tc>
      </w:tr>
      <w:tr>
        <w:trPr>
          <w:trHeight w:val="220"/>
        </w:trPr>
        <w:tc>
          <w:tcPr>
            <w:tcW w:w="4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Opening Balance</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3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5,631</w:t>
            </w:r>
          </w:p>
        </w:tc>
        <w:tc>
          <w:tcPr>
            <w:tcW w:w="20" w:type="dxa"/>
            <w:vAlign w:val="bottom"/>
          </w:tcPr>
          <w:p>
            <w:pPr>
              <w:spacing w:after="0"/>
              <w:rPr>
                <w:sz w:val="19"/>
                <w:szCs w:val="19"/>
                <w:color w:val="auto"/>
              </w:rPr>
            </w:pPr>
          </w:p>
        </w:tc>
      </w:tr>
      <w:tr>
        <w:trPr>
          <w:trHeight w:val="223"/>
        </w:trPr>
        <w:tc>
          <w:tcPr>
            <w:tcW w:w="4360" w:type="dxa"/>
            <w:vAlign w:val="bottom"/>
            <w:gridSpan w:val="3"/>
          </w:tcPr>
          <w:p>
            <w:pPr>
              <w:ind w:left="20"/>
              <w:spacing w:after="0"/>
              <w:rPr>
                <w:sz w:val="20"/>
                <w:szCs w:val="20"/>
                <w:color w:val="auto"/>
              </w:rPr>
            </w:pPr>
            <w:r>
              <w:rPr>
                <w:rFonts w:ascii="Arial" w:cs="Arial" w:eastAsia="Arial" w:hAnsi="Arial"/>
                <w:sz w:val="17"/>
                <w:szCs w:val="17"/>
                <w:color w:val="auto"/>
              </w:rPr>
              <w:t>Additions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2,964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8,449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443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3,742</w:t>
            </w:r>
          </w:p>
        </w:tc>
        <w:tc>
          <w:tcPr>
            <w:tcW w:w="20" w:type="dxa"/>
            <w:vAlign w:val="bottom"/>
          </w:tcPr>
          <w:p>
            <w:pPr>
              <w:spacing w:after="0"/>
              <w:rPr>
                <w:sz w:val="19"/>
                <w:szCs w:val="19"/>
                <w:color w:val="auto"/>
              </w:rPr>
            </w:pPr>
          </w:p>
        </w:tc>
      </w:tr>
      <w:tr>
        <w:trPr>
          <w:trHeight w:val="223"/>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Amortization</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(3,578)</w:t>
            </w:r>
          </w:p>
        </w:tc>
        <w:tc>
          <w:tcPr>
            <w:tcW w:w="20" w:type="dxa"/>
            <w:vAlign w:val="bottom"/>
          </w:tcPr>
          <w:p>
            <w:pPr>
              <w:spacing w:after="0"/>
              <w:rPr>
                <w:sz w:val="19"/>
                <w:szCs w:val="19"/>
                <w:color w:val="auto"/>
              </w:rPr>
            </w:pPr>
          </w:p>
        </w:tc>
      </w:tr>
      <w:tr>
        <w:trPr>
          <w:trHeight w:val="216"/>
        </w:trPr>
        <w:tc>
          <w:tcPr>
            <w:tcW w:w="4360" w:type="dxa"/>
            <w:vAlign w:val="bottom"/>
            <w:gridSpan w:val="3"/>
          </w:tcPr>
          <w:p>
            <w:pPr>
              <w:ind w:left="20"/>
              <w:spacing w:after="0"/>
              <w:rPr>
                <w:sz w:val="20"/>
                <w:szCs w:val="20"/>
                <w:color w:val="auto"/>
              </w:rPr>
            </w:pPr>
            <w:r>
              <w:rPr>
                <w:rFonts w:ascii="Arial" w:cs="Arial" w:eastAsia="Arial" w:hAnsi="Arial"/>
                <w:sz w:val="17"/>
                <w:szCs w:val="17"/>
                <w:color w:val="auto"/>
              </w:rPr>
              <w:t>Closing Balance</w:t>
            </w:r>
          </w:p>
        </w:tc>
        <w:tc>
          <w:tcPr>
            <w:tcW w:w="260" w:type="dxa"/>
            <w:vAlign w:val="bottom"/>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11,961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3,280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11,961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3,280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5,795</w:t>
            </w:r>
          </w:p>
        </w:tc>
        <w:tc>
          <w:tcPr>
            <w:tcW w:w="20" w:type="dxa"/>
            <w:vAlign w:val="bottom"/>
          </w:tcPr>
          <w:p>
            <w:pPr>
              <w:spacing w:after="0"/>
              <w:rPr>
                <w:sz w:val="18"/>
                <w:szCs w:val="18"/>
                <w:color w:val="auto"/>
              </w:rPr>
            </w:pPr>
          </w:p>
        </w:tc>
      </w:tr>
      <w:tr>
        <w:trPr>
          <w:trHeight w:val="20"/>
        </w:trPr>
        <w:tc>
          <w:tcPr>
            <w:tcW w:w="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There was no impairment for contract acquisition and contract fulfillment costs as of September 30, 2022 and December 31, 2021. The capitalized costs are amortized over the expected period of benefit of the contract.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Allowance for expected credit losses</w:t>
      </w:r>
    </w:p>
    <w:p>
      <w:pPr>
        <w:spacing w:after="0" w:line="243"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7"/>
          <w:szCs w:val="17"/>
          <w:color w:val="auto"/>
        </w:rPr>
        <w:t>The Company evaluates the credit risk of its customers based on a combination of various financial and qualitative factors that may affect the ability of each customer to pay. The Company considered current and anticipated future economic conditions relating to the industries of the Company’s customers and the countries where it operates. In calculating expected credit loss, the Company also considered past payment trends, credit rating and other related credit information for its significant customers to estimate the probability of default in the future and estimates relating to the possible effects resulting from COVID-19.</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480" w:type="dxa"/>
        <w:tblCellMar>
          <w:top w:w="0" w:type="dxa"/>
          <w:left w:w="0" w:type="dxa"/>
          <w:bottom w:w="0" w:type="dxa"/>
          <w:right w:w="0" w:type="dxa"/>
        </w:tblCellMar>
      </w:tblPr>
      <w:tr>
        <w:trPr>
          <w:trHeight w:val="223"/>
        </w:trPr>
        <w:tc>
          <w:tcPr>
            <w:tcW w:w="6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gridSpan w:val="3"/>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As of</w:t>
            </w:r>
          </w:p>
        </w:tc>
        <w:tc>
          <w:tcPr>
            <w:tcW w:w="1820" w:type="dxa"/>
            <w:vAlign w:val="bottom"/>
            <w:tcBorders>
              <w:bottom w:val="single" w:sz="8" w:color="auto"/>
            </w:tcBorders>
            <w:shd w:val="clear" w:color="auto" w:fill="CCEEFF"/>
          </w:tcPr>
          <w:p>
            <w:pPr>
              <w:spacing w:after="0"/>
              <w:rPr>
                <w:sz w:val="19"/>
                <w:szCs w:val="19"/>
                <w:color w:val="auto"/>
              </w:rPr>
            </w:pPr>
          </w:p>
        </w:tc>
      </w:tr>
      <w:tr>
        <w:trPr>
          <w:trHeight w:val="216"/>
        </w:trPr>
        <w:tc>
          <w:tcPr>
            <w:tcW w:w="6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ind w:left="100"/>
              <w:spacing w:after="0"/>
              <w:rPr>
                <w:sz w:val="20"/>
                <w:szCs w:val="20"/>
                <w:color w:val="auto"/>
              </w:rPr>
            </w:pPr>
            <w:r>
              <w:rPr>
                <w:rFonts w:ascii="Arial" w:cs="Arial" w:eastAsia="Arial" w:hAnsi="Arial"/>
                <w:sz w:val="17"/>
                <w:szCs w:val="17"/>
                <w:b w:val="1"/>
                <w:bCs w:val="1"/>
                <w:color w:val="auto"/>
              </w:rPr>
              <w:t>September 30, 2022</w:t>
            </w:r>
          </w:p>
        </w:tc>
        <w:tc>
          <w:tcPr>
            <w:tcW w:w="240" w:type="dxa"/>
            <w:vAlign w:val="bottom"/>
          </w:tcPr>
          <w:p>
            <w:pPr>
              <w:spacing w:after="0"/>
              <w:rPr>
                <w:sz w:val="18"/>
                <w:szCs w:val="18"/>
                <w:color w:val="auto"/>
              </w:rPr>
            </w:pPr>
          </w:p>
        </w:tc>
        <w:tc>
          <w:tcPr>
            <w:tcW w:w="1820" w:type="dxa"/>
            <w:vAlign w:val="bottom"/>
          </w:tcPr>
          <w:p>
            <w:pPr>
              <w:jc w:val="right"/>
              <w:ind w:right="233"/>
              <w:spacing w:after="0"/>
              <w:rPr>
                <w:sz w:val="20"/>
                <w:szCs w:val="20"/>
                <w:color w:val="auto"/>
              </w:rPr>
            </w:pPr>
            <w:r>
              <w:rPr>
                <w:rFonts w:ascii="Arial" w:cs="Arial" w:eastAsia="Arial" w:hAnsi="Arial"/>
                <w:sz w:val="17"/>
                <w:szCs w:val="17"/>
                <w:b w:val="1"/>
                <w:bCs w:val="1"/>
                <w:color w:val="auto"/>
                <w:w w:val="96"/>
              </w:rPr>
              <w:t>December 31, 2021</w:t>
            </w:r>
          </w:p>
        </w:tc>
      </w:tr>
      <w:tr>
        <w:trPr>
          <w:trHeight w:val="216"/>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Accounts receivable, including unbilled receivables</w:t>
            </w: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257,766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194,805</w:t>
            </w:r>
          </w:p>
        </w:tc>
      </w:tr>
      <w:tr>
        <w:trPr>
          <w:trHeight w:val="223"/>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Allowance for expected credit losses</w:t>
            </w: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w:t>
            </w:r>
          </w:p>
        </w:tc>
      </w:tr>
      <w:tr>
        <w:trPr>
          <w:trHeight w:val="241"/>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Accounts receivable, net</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w w:val="84"/>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256,911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194,232</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movement in “Allowance for expected credit losses” on customer balances was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w w:val="96"/>
              </w:rPr>
              <w:t>Three months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ind w:left="220"/>
              <w:spacing w:after="0"/>
              <w:rPr>
                <w:sz w:val="20"/>
                <w:szCs w:val="20"/>
                <w:color w:val="auto"/>
              </w:rPr>
            </w:pPr>
            <w:r>
              <w:rPr>
                <w:rFonts w:ascii="Arial" w:cs="Arial" w:eastAsia="Arial" w:hAnsi="Arial"/>
                <w:sz w:val="16"/>
                <w:szCs w:val="16"/>
                <w:b w:val="1"/>
                <w:bCs w:val="1"/>
                <w:color w:val="auto"/>
              </w:rPr>
              <w:t>Nine months ended</w:t>
            </w:r>
          </w:p>
        </w:tc>
        <w:tc>
          <w:tcPr>
            <w:tcW w:w="160" w:type="dxa"/>
            <w:vAlign w:val="bottom"/>
          </w:tcPr>
          <w:p>
            <w:pPr>
              <w:spacing w:after="0"/>
              <w:rPr>
                <w:sz w:val="18"/>
                <w:szCs w:val="18"/>
                <w:color w:val="auto"/>
              </w:rPr>
            </w:pPr>
          </w:p>
        </w:tc>
        <w:tc>
          <w:tcPr>
            <w:tcW w:w="1140" w:type="dxa"/>
            <w:vAlign w:val="bottom"/>
          </w:tcPr>
          <w:p>
            <w:pPr>
              <w:jc w:val="center"/>
              <w:ind w:right="56"/>
              <w:spacing w:after="0"/>
              <w:rPr>
                <w:sz w:val="20"/>
                <w:szCs w:val="20"/>
                <w:color w:val="auto"/>
              </w:rPr>
            </w:pPr>
            <w:r>
              <w:rPr>
                <w:rFonts w:ascii="Arial" w:cs="Arial" w:eastAsia="Arial" w:hAnsi="Arial"/>
                <w:sz w:val="16"/>
                <w:szCs w:val="16"/>
                <w:b w:val="1"/>
                <w:bCs w:val="1"/>
                <w:color w:val="auto"/>
                <w:w w:val="88"/>
              </w:rPr>
              <w:t>Year ended</w:t>
            </w:r>
          </w:p>
        </w:tc>
      </w:tr>
      <w:tr>
        <w:trPr>
          <w:trHeight w:val="154"/>
        </w:trPr>
        <w:tc>
          <w:tcPr>
            <w:tcW w:w="5420" w:type="dxa"/>
            <w:vAlign w:val="bottom"/>
          </w:tcPr>
          <w:p>
            <w:pPr>
              <w:spacing w:after="0"/>
              <w:rPr>
                <w:sz w:val="13"/>
                <w:szCs w:val="13"/>
                <w:color w:val="auto"/>
              </w:rPr>
            </w:pPr>
          </w:p>
        </w:tc>
        <w:tc>
          <w:tcPr>
            <w:tcW w:w="1120" w:type="dxa"/>
            <w:vAlign w:val="bottom"/>
            <w:tcBorders>
              <w:top w:val="single" w:sz="8" w:color="auto"/>
            </w:tcBorders>
            <w:gridSpan w:val="3"/>
          </w:tcPr>
          <w:p>
            <w:pPr>
              <w:ind w:left="40"/>
              <w:spacing w:after="0" w:line="154" w:lineRule="exact"/>
              <w:rPr>
                <w:sz w:val="20"/>
                <w:szCs w:val="20"/>
                <w:color w:val="auto"/>
              </w:rPr>
            </w:pPr>
            <w:r>
              <w:rPr>
                <w:rFonts w:ascii="Arial" w:cs="Arial" w:eastAsia="Arial" w:hAnsi="Arial"/>
                <w:sz w:val="16"/>
                <w:szCs w:val="16"/>
                <w:b w:val="1"/>
                <w:bCs w:val="1"/>
                <w:color w:val="auto"/>
                <w:w w:val="96"/>
              </w:rPr>
              <w:t>September 30,</w:t>
            </w:r>
          </w:p>
        </w:tc>
        <w:tc>
          <w:tcPr>
            <w:tcW w:w="1040" w:type="dxa"/>
            <w:vAlign w:val="bottom"/>
            <w:tcBorders>
              <w:top w:val="single" w:sz="8" w:color="auto"/>
            </w:tcBorders>
            <w:gridSpan w:val="2"/>
          </w:tcPr>
          <w:p>
            <w:pPr>
              <w:ind w:left="40"/>
              <w:spacing w:after="0" w:line="154" w:lineRule="exact"/>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3"/>
                <w:szCs w:val="13"/>
                <w:color w:val="auto"/>
              </w:rPr>
            </w:pPr>
          </w:p>
        </w:tc>
        <w:tc>
          <w:tcPr>
            <w:tcW w:w="1140" w:type="dxa"/>
            <w:vAlign w:val="bottom"/>
            <w:tcBorders>
              <w:top w:val="single" w:sz="8" w:color="auto"/>
            </w:tcBorders>
            <w:gridSpan w:val="3"/>
          </w:tcPr>
          <w:p>
            <w:pPr>
              <w:ind w:left="40"/>
              <w:spacing w:after="0" w:line="154" w:lineRule="exact"/>
              <w:rPr>
                <w:sz w:val="20"/>
                <w:szCs w:val="20"/>
                <w:color w:val="auto"/>
              </w:rPr>
            </w:pPr>
            <w:r>
              <w:rPr>
                <w:rFonts w:ascii="Arial" w:cs="Arial" w:eastAsia="Arial" w:hAnsi="Arial"/>
                <w:sz w:val="16"/>
                <w:szCs w:val="16"/>
                <w:b w:val="1"/>
                <w:bCs w:val="1"/>
                <w:color w:val="auto"/>
                <w:w w:val="98"/>
              </w:rPr>
              <w:t>September 30,</w:t>
            </w:r>
          </w:p>
        </w:tc>
        <w:tc>
          <w:tcPr>
            <w:tcW w:w="1040" w:type="dxa"/>
            <w:vAlign w:val="bottom"/>
            <w:tcBorders>
              <w:top w:val="single" w:sz="8" w:color="auto"/>
            </w:tcBorders>
            <w:gridSpan w:val="2"/>
          </w:tcPr>
          <w:p>
            <w:pPr>
              <w:ind w:left="40"/>
              <w:spacing w:after="0" w:line="154" w:lineRule="exact"/>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56"/>
              <w:spacing w:after="0" w:line="154" w:lineRule="exact"/>
              <w:rPr>
                <w:sz w:val="20"/>
                <w:szCs w:val="20"/>
                <w:color w:val="auto"/>
              </w:rPr>
            </w:pPr>
            <w:r>
              <w:rPr>
                <w:rFonts w:ascii="Arial" w:cs="Arial" w:eastAsia="Arial" w:hAnsi="Arial"/>
                <w:sz w:val="16"/>
                <w:szCs w:val="16"/>
                <w:b w:val="1"/>
                <w:bCs w:val="1"/>
                <w:color w:val="auto"/>
                <w:w w:val="88"/>
              </w:rPr>
              <w:t>December 31,</w:t>
            </w:r>
          </w:p>
        </w:tc>
      </w:tr>
      <w:tr>
        <w:trPr>
          <w:trHeight w:val="207"/>
        </w:trPr>
        <w:tc>
          <w:tcPr>
            <w:tcW w:w="54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b w:val="1"/>
                <w:bCs w:val="1"/>
                <w:color w:val="auto"/>
                <w:w w:val="89"/>
              </w:rPr>
              <w:t>2021</w:t>
            </w: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Opening Balance</w:t>
            </w: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730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1,189</w:t>
            </w:r>
          </w:p>
        </w:tc>
      </w:tr>
      <w:tr>
        <w:trPr>
          <w:trHeight w:val="223"/>
        </w:trPr>
        <w:tc>
          <w:tcPr>
            <w:tcW w:w="5420" w:type="dxa"/>
            <w:vAlign w:val="bottom"/>
          </w:tcPr>
          <w:p>
            <w:pPr>
              <w:ind w:left="20"/>
              <w:spacing w:after="0"/>
              <w:rPr>
                <w:sz w:val="20"/>
                <w:szCs w:val="20"/>
                <w:color w:val="auto"/>
              </w:rPr>
            </w:pPr>
            <w:r>
              <w:rPr>
                <w:rFonts w:ascii="Arial" w:cs="Arial" w:eastAsia="Arial" w:hAnsi="Arial"/>
                <w:sz w:val="17"/>
                <w:szCs w:val="17"/>
                <w:color w:val="auto"/>
              </w:rPr>
              <w:t>Additions / (reductions)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w w:val="99"/>
              </w:rPr>
              <w:t>(19)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(496)</w:t>
            </w: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Reductions due to write-off of Accounts Receivables</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r>
      <w:tr>
        <w:trPr>
          <w:trHeight w:val="223"/>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Translation adjustment</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r>
      <w:tr>
        <w:trPr>
          <w:trHeight w:val="241"/>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Closing Balance</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855</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1"/>
              </w:rPr>
              <w:t>671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671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573</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Earnings Per Share</w:t>
      </w:r>
    </w:p>
    <w:p>
      <w:pPr>
        <w:spacing w:after="0" w:line="243"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 average number of common shares outstanding, adjusted for outstanding shares that are subject to repurchase during each period. Diluted earnings per share is computed using the weighted average number of common shares plus the potentially dilutive effect of common stock equivalents (outstanding stock options, restricted stock and restricted stock units) issued and outstanding at the reporting date, and an assumed conversion premium of outstanding convertible notes, using the treasury stock method (as discussed further in the subsequent paragraph). Common stock equivalents that are anti-dilutive are excluded from the computation of weighted average shares outstanding. The Company includes performance stock unit awards in dilutive potential common shares when they become contingently issuable and have a dilutive impact per authoritative guidance and excludes such awards when they are not contingently issuable.</w:t>
      </w:r>
    </w:p>
    <w:p>
      <w:pPr>
        <w:spacing w:after="0" w:line="196" w:lineRule="exact"/>
        <w:rPr>
          <w:sz w:val="20"/>
          <w:szCs w:val="20"/>
          <w:color w:val="auto"/>
        </w:rPr>
      </w:pPr>
    </w:p>
    <w:p>
      <w:pPr>
        <w:jc w:val="both"/>
        <w:ind w:firstLine="393"/>
        <w:spacing w:after="0" w:line="261" w:lineRule="auto"/>
        <w:rPr>
          <w:sz w:val="20"/>
          <w:szCs w:val="20"/>
          <w:color w:val="auto"/>
        </w:rPr>
      </w:pPr>
      <w:r>
        <w:rPr>
          <w:rFonts w:ascii="Arial" w:cs="Arial" w:eastAsia="Arial" w:hAnsi="Arial"/>
          <w:sz w:val="16"/>
          <w:szCs w:val="16"/>
          <w:color w:val="auto"/>
        </w:rPr>
        <w:t>In 2021, diluted weighted-average shares outstanding was affected by the treatment of the Company’s 3.5% per annum Convertible Senior Notes due October 1, 2024 (the “Notes”). The Company had a choice to settle the Notes in cash, shares or any combination of the two. The Company had the ability to settle the principal balance of the Notes in cash, and as such, the Company applied the treasury stock method. The dilution related to the conversion premium, if any, of the Notes is included in the calculation of diluted weighted-average shares outstanding for the portion of the period until actual settlement and to the extent the issuance is dilutive based on the average stock price during the reporting period being greater than the conversion price of $75. During the third quarter of 2021, the Company settled the Notes by electing a combination of cash and shares of the Company’s common stock and as such included the count of shares issued on settlement in the calculation of basic earnings per share for the portion of the period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37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sets forth the computation of basic and diluted earnings per share: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5"/>
                <w:szCs w:val="15"/>
                <w:color w:val="auto"/>
              </w:rPr>
            </w:pPr>
          </w:p>
        </w:tc>
        <w:tc>
          <w:tcPr>
            <w:tcW w:w="312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jc w:val="right"/>
              <w:ind w:right="6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
        </w:trPr>
        <w:tc>
          <w:tcPr>
            <w:tcW w:w="4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Numerators: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39,095</w:t>
            </w:r>
          </w:p>
        </w:tc>
        <w:tc>
          <w:tcPr>
            <w:tcW w:w="1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26,507</w:t>
            </w:r>
          </w:p>
        </w:tc>
        <w:tc>
          <w:tcPr>
            <w:tcW w:w="80" w:type="dxa"/>
            <w:vAlign w:val="bottom"/>
          </w:tcPr>
          <w:p>
            <w:pPr>
              <w:spacing w:after="0"/>
              <w:rPr>
                <w:sz w:val="19"/>
                <w:szCs w:val="19"/>
                <w:color w:val="auto"/>
              </w:rPr>
            </w:pP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111,119</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86,459</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Denominators: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540"/>
              <w:spacing w:after="0"/>
              <w:rPr>
                <w:sz w:val="20"/>
                <w:szCs w:val="20"/>
                <w:color w:val="auto"/>
              </w:rPr>
            </w:pPr>
            <w:r>
              <w:rPr>
                <w:rFonts w:ascii="Arial" w:cs="Arial" w:eastAsia="Arial" w:hAnsi="Arial"/>
                <w:sz w:val="17"/>
                <w:szCs w:val="17"/>
                <w:color w:val="auto"/>
                <w:w w:val="98"/>
              </w:rPr>
              <w:t>Basic weighted average common shares outstanding</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33,237,833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33,449,311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33,360,346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33,583,791</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Dilutive effect of share-based awards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539,916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440,378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473,291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371,145</w:t>
            </w:r>
          </w:p>
        </w:tc>
        <w:tc>
          <w:tcPr>
            <w:tcW w:w="0" w:type="dxa"/>
            <w:vAlign w:val="bottom"/>
          </w:tcPr>
          <w:p>
            <w:pPr>
              <w:spacing w:after="0"/>
              <w:rPr>
                <w:sz w:val="1"/>
                <w:szCs w:val="1"/>
                <w:color w:val="auto"/>
              </w:rPr>
            </w:pPr>
          </w:p>
        </w:tc>
      </w:tr>
      <w:tr>
        <w:trPr>
          <w:trHeight w:val="223"/>
        </w:trPr>
        <w:tc>
          <w:tcPr>
            <w:tcW w:w="4480" w:type="dxa"/>
            <w:vAlign w:val="bottom"/>
          </w:tcPr>
          <w:p>
            <w:pPr>
              <w:ind w:left="540"/>
              <w:spacing w:after="0"/>
              <w:rPr>
                <w:sz w:val="20"/>
                <w:szCs w:val="20"/>
                <w:color w:val="auto"/>
              </w:rPr>
            </w:pPr>
            <w:r>
              <w:rPr>
                <w:rFonts w:ascii="Arial" w:cs="Arial" w:eastAsia="Arial" w:hAnsi="Arial"/>
                <w:sz w:val="17"/>
                <w:szCs w:val="17"/>
                <w:color w:val="auto"/>
              </w:rPr>
              <w:t>Dilutive effect of conversion premium on the Notes</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416,204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382,014</w:t>
            </w:r>
          </w:p>
        </w:tc>
        <w:tc>
          <w:tcPr>
            <w:tcW w:w="0" w:type="dxa"/>
            <w:vAlign w:val="bottom"/>
          </w:tcPr>
          <w:p>
            <w:pPr>
              <w:spacing w:after="0"/>
              <w:rPr>
                <w:sz w:val="1"/>
                <w:szCs w:val="1"/>
                <w:color w:val="auto"/>
              </w:rPr>
            </w:pPr>
          </w:p>
        </w:tc>
      </w:tr>
      <w:tr>
        <w:trPr>
          <w:trHeight w:val="241"/>
        </w:trPr>
        <w:tc>
          <w:tcPr>
            <w:tcW w:w="44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7"/>
                <w:szCs w:val="17"/>
                <w:color w:val="auto"/>
                <w:w w:val="95"/>
              </w:rPr>
              <w:t>Diluted weighted average common shares outstanding</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33,777,749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34,305,893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33,833,637</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34,336,950</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line="158" w:lineRule="exact"/>
              <w:rPr>
                <w:sz w:val="20"/>
                <w:szCs w:val="20"/>
                <w:color w:val="auto"/>
              </w:rPr>
            </w:pPr>
            <w:r>
              <w:rPr>
                <w:rFonts w:ascii="Arial" w:cs="Arial" w:eastAsia="Arial" w:hAnsi="Arial"/>
                <w:sz w:val="17"/>
                <w:szCs w:val="17"/>
                <w:color w:val="auto"/>
              </w:rPr>
              <w:t>Earnings per share attributable to ExlService Holdings Inc.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4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7"/>
                <w:szCs w:val="17"/>
                <w:color w:val="auto"/>
              </w:rPr>
              <w:t>stockholders: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Basic</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23"/>
        </w:trPr>
        <w:tc>
          <w:tcPr>
            <w:tcW w:w="4480" w:type="dxa"/>
            <w:vAlign w:val="bottom"/>
          </w:tcPr>
          <w:p>
            <w:pPr>
              <w:ind w:left="540"/>
              <w:spacing w:after="0"/>
              <w:rPr>
                <w:sz w:val="20"/>
                <w:szCs w:val="20"/>
                <w:color w:val="auto"/>
              </w:rPr>
            </w:pPr>
            <w:r>
              <w:rPr>
                <w:rFonts w:ascii="Arial" w:cs="Arial" w:eastAsia="Arial" w:hAnsi="Arial"/>
                <w:sz w:val="17"/>
                <w:szCs w:val="17"/>
                <w:color w:val="auto"/>
              </w:rPr>
              <w:t>Diluted</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0.77</w:t>
            </w:r>
          </w:p>
        </w:tc>
        <w:tc>
          <w:tcPr>
            <w:tcW w:w="80" w:type="dxa"/>
            <w:vAlign w:val="bottom"/>
          </w:tcPr>
          <w:p>
            <w:pPr>
              <w:spacing w:after="0"/>
              <w:rPr>
                <w:sz w:val="19"/>
                <w:szCs w:val="19"/>
                <w:color w:val="auto"/>
              </w:rPr>
            </w:pP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3.28</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171"/>
        </w:trPr>
        <w:tc>
          <w:tcPr>
            <w:tcW w:w="448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w w:val="96"/>
              </w:rPr>
              <w:t>Weighted average potentially dilutive shares considered anti-</w:t>
            </w: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dilutive and not included in computing diluted earnings per</w:t>
            </w: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40,384</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14,044</w:t>
            </w:r>
          </w:p>
        </w:tc>
        <w:tc>
          <w:tcPr>
            <w:tcW w:w="0" w:type="dxa"/>
            <w:vAlign w:val="bottom"/>
          </w:tcPr>
          <w:p>
            <w:pPr>
              <w:spacing w:after="0"/>
              <w:rPr>
                <w:sz w:val="1"/>
                <w:szCs w:val="1"/>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Cash, Cash Equivalents and Restricted Cash</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For the purposes of the unaudited statements of cash flows, cash, cash equivalents and restricted cash comprise of the following:</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ind w:right="636"/>
              <w:spacing w:after="0"/>
              <w:rPr>
                <w:sz w:val="20"/>
                <w:szCs w:val="20"/>
                <w:color w:val="auto"/>
              </w:rPr>
            </w:pPr>
            <w:r>
              <w:rPr>
                <w:rFonts w:ascii="Arial" w:cs="Arial" w:eastAsia="Arial" w:hAnsi="Arial"/>
                <w:sz w:val="14"/>
                <w:szCs w:val="14"/>
                <w:b w:val="1"/>
                <w:bCs w:val="1"/>
                <w:color w:val="auto"/>
              </w:rPr>
              <w:t>As of</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jc w:val="right"/>
              <w:ind w:right="175"/>
              <w:spacing w:after="0"/>
              <w:rPr>
                <w:sz w:val="20"/>
                <w:szCs w:val="20"/>
                <w:color w:val="auto"/>
              </w:rPr>
            </w:pPr>
            <w:r>
              <w:rPr>
                <w:rFonts w:ascii="Arial" w:cs="Arial" w:eastAsia="Arial" w:hAnsi="Arial"/>
                <w:sz w:val="14"/>
                <w:szCs w:val="14"/>
                <w:b w:val="1"/>
                <w:bCs w:val="1"/>
                <w:color w:val="auto"/>
              </w:rPr>
              <w:t>September 30, 2022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ind w:right="176"/>
              <w:spacing w:after="0"/>
              <w:rPr>
                <w:sz w:val="20"/>
                <w:szCs w:val="20"/>
                <w:color w:val="auto"/>
              </w:rPr>
            </w:pPr>
            <w:r>
              <w:rPr>
                <w:rFonts w:ascii="Arial" w:cs="Arial" w:eastAsia="Arial" w:hAnsi="Arial"/>
                <w:sz w:val="14"/>
                <w:szCs w:val="14"/>
                <w:b w:val="1"/>
                <w:bCs w:val="1"/>
                <w:color w:val="auto"/>
                <w:w w:val="91"/>
              </w:rPr>
              <w:t>September 30, 2021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ind w:right="236"/>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4"/>
        </w:trPr>
        <w:tc>
          <w:tcPr>
            <w:tcW w:w="5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89,262</w:t>
            </w:r>
          </w:p>
        </w:tc>
        <w:tc>
          <w:tcPr>
            <w:tcW w:w="400" w:type="dxa"/>
            <w:vAlign w:val="bottom"/>
            <w:gridSpan w:val="5"/>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114,581</w:t>
            </w: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135,337</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7"/>
                <w:szCs w:val="17"/>
                <w:color w:val="auto"/>
              </w:rPr>
              <w:t>Restricted cash (current)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7,013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6,810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6,174</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 (non-current)</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1,996</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2,299</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98,271</w:t>
            </w:r>
          </w:p>
        </w:tc>
        <w:tc>
          <w:tcPr>
            <w:tcW w:w="400" w:type="dxa"/>
            <w:vAlign w:val="bottom"/>
            <w:gridSpan w:val="5"/>
          </w:tcPr>
          <w:p>
            <w:pPr>
              <w:jc w:val="right"/>
              <w:ind w:right="53"/>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123,693</w:t>
            </w:r>
          </w:p>
        </w:tc>
        <w:tc>
          <w:tcPr>
            <w:tcW w:w="4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143,810</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7"/>
                <w:szCs w:val="17"/>
                <w:b w:val="1"/>
                <w:bCs w:val="1"/>
                <w:color w:val="auto"/>
              </w:rPr>
              <w:t>7. Investments</w:t>
            </w: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5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520" w:type="dxa"/>
            <w:vAlign w:val="bottom"/>
          </w:tcPr>
          <w:p>
            <w:pPr>
              <w:ind w:left="400"/>
              <w:spacing w:after="0"/>
              <w:rPr>
                <w:sz w:val="20"/>
                <w:szCs w:val="20"/>
                <w:color w:val="auto"/>
              </w:rPr>
            </w:pPr>
            <w:r>
              <w:rPr>
                <w:rFonts w:ascii="Arial" w:cs="Arial" w:eastAsia="Arial" w:hAnsi="Arial"/>
                <w:sz w:val="17"/>
                <w:szCs w:val="17"/>
                <w:color w:val="auto"/>
              </w:rPr>
              <w:t>Investments consist of the following:</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84"/>
              </w:rPr>
              <w:t>As of</w:t>
            </w:r>
          </w:p>
        </w:tc>
        <w:tc>
          <w:tcPr>
            <w:tcW w:w="14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5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w w:val="89"/>
              </w:rPr>
              <w:t>September 30, 2022</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6"/>
                <w:szCs w:val="16"/>
                <w:b w:val="1"/>
                <w:bCs w:val="1"/>
                <w:color w:val="auto"/>
              </w:rPr>
              <w:t>December 31, 2021</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Short-term investments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120"/>
              <w:spacing w:after="0"/>
              <w:rPr>
                <w:sz w:val="20"/>
                <w:szCs w:val="20"/>
                <w:color w:val="auto"/>
              </w:rPr>
            </w:pPr>
            <w:r>
              <w:rPr>
                <w:rFonts w:ascii="Arial" w:cs="Arial" w:eastAsia="Arial" w:hAnsi="Arial"/>
                <w:sz w:val="17"/>
                <w:szCs w:val="17"/>
                <w:color w:val="auto"/>
              </w:rPr>
              <w:t>Mutual funds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99,435</w:t>
            </w:r>
          </w:p>
        </w:tc>
        <w:tc>
          <w:tcPr>
            <w:tcW w:w="40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1880" w:type="dxa"/>
            <w:vAlign w:val="bottom"/>
            <w:gridSpan w:val="4"/>
          </w:tcPr>
          <w:p>
            <w:pPr>
              <w:jc w:val="right"/>
              <w:ind w:right="120"/>
              <w:spacing w:after="0"/>
              <w:rPr>
                <w:sz w:val="20"/>
                <w:szCs w:val="20"/>
                <w:color w:val="auto"/>
              </w:rPr>
            </w:pPr>
            <w:r>
              <w:rPr>
                <w:rFonts w:ascii="Arial" w:cs="Arial" w:eastAsia="Arial" w:hAnsi="Arial"/>
                <w:sz w:val="17"/>
                <w:szCs w:val="17"/>
                <w:color w:val="auto"/>
              </w:rPr>
              <w:t>127,551</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Term deposits</w:t>
            </w: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73,454</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51,879</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7"/>
                <w:szCs w:val="17"/>
                <w:b w:val="1"/>
                <w:bCs w:val="1"/>
                <w:color w:val="auto"/>
              </w:rPr>
              <w:t>Total Short-term investments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172,889</w:t>
            </w:r>
          </w:p>
        </w:tc>
        <w:tc>
          <w:tcPr>
            <w:tcW w:w="120" w:type="dxa"/>
            <w:vAlign w:val="bottom"/>
            <w:tcBorders>
              <w:bottom w:val="single" w:sz="8" w:color="auto"/>
            </w:tcBorders>
            <w:gridSpan w:val="2"/>
          </w:tcPr>
          <w:p>
            <w:pPr>
              <w:spacing w:after="0"/>
              <w:rPr>
                <w:sz w:val="18"/>
                <w:szCs w:val="18"/>
                <w:color w:val="auto"/>
              </w:rPr>
            </w:pPr>
          </w:p>
        </w:tc>
        <w:tc>
          <w:tcPr>
            <w:tcW w:w="14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8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7"/>
                <w:szCs w:val="17"/>
                <w:b w:val="1"/>
                <w:bCs w:val="1"/>
                <w:color w:val="auto"/>
              </w:rPr>
              <w:t>179,430</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Long-term investments</w:t>
            </w: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Term deposits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31,355</w:t>
            </w:r>
          </w:p>
        </w:tc>
        <w:tc>
          <w:tcPr>
            <w:tcW w:w="40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w w:val="91"/>
              </w:rPr>
              <w:t>186</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Investment in equity affiliate</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3,369</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7"/>
                <w:szCs w:val="17"/>
                <w:color w:val="auto"/>
              </w:rPr>
              <w:t>3,004</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Long-term investments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6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34,724</w:t>
            </w:r>
          </w:p>
        </w:tc>
        <w:tc>
          <w:tcPr>
            <w:tcW w:w="120" w:type="dxa"/>
            <w:vAlign w:val="bottom"/>
            <w:tcBorders>
              <w:bottom w:val="single" w:sz="8" w:color="auto"/>
            </w:tcBorders>
            <w:gridSpan w:val="2"/>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88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3,190</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Other Income, net</w:t>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Other income, net consists of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960" w:type="dxa"/>
            <w:vAlign w:val="bottom"/>
            <w:gridSpan w:val="9"/>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5"/>
                <w:szCs w:val="15"/>
                <w:color w:val="auto"/>
              </w:rPr>
            </w:pPr>
          </w:p>
        </w:tc>
        <w:tc>
          <w:tcPr>
            <w:tcW w:w="280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51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6"/>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5180" w:type="dxa"/>
            <w:vAlign w:val="bottom"/>
            <w:shd w:val="clear" w:color="auto" w:fill="CCEEFF"/>
          </w:tcPr>
          <w:p>
            <w:pPr>
              <w:spacing w:after="0" w:line="159" w:lineRule="exact"/>
              <w:rPr>
                <w:sz w:val="20"/>
                <w:szCs w:val="20"/>
                <w:color w:val="auto"/>
              </w:rPr>
            </w:pPr>
            <w:r>
              <w:rPr>
                <w:rFonts w:ascii="Arial" w:cs="Arial" w:eastAsia="Arial" w:hAnsi="Arial"/>
                <w:sz w:val="17"/>
                <w:szCs w:val="17"/>
                <w:color w:val="auto"/>
              </w:rPr>
              <w:t>Gain on sale and mark-to-market of mutual funds and money market</w:t>
            </w: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funds</w:t>
            </w: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1,471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1,233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3,341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Interest and dividend income</w:t>
            </w: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8"/>
              </w:rPr>
              <w:t>1,457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761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rPr>
              <w:t>3,674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2,052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Others, net</w:t>
            </w:r>
          </w:p>
        </w:tc>
        <w:tc>
          <w:tcPr>
            <w:tcW w:w="4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(2,517)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Other income, net</w:t>
            </w: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2,261</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1,721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4,498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9. Property and Equipment, net</w:t>
            </w: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3"/>
        </w:trPr>
        <w:tc>
          <w:tcPr>
            <w:tcW w:w="52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5180" w:type="dxa"/>
            <w:vAlign w:val="bottom"/>
          </w:tcPr>
          <w:p>
            <w:pPr>
              <w:ind w:left="420"/>
              <w:spacing w:after="0"/>
              <w:rPr>
                <w:sz w:val="20"/>
                <w:szCs w:val="20"/>
                <w:color w:val="auto"/>
              </w:rPr>
            </w:pPr>
            <w:r>
              <w:rPr>
                <w:rFonts w:ascii="Arial" w:cs="Arial" w:eastAsia="Arial" w:hAnsi="Arial"/>
                <w:sz w:val="17"/>
                <w:szCs w:val="17"/>
                <w:color w:val="auto"/>
              </w:rPr>
              <w:t>Property and equipment, net consists of the following:</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gridSpan w:val="4"/>
          </w:tcPr>
          <w:p>
            <w:pPr>
              <w:jc w:val="right"/>
              <w:spacing w:after="0"/>
              <w:rPr>
                <w:sz w:val="20"/>
                <w:szCs w:val="20"/>
                <w:color w:val="auto"/>
              </w:rPr>
            </w:pPr>
            <w:r>
              <w:rPr>
                <w:rFonts w:ascii="Arial" w:cs="Arial" w:eastAsia="Arial" w:hAnsi="Arial"/>
                <w:sz w:val="14"/>
                <w:szCs w:val="14"/>
                <w:b w:val="1"/>
                <w:bCs w:val="1"/>
                <w:color w:val="auto"/>
              </w:rPr>
              <w:t>Estimated useful lives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4"/>
          </w:tcPr>
          <w:p>
            <w:pPr>
              <w:ind w:left="82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gridSpan w:val="3"/>
            <w:vMerge w:val="restart"/>
          </w:tcPr>
          <w:p>
            <w:pPr>
              <w:jc w:val="right"/>
              <w:ind w:right="373"/>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7"/>
              </w:rPr>
              <w:t>December 31, 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Owned Assets:</w:t>
            </w:r>
          </w:p>
        </w:tc>
        <w:tc>
          <w:tcPr>
            <w:tcW w:w="4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7"/>
                <w:szCs w:val="17"/>
                <w:color w:val="auto"/>
              </w:rPr>
              <w:t>Network equipment and computers</w:t>
            </w: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gridSpan w:val="2"/>
          </w:tcPr>
          <w:p>
            <w:pPr>
              <w:jc w:val="center"/>
              <w:ind w:left="194"/>
              <w:spacing w:after="0"/>
              <w:rPr>
                <w:sz w:val="20"/>
                <w:szCs w:val="20"/>
                <w:color w:val="auto"/>
              </w:rPr>
            </w:pPr>
            <w:r>
              <w:rPr>
                <w:rFonts w:ascii="Arial" w:cs="Arial" w:eastAsia="Arial" w:hAnsi="Arial"/>
                <w:sz w:val="17"/>
                <w:szCs w:val="17"/>
                <w:color w:val="auto"/>
                <w:w w:val="97"/>
              </w:rPr>
              <w:t>3-5</w:t>
            </w:r>
          </w:p>
        </w:tc>
        <w:tc>
          <w:tcPr>
            <w:tcW w:w="520" w:type="dxa"/>
            <w:vAlign w:val="bottom"/>
          </w:tcPr>
          <w:p>
            <w:pPr>
              <w:spacing w:after="0"/>
              <w:rPr>
                <w:sz w:val="19"/>
                <w:szCs w:val="19"/>
                <w:color w:val="auto"/>
              </w:rPr>
            </w:pPr>
          </w:p>
        </w:tc>
        <w:tc>
          <w:tcPr>
            <w:tcW w:w="860" w:type="dxa"/>
            <w:vAlign w:val="bottom"/>
            <w:gridSpan w:val="3"/>
          </w:tcPr>
          <w:p>
            <w:pPr>
              <w:jc w:val="right"/>
              <w:ind w:right="33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125,523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7"/>
                <w:szCs w:val="17"/>
                <w:color w:val="auto"/>
              </w:rPr>
              <w:t>116,023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Software</w:t>
            </w: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center"/>
              <w:ind w:left="194"/>
              <w:spacing w:after="0"/>
              <w:rPr>
                <w:sz w:val="20"/>
                <w:szCs w:val="20"/>
                <w:color w:val="auto"/>
              </w:rPr>
            </w:pPr>
            <w:r>
              <w:rPr>
                <w:rFonts w:ascii="Arial" w:cs="Arial" w:eastAsia="Arial" w:hAnsi="Arial"/>
                <w:sz w:val="17"/>
                <w:szCs w:val="17"/>
                <w:color w:val="auto"/>
                <w:w w:val="97"/>
              </w:rPr>
              <w:t>2-5</w:t>
            </w: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101,884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gridSpan w:val="2"/>
          </w:tcPr>
          <w:p>
            <w:pPr>
              <w:jc w:val="center"/>
              <w:ind w:left="194"/>
              <w:spacing w:after="0"/>
              <w:rPr>
                <w:sz w:val="20"/>
                <w:szCs w:val="20"/>
                <w:color w:val="auto"/>
              </w:rPr>
            </w:pPr>
            <w:r>
              <w:rPr>
                <w:rFonts w:ascii="Arial" w:cs="Arial" w:eastAsia="Arial" w:hAnsi="Arial"/>
                <w:sz w:val="17"/>
                <w:szCs w:val="17"/>
                <w:color w:val="auto"/>
                <w:w w:val="97"/>
              </w:rPr>
              <w:t>3-8</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43,326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7"/>
                <w:szCs w:val="17"/>
                <w:color w:val="auto"/>
              </w:rPr>
              <w:t>46,401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Office furniture and equipment</w:t>
            </w: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center"/>
              <w:ind w:left="194"/>
              <w:spacing w:after="0"/>
              <w:rPr>
                <w:sz w:val="20"/>
                <w:szCs w:val="20"/>
                <w:color w:val="auto"/>
              </w:rPr>
            </w:pPr>
            <w:r>
              <w:rPr>
                <w:rFonts w:ascii="Arial" w:cs="Arial" w:eastAsia="Arial" w:hAnsi="Arial"/>
                <w:sz w:val="17"/>
                <w:szCs w:val="17"/>
                <w:color w:val="auto"/>
                <w:w w:val="97"/>
              </w:rPr>
              <w:t>3-8</w:t>
            </w: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20,669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22,302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7"/>
                <w:szCs w:val="17"/>
                <w:color w:val="auto"/>
              </w:rPr>
              <w:t>Motor vehicles</w:t>
            </w: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gridSpan w:val="2"/>
          </w:tcPr>
          <w:p>
            <w:pPr>
              <w:jc w:val="center"/>
              <w:ind w:left="194"/>
              <w:spacing w:after="0"/>
              <w:rPr>
                <w:sz w:val="20"/>
                <w:szCs w:val="20"/>
                <w:color w:val="auto"/>
              </w:rPr>
            </w:pPr>
            <w:r>
              <w:rPr>
                <w:rFonts w:ascii="Arial" w:cs="Arial" w:eastAsia="Arial" w:hAnsi="Arial"/>
                <w:sz w:val="17"/>
                <w:szCs w:val="17"/>
                <w:color w:val="auto"/>
                <w:w w:val="97"/>
              </w:rPr>
              <w:t>2-5</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7"/>
                <w:szCs w:val="17"/>
                <w:color w:val="auto"/>
              </w:rPr>
              <w:t>693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Buildings</w:t>
            </w: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center"/>
              <w:ind w:left="194"/>
              <w:spacing w:after="0"/>
              <w:rPr>
                <w:sz w:val="20"/>
                <w:szCs w:val="20"/>
                <w:color w:val="auto"/>
              </w:rPr>
            </w:pPr>
            <w:r>
              <w:rPr>
                <w:rFonts w:ascii="Arial" w:cs="Arial" w:eastAsia="Arial" w:hAnsi="Arial"/>
                <w:sz w:val="17"/>
                <w:szCs w:val="17"/>
                <w:color w:val="auto"/>
                <w:w w:val="84"/>
              </w:rPr>
              <w:t>30</w:t>
            </w: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7"/>
                <w:szCs w:val="17"/>
                <w:color w:val="auto"/>
              </w:rPr>
              <w:t>Land</w:t>
            </w: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gridSpan w:val="2"/>
          </w:tcPr>
          <w:p>
            <w:pPr>
              <w:jc w:val="center"/>
              <w:ind w:left="194"/>
              <w:spacing w:after="0"/>
              <w:rPr>
                <w:sz w:val="20"/>
                <w:szCs w:val="20"/>
                <w:color w:val="auto"/>
              </w:rPr>
            </w:pPr>
            <w:r>
              <w:rPr>
                <w:rFonts w:ascii="Arial" w:cs="Arial" w:eastAsia="Arial" w:hAnsi="Arial"/>
                <w:sz w:val="17"/>
                <w:szCs w:val="17"/>
                <w:color w:val="auto"/>
                <w:w w:val="93"/>
              </w:rPr>
              <w:t>—</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7"/>
                <w:szCs w:val="17"/>
                <w:color w:val="auto"/>
              </w:rPr>
              <w:t>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 work in progress</w:t>
            </w: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center"/>
              <w:ind w:left="194"/>
              <w:spacing w:after="0"/>
              <w:rPr>
                <w:sz w:val="20"/>
                <w:szCs w:val="20"/>
                <w:color w:val="auto"/>
              </w:rPr>
            </w:pPr>
            <w:r>
              <w:rPr>
                <w:rFonts w:ascii="Arial" w:cs="Arial" w:eastAsia="Arial" w:hAnsi="Arial"/>
                <w:sz w:val="17"/>
                <w:szCs w:val="17"/>
                <w:color w:val="auto"/>
                <w:w w:val="93"/>
              </w:rPr>
              <w:t>—</w:t>
            </w: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10,876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309,323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7"/>
                <w:szCs w:val="17"/>
                <w:color w:val="auto"/>
              </w:rPr>
              <w:t>299,361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(229,813)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(213,699)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3"/>
          </w:tcPr>
          <w:p>
            <w:pPr>
              <w:jc w:val="right"/>
              <w:ind w:right="33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79,510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7"/>
                <w:szCs w:val="17"/>
                <w:color w:val="auto"/>
              </w:rPr>
              <w:t>85,662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Right-of-use assets under finance leases*:</w:t>
            </w:r>
          </w:p>
        </w:tc>
        <w:tc>
          <w:tcPr>
            <w:tcW w:w="4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7"/>
                <w:szCs w:val="17"/>
                <w:color w:val="auto"/>
              </w:rPr>
              <w:t>Network equipment and computers</w:t>
            </w: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gridSpan w:val="3"/>
          </w:tcPr>
          <w:p>
            <w:pPr>
              <w:jc w:val="right"/>
              <w:ind w:right="33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7"/>
                <w:szCs w:val="17"/>
                <w:color w:val="auto"/>
              </w:rPr>
              <w:t>Office furniture and equipment</w:t>
            </w: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7"/>
                <w:szCs w:val="17"/>
                <w:color w:val="auto"/>
              </w:rPr>
              <w:t>787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Motor vehicles</w:t>
            </w: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7"/>
                <w:szCs w:val="17"/>
                <w:color w:val="auto"/>
              </w:rPr>
              <w:t>2,685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346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4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33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79,933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86,008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*Depreciation on assets held under finance leases are computed using the straight-line method over the shorter of the assets estimated useful lives or the lease term.</w:t>
      </w:r>
    </w:p>
    <w:p>
      <w:pPr>
        <w:spacing w:after="0" w:line="185"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Capital work in progress represents advances paid towards acquisition of property and equipment and costs incurred on internally developed software not yet ready to be placed in service.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366"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During the three and nine months ended September 30, 2022, there were no changes in estimated useful lives of property and equipment during the ordinary course of operations.</w:t>
      </w:r>
    </w:p>
    <w:p>
      <w:pPr>
        <w:spacing w:after="0" w:line="185"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The depreciation and amortization expense, excluding amortization of acquisition-related intangibles, recognized in the unaudited consolidated statements of income was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5"/>
                <w:szCs w:val="15"/>
                <w:color w:val="auto"/>
              </w:rPr>
            </w:pPr>
          </w:p>
        </w:tc>
        <w:tc>
          <w:tcPr>
            <w:tcW w:w="2480" w:type="dxa"/>
            <w:vAlign w:val="bottom"/>
            <w:gridSpan w:val="4"/>
          </w:tcPr>
          <w:p>
            <w:pPr>
              <w:jc w:val="right"/>
              <w:ind w:right="261"/>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4"/>
        </w:trPr>
        <w:tc>
          <w:tcPr>
            <w:tcW w:w="5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3"/>
        </w:trPr>
        <w:tc>
          <w:tcPr>
            <w:tcW w:w="56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and amortization expense</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9,283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26,936</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effect of foreign exchange gain/(loss) upon settlement of cash flow hedges recorded under depreciation and amortization, was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48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8"/>
          </w:tcPr>
          <w:p>
            <w:pPr>
              <w:ind w:left="340"/>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4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3"/>
        </w:trPr>
        <w:tc>
          <w:tcPr>
            <w:tcW w:w="460" w:type="dxa"/>
            <w:vAlign w:val="bottom"/>
            <w:tcBorders>
              <w:bottom w:val="single" w:sz="8" w:color="CCEEFF"/>
            </w:tcBorders>
          </w:tcPr>
          <w:p>
            <w:pPr>
              <w:spacing w:after="0"/>
              <w:rPr>
                <w:sz w:val="15"/>
                <w:szCs w:val="15"/>
                <w:color w:val="auto"/>
              </w:rPr>
            </w:pPr>
          </w:p>
        </w:tc>
        <w:tc>
          <w:tcPr>
            <w:tcW w:w="51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r>
      <w:tr>
        <w:trPr>
          <w:trHeight w:val="243"/>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Effect of foreign exchange gain/(loss)</w:t>
            </w: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44"/>
              <w:spacing w:after="0"/>
              <w:rPr>
                <w:sz w:val="20"/>
                <w:szCs w:val="20"/>
                <w:color w:val="auto"/>
              </w:rPr>
            </w:pPr>
            <w:r>
              <w:rPr>
                <w:rFonts w:ascii="Arial" w:cs="Arial" w:eastAsia="Arial" w:hAnsi="Arial"/>
                <w:sz w:val="17"/>
                <w:szCs w:val="17"/>
                <w:color w:val="auto"/>
                <w:w w:val="84"/>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120</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4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510"/>
        </w:trPr>
        <w:tc>
          <w:tcPr>
            <w:tcW w:w="6480" w:type="dxa"/>
            <w:vAlign w:val="bottom"/>
            <w:gridSpan w:val="3"/>
          </w:tcPr>
          <w:p>
            <w:pPr>
              <w:jc w:val="right"/>
              <w:ind w:right="564"/>
              <w:spacing w:after="0"/>
              <w:rPr>
                <w:sz w:val="20"/>
                <w:szCs w:val="20"/>
                <w:color w:val="auto"/>
              </w:rPr>
            </w:pPr>
            <w:r>
              <w:rPr>
                <w:rFonts w:ascii="Arial" w:cs="Arial" w:eastAsia="Arial" w:hAnsi="Arial"/>
                <w:sz w:val="17"/>
                <w:szCs w:val="17"/>
                <w:color w:val="auto"/>
                <w:w w:val="99"/>
              </w:rPr>
              <w:t>Internally developed software costs, included under Software, was as follows: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0"/>
        </w:trPr>
        <w:tc>
          <w:tcPr>
            <w:tcW w:w="4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ind w:left="340"/>
              <w:spacing w:after="0"/>
              <w:rPr>
                <w:sz w:val="20"/>
                <w:szCs w:val="20"/>
                <w:color w:val="auto"/>
              </w:rPr>
            </w:pPr>
            <w:r>
              <w:rPr>
                <w:rFonts w:ascii="Arial" w:cs="Arial" w:eastAsia="Arial" w:hAnsi="Arial"/>
                <w:sz w:val="14"/>
                <w:szCs w:val="14"/>
                <w:b w:val="1"/>
                <w:bCs w:val="1"/>
                <w:color w:val="auto"/>
              </w:rPr>
              <w:t>As of</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
        </w:trPr>
        <w:tc>
          <w:tcPr>
            <w:tcW w:w="4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gridSpan w:val="5"/>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gridSpan w:val="5"/>
          </w:tcPr>
          <w:p>
            <w:pPr>
              <w:spacing w:after="0"/>
              <w:rPr>
                <w:sz w:val="2"/>
                <w:szCs w:val="2"/>
                <w:color w:val="auto"/>
              </w:rPr>
            </w:pPr>
          </w:p>
        </w:tc>
      </w:tr>
      <w:tr>
        <w:trPr>
          <w:trHeight w:val="183"/>
        </w:trPr>
        <w:tc>
          <w:tcPr>
            <w:tcW w:w="460" w:type="dxa"/>
            <w:vAlign w:val="bottom"/>
          </w:tcPr>
          <w:p>
            <w:pPr>
              <w:spacing w:after="0"/>
              <w:rPr>
                <w:sz w:val="15"/>
                <w:szCs w:val="15"/>
                <w:color w:val="auto"/>
              </w:rPr>
            </w:pPr>
          </w:p>
        </w:tc>
        <w:tc>
          <w:tcPr>
            <w:tcW w:w="514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880" w:type="dxa"/>
            <w:vAlign w:val="bottom"/>
            <w:tcBorders>
              <w:top w:val="single" w:sz="8" w:color="auto"/>
              <w:bottom w:val="single" w:sz="8" w:color="auto"/>
            </w:tcBorders>
            <w:gridSpan w:val="5"/>
          </w:tcPr>
          <w:p>
            <w:pPr>
              <w:jc w:val="right"/>
              <w:ind w:right="384"/>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780" w:type="dxa"/>
            <w:vAlign w:val="bottom"/>
            <w:tcBorders>
              <w:top w:val="single" w:sz="8" w:color="auto"/>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w w:val="98"/>
              </w:rPr>
              <w:t>December 31, 2021</w:t>
            </w:r>
          </w:p>
        </w:tc>
        <w:tc>
          <w:tcPr>
            <w:tcW w:w="40" w:type="dxa"/>
            <w:vAlign w:val="bottom"/>
          </w:tcPr>
          <w:p>
            <w:pPr>
              <w:spacing w:after="0"/>
              <w:rPr>
                <w:sz w:val="15"/>
                <w:szCs w:val="15"/>
                <w:color w:val="auto"/>
              </w:rPr>
            </w:pPr>
          </w:p>
        </w:tc>
      </w:tr>
      <w:tr>
        <w:trPr>
          <w:trHeight w:val="223"/>
        </w:trPr>
        <w:tc>
          <w:tcPr>
            <w:tcW w:w="460" w:type="dxa"/>
            <w:vAlign w:val="bottom"/>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Cost</w:t>
            </w: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2"/>
              </w:rPr>
              <w:t>29,015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19,289</w:t>
            </w:r>
          </w:p>
        </w:tc>
        <w:tc>
          <w:tcPr>
            <w:tcW w:w="4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51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Less : Accumulated amortization</w:t>
            </w:r>
          </w:p>
        </w:tc>
        <w:tc>
          <w:tcPr>
            <w:tcW w:w="8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4"/>
          </w:tcPr>
          <w:p>
            <w:pPr>
              <w:jc w:val="center"/>
              <w:ind w:left="133"/>
              <w:spacing w:after="0"/>
              <w:rPr>
                <w:sz w:val="20"/>
                <w:szCs w:val="20"/>
                <w:color w:val="auto"/>
              </w:rPr>
            </w:pPr>
            <w:r>
              <w:rPr>
                <w:rFonts w:ascii="Arial" w:cs="Arial" w:eastAsia="Arial" w:hAnsi="Arial"/>
                <w:sz w:val="17"/>
                <w:szCs w:val="17"/>
                <w:color w:val="auto"/>
                <w:w w:val="94"/>
              </w:rPr>
              <w:t>(14,599)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(10,226)</w:t>
            </w:r>
          </w:p>
        </w:tc>
        <w:tc>
          <w:tcPr>
            <w:tcW w:w="40" w:type="dxa"/>
            <w:vAlign w:val="bottom"/>
          </w:tcPr>
          <w:p>
            <w:pPr>
              <w:spacing w:after="0"/>
              <w:rPr>
                <w:sz w:val="19"/>
                <w:szCs w:val="19"/>
                <w:color w:val="auto"/>
              </w:rPr>
            </w:pPr>
          </w:p>
        </w:tc>
      </w:tr>
      <w:tr>
        <w:trPr>
          <w:trHeight w:val="236"/>
        </w:trPr>
        <w:tc>
          <w:tcPr>
            <w:tcW w:w="46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Internally developed software, net</w:t>
            </w:r>
          </w:p>
        </w:tc>
        <w:tc>
          <w:tcPr>
            <w:tcW w:w="8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2"/>
              </w:rPr>
              <w:t>14,416</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9,063</w:t>
            </w:r>
          </w:p>
        </w:tc>
        <w:tc>
          <w:tcPr>
            <w:tcW w:w="40" w:type="dxa"/>
            <w:vAlign w:val="bottom"/>
          </w:tcPr>
          <w:p>
            <w:pPr>
              <w:spacing w:after="0"/>
              <w:rPr>
                <w:sz w:val="20"/>
                <w:szCs w:val="20"/>
                <w:color w:val="auto"/>
              </w:rPr>
            </w:pPr>
          </w:p>
        </w:tc>
      </w:tr>
      <w:tr>
        <w:trPr>
          <w:trHeight w:val="20"/>
        </w:trPr>
        <w:tc>
          <w:tcPr>
            <w:tcW w:w="46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0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amortization expense on internally developed software recognized in the unaudited consolidated statements of income was as follows:</w:t>
      </w:r>
    </w:p>
    <w:p>
      <w:pPr>
        <w:spacing w:after="0" w:line="122" w:lineRule="exact"/>
        <w:rPr>
          <w:sz w:val="20"/>
          <w:szCs w:val="20"/>
          <w:color w:val="auto"/>
        </w:rPr>
      </w:pPr>
    </w:p>
    <w:tbl>
      <w:tblPr>
        <w:tblLayout w:type="fixed"/>
        <w:tblInd w:w="280" w:type="dxa"/>
        <w:tblCellMar>
          <w:top w:w="0" w:type="dxa"/>
          <w:left w:w="0" w:type="dxa"/>
          <w:bottom w:w="0" w:type="dxa"/>
          <w:right w:w="0" w:type="dxa"/>
        </w:tblCellMar>
      </w:tblPr>
      <w:tr>
        <w:trPr>
          <w:trHeight w:val="183"/>
        </w:trPr>
        <w:tc>
          <w:tcPr>
            <w:tcW w:w="4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2680" w:type="dxa"/>
            <w:vAlign w:val="bottom"/>
            <w:gridSpan w:val="4"/>
          </w:tcPr>
          <w:p>
            <w:pPr>
              <w:jc w:val="right"/>
              <w:ind w:right="381"/>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4"/>
        </w:trPr>
        <w:tc>
          <w:tcPr>
            <w:tcW w:w="4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3"/>
        </w:trPr>
        <w:tc>
          <w:tcPr>
            <w:tcW w:w="46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expense</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1,832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1,086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4,414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3,165</w:t>
            </w:r>
          </w:p>
        </w:tc>
      </w:tr>
    </w:tbl>
    <w:p>
      <w:pPr>
        <w:spacing w:after="0" w:line="302" w:lineRule="exact"/>
        <w:rPr>
          <w:sz w:val="20"/>
          <w:szCs w:val="20"/>
          <w:color w:val="auto"/>
        </w:rPr>
      </w:pPr>
    </w:p>
    <w:p>
      <w:pPr>
        <w:jc w:val="both"/>
        <w:ind w:firstLine="393"/>
        <w:spacing w:after="0" w:line="244" w:lineRule="auto"/>
        <w:rPr>
          <w:sz w:val="20"/>
          <w:szCs w:val="20"/>
          <w:color w:val="auto"/>
        </w:rPr>
      </w:pPr>
      <w:r>
        <w:rPr>
          <w:rFonts w:ascii="Arial" w:cs="Arial" w:eastAsia="Arial" w:hAnsi="Arial"/>
          <w:sz w:val="17"/>
          <w:szCs w:val="17"/>
          <w:color w:val="auto"/>
        </w:rPr>
        <w:t>As of September 30, 2022 and December 31, 2021, the Company believes no impairment exists because the long-lived asset's future undiscounted net cash flows expected to be generated exceeds its carrying value; however, there can be no assurance that long-lived assets will not be impaired in future periods. Determining whether an impairment has occurred typically requires various estimates and assumptions, including determining which undiscounted cash flows are directly related to the potentially impaired asset, the useful life over which cash flows will occur, their amount, the asset’s residual value, if any, and estimates relating to the possible effects resulting from COVID-19. It is reasonably possible that the judgments and estimates described above could change in future periods.</w:t>
      </w:r>
    </w:p>
    <w:p>
      <w:pPr>
        <w:spacing w:after="0" w:line="323" w:lineRule="exact"/>
        <w:rPr>
          <w:sz w:val="20"/>
          <w:szCs w:val="20"/>
          <w:color w:val="auto"/>
        </w:rPr>
      </w:pPr>
    </w:p>
    <w:p>
      <w:pPr>
        <w:ind w:right="6820" w:firstLine="5"/>
        <w:spacing w:after="0" w:line="551" w:lineRule="auto"/>
        <w:tabs>
          <w:tab w:leader="none" w:pos="262"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Business Combinations, Goodwill and Intangible Assets Clairvoyant AI Inc.</w:t>
      </w:r>
    </w:p>
    <w:p>
      <w:pPr>
        <w:jc w:val="both"/>
        <w:ind w:firstLine="393"/>
        <w:spacing w:after="0" w:line="273" w:lineRule="auto"/>
        <w:rPr>
          <w:sz w:val="20"/>
          <w:szCs w:val="20"/>
          <w:color w:val="auto"/>
        </w:rPr>
      </w:pPr>
      <w:r>
        <w:rPr>
          <w:rFonts w:ascii="Arial" w:cs="Arial" w:eastAsia="Arial" w:hAnsi="Arial"/>
          <w:sz w:val="17"/>
          <w:szCs w:val="17"/>
          <w:color w:val="auto"/>
        </w:rPr>
        <w:t>On December 16, 2021, the Company, through its wholly owned subsidiary ExlService.com, LLC (“Buyer”), completed the acquisition of Clairvoyant, a Delaware corporation, pursuant to an equity securities purchase agreement dated December 16, 2021 (the “Purchase Agreement”). The Company purchased 100% of the issued and outstanding equity securities in Clairvoyant.</w:t>
      </w:r>
    </w:p>
    <w:p>
      <w:pPr>
        <w:spacing w:after="0" w:line="198"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Clairvoyant is a global technology consulting and services company that helps organizations in their business transformation by maximizing the value of data through actionable insights. It provides data engineering, analytics, machine learning, product engineering, and cloud-based solutions. The acquisition strengthens the Company’s capabilities by adding additional expertise in data engineering and cloud enablement, further supporting its clients in insurance, healthcare, banking and financial services, and retail.</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393"/>
        <w:spacing w:after="0" w:line="259" w:lineRule="auto"/>
        <w:rPr>
          <w:sz w:val="20"/>
          <w:szCs w:val="20"/>
          <w:color w:val="auto"/>
        </w:rPr>
      </w:pPr>
      <w:r>
        <w:rPr>
          <w:rFonts w:ascii="Arial" w:cs="Arial" w:eastAsia="Arial" w:hAnsi="Arial"/>
          <w:sz w:val="16"/>
          <w:szCs w:val="16"/>
          <w:color w:val="auto"/>
        </w:rPr>
        <w:t>The aggregate purchase consideration payable was $90,325, including cash and cash equivalents acquired, debt, other post-closing adjustments and contingent consideration. The base purchase consideration payable at closing of the acquisition (the “Closing”) was $80,080, excluding cash and cash equivalents acquired, debt and estimated other post-closing adjustments. As of September 30, 2022 and December 31, 2021, of the total purchase consideration, the Company has paid $78,984 and $76,831, respectively, net of cash and cash equivalents acquired. The Purchase Agreement also allows sellers the ability to earn up to $20,000 of contingent consideration, based on the achievement of certain performance goals by Clairvoyant during the 2022 and 2023 calendar years. The contingent consideration had an estimated fair value of $10,000 and $9,000, as of September 30, 2022 and December 31, 2021, respectively, and has been presented as contingent consideration under “Accrued expenses and other current liabilities” and “Other non-current liabilities,” as applicable, in the consolidated balance sheets. Changes in the fair value of contingent consideration were recognized in the unaudited consolidated statements of income and presented as a part of “Other income, net.” A portion of the purchase consideration otherwise payable was placed into escrow as security for the post-closing working capital adjustments and the indemnification obligations under the Purchase Agreement. To finance the acquisition at the Closing, the Company utilized its revolving Credit Facility in the amount of $75,000 and paid the balance with available cash on hand.</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 accounted for the business combination using the acquisition method of accounting.</w:t>
      </w:r>
    </w:p>
    <w:p>
      <w:pPr>
        <w:spacing w:after="0" w:line="250"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color w:val="auto"/>
        </w:rPr>
        <w:t xml:space="preserve">Pursuant to the Company’s business combinations accounting policy, the aggregate purchase consideration for Clairvoyant was allocated to identifiable net tangible and intangible assets based upon their fair values. The excess of the estimated purchase consideration over fair value of identifiable net tangible and intangible assets was recorded as goodwill. In order to allocate the consideration transferred for Clairvoyant, the fair values of all identifiable assets and liabilities must be established. For accounting and financial reporting purposes, fair value is defined under ASC No. 820, </w:t>
      </w:r>
      <w:r>
        <w:rPr>
          <w:rFonts w:ascii="Arial" w:cs="Arial" w:eastAsia="Arial" w:hAnsi="Arial"/>
          <w:sz w:val="17"/>
          <w:szCs w:val="17"/>
          <w:i w:val="1"/>
          <w:iCs w:val="1"/>
          <w:color w:val="auto"/>
        </w:rPr>
        <w:t>Fair Value Measurement and</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w:t>
      </w:r>
      <w:r>
        <w:rPr>
          <w:rFonts w:ascii="Arial" w:cs="Arial" w:eastAsia="Arial" w:hAnsi="Arial"/>
          <w:sz w:val="17"/>
          <w:szCs w:val="17"/>
          <w:color w:val="auto"/>
        </w:rPr>
        <w:t>, as the price that would be received upon sale of an asset or the amount paid to transfer a liability in an orderly transaction between market</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at the measurement date. Market participants are assumed to be buyers and sellers in the principal (most advantageous) market for the asset or liability. Additionally, fair value measurements for an asset assume the highest and best use of that asset by market participants. Use of different estimates and judgments could yield different results.</w:t>
      </w:r>
    </w:p>
    <w:p>
      <w:pPr>
        <w:spacing w:after="0" w:line="207"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The tables below presents the fair value of the consideration exchanged and the allocation of purchase consideration to the major classes of assets and liabilities of Clairvoyant as of December 16, 2021: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40" w:type="dxa"/>
            <w:vAlign w:val="bottom"/>
          </w:tcPr>
          <w:p>
            <w:pPr>
              <w:spacing w:after="0"/>
              <w:rPr>
                <w:sz w:val="20"/>
                <w:szCs w:val="20"/>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5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5,598</w:t>
            </w: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Accounts receivable, net</w:t>
            </w:r>
          </w:p>
        </w:tc>
        <w:tc>
          <w:tcPr>
            <w:tcW w:w="2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8,709</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0" w:type="dxa"/>
            <w:vAlign w:val="bottom"/>
          </w:tcPr>
          <w:p>
            <w:pPr>
              <w:spacing w:after="0"/>
              <w:rPr>
                <w:sz w:val="19"/>
                <w:szCs w:val="19"/>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29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398</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3900" w:type="dxa"/>
            <w:vAlign w:val="bottom"/>
          </w:tcPr>
          <w:p>
            <w:pPr>
              <w:ind w:left="220"/>
              <w:spacing w:after="0"/>
              <w:rPr>
                <w:sz w:val="20"/>
                <w:szCs w:val="20"/>
                <w:color w:val="auto"/>
              </w:rPr>
            </w:pPr>
            <w:r>
              <w:rPr>
                <w:rFonts w:ascii="Arial" w:cs="Arial" w:eastAsia="Arial" w:hAnsi="Arial"/>
                <w:sz w:val="16"/>
                <w:szCs w:val="16"/>
                <w:color w:val="auto"/>
              </w:rPr>
              <w:t>Customer relationships</w:t>
            </w:r>
          </w:p>
        </w:tc>
        <w:tc>
          <w:tcPr>
            <w:tcW w:w="2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31,600</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0" w:type="dxa"/>
            <w:vAlign w:val="bottom"/>
          </w:tcPr>
          <w:p>
            <w:pPr>
              <w:spacing w:after="0"/>
              <w:rPr>
                <w:sz w:val="19"/>
                <w:szCs w:val="19"/>
                <w:color w:val="auto"/>
              </w:rPr>
            </w:pPr>
          </w:p>
        </w:tc>
        <w:tc>
          <w:tcPr>
            <w:tcW w:w="3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Developed technology</w:t>
            </w:r>
          </w:p>
        </w:tc>
        <w:tc>
          <w:tcPr>
            <w:tcW w:w="29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2,070</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3900" w:type="dxa"/>
            <w:vAlign w:val="bottom"/>
          </w:tcPr>
          <w:p>
            <w:pPr>
              <w:ind w:left="220"/>
              <w:spacing w:after="0"/>
              <w:rPr>
                <w:sz w:val="20"/>
                <w:szCs w:val="20"/>
                <w:color w:val="auto"/>
              </w:rPr>
            </w:pPr>
            <w:r>
              <w:rPr>
                <w:rFonts w:ascii="Arial" w:cs="Arial" w:eastAsia="Arial" w:hAnsi="Arial"/>
                <w:sz w:val="16"/>
                <w:szCs w:val="16"/>
                <w:color w:val="auto"/>
              </w:rPr>
              <w:t>Trade names and trademarks</w:t>
            </w:r>
          </w:p>
        </w:tc>
        <w:tc>
          <w:tcPr>
            <w:tcW w:w="2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300</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0" w:type="dxa"/>
            <w:vAlign w:val="bottom"/>
          </w:tcPr>
          <w:p>
            <w:pPr>
              <w:spacing w:after="0"/>
              <w:rPr>
                <w:sz w:val="19"/>
                <w:szCs w:val="19"/>
                <w:color w:val="auto"/>
              </w:rPr>
            </w:pPr>
          </w:p>
        </w:tc>
        <w:tc>
          <w:tcPr>
            <w:tcW w:w="3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Non-compete agreements</w:t>
            </w:r>
          </w:p>
        </w:tc>
        <w:tc>
          <w:tcPr>
            <w:tcW w:w="29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217</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5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49,552</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640" w:type="dxa"/>
            <w:vAlign w:val="bottom"/>
          </w:tcPr>
          <w:p>
            <w:pPr>
              <w:spacing w:after="0"/>
              <w:rPr>
                <w:sz w:val="7"/>
                <w:szCs w:val="7"/>
                <w:color w:val="auto"/>
              </w:rPr>
            </w:pPr>
          </w:p>
        </w:tc>
        <w:tc>
          <w:tcPr>
            <w:tcW w:w="3900" w:type="dxa"/>
            <w:vAlign w:val="bottom"/>
          </w:tcPr>
          <w:p>
            <w:pPr>
              <w:spacing w:after="0"/>
              <w:rPr>
                <w:sz w:val="7"/>
                <w:szCs w:val="7"/>
                <w:color w:val="auto"/>
              </w:rPr>
            </w:pPr>
          </w:p>
        </w:tc>
        <w:tc>
          <w:tcPr>
            <w:tcW w:w="29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2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52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(1,199)</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0" w:type="dxa"/>
            <w:vAlign w:val="bottom"/>
          </w:tcPr>
          <w:p>
            <w:pPr>
              <w:spacing w:after="0"/>
              <w:rPr>
                <w:sz w:val="19"/>
                <w:szCs w:val="19"/>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expenses and other current liabilities</w:t>
            </w:r>
          </w:p>
        </w:tc>
        <w:tc>
          <w:tcPr>
            <w:tcW w:w="29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(4,873)</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2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(9,383)</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40" w:type="dxa"/>
            <w:vAlign w:val="bottom"/>
          </w:tcPr>
          <w:p>
            <w:pPr>
              <w:spacing w:after="0"/>
              <w:rPr>
                <w:sz w:val="21"/>
                <w:szCs w:val="21"/>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(1,226)</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9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(16,681)</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960" w:type="dxa"/>
            <w:vAlign w:val="bottom"/>
            <w:vMerge w:val="restart"/>
          </w:tcPr>
          <w:p>
            <w:pPr>
              <w:jc w:val="right"/>
              <w:ind w:right="1693"/>
              <w:spacing w:after="0"/>
              <w:rPr>
                <w:sz w:val="20"/>
                <w:szCs w:val="20"/>
                <w:color w:val="auto"/>
              </w:rPr>
            </w:pPr>
            <w:r>
              <w:rPr>
                <w:rFonts w:ascii="Arial" w:cs="Arial" w:eastAsia="Arial" w:hAnsi="Arial"/>
                <w:sz w:val="17"/>
                <w:szCs w:val="17"/>
                <w:color w:val="auto"/>
              </w:rPr>
              <w:t>21</w:t>
            </w: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71"/>
        </w:trPr>
        <w:tc>
          <w:tcPr>
            <w:tcW w:w="6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640" w:type="dxa"/>
            <w:vAlign w:val="bottom"/>
            <w:tcBorders>
              <w:bottom w:val="single" w:sz="8" w:color="9A9A9A"/>
            </w:tcBorders>
          </w:tcPr>
          <w:p>
            <w:pPr>
              <w:spacing w:after="0"/>
              <w:rPr>
                <w:sz w:val="9"/>
                <w:szCs w:val="9"/>
                <w:color w:val="auto"/>
              </w:rPr>
            </w:pPr>
          </w:p>
        </w:tc>
        <w:tc>
          <w:tcPr>
            <w:tcW w:w="3900" w:type="dxa"/>
            <w:vAlign w:val="bottom"/>
            <w:tcBorders>
              <w:bottom w:val="single" w:sz="8" w:color="9A9A9A"/>
            </w:tcBorders>
          </w:tcPr>
          <w:p>
            <w:pPr>
              <w:spacing w:after="0"/>
              <w:rPr>
                <w:sz w:val="9"/>
                <w:szCs w:val="9"/>
                <w:color w:val="auto"/>
              </w:rPr>
            </w:pPr>
          </w:p>
        </w:tc>
        <w:tc>
          <w:tcPr>
            <w:tcW w:w="29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398" w:lineRule="exact"/>
        <w:rPr>
          <w:sz w:val="20"/>
          <w:szCs w:val="20"/>
          <w:color w:val="auto"/>
        </w:rPr>
      </w:pPr>
    </w:p>
    <w:tbl>
      <w:tblPr>
        <w:tblLayout w:type="fixed"/>
        <w:tblInd w:w="640" w:type="dxa"/>
        <w:tblCellMar>
          <w:top w:w="0" w:type="dxa"/>
          <w:left w:w="0" w:type="dxa"/>
          <w:bottom w:w="0" w:type="dxa"/>
          <w:right w:w="0" w:type="dxa"/>
        </w:tblCellMar>
      </w:tblPr>
      <w:tr>
        <w:trPr>
          <w:trHeight w:val="242"/>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assets acquired</w:t>
            </w: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32,871</w:t>
            </w:r>
          </w:p>
        </w:tc>
      </w:tr>
      <w:tr>
        <w:trPr>
          <w:trHeight w:val="222"/>
        </w:trPr>
        <w:tc>
          <w:tcPr>
            <w:tcW w:w="6860" w:type="dxa"/>
            <w:vAlign w:val="bottom"/>
          </w:tcPr>
          <w:p>
            <w:pPr>
              <w:ind w:left="20"/>
              <w:spacing w:after="0"/>
              <w:rPr>
                <w:sz w:val="20"/>
                <w:szCs w:val="20"/>
                <w:color w:val="auto"/>
              </w:rPr>
            </w:pPr>
            <w:r>
              <w:rPr>
                <w:rFonts w:ascii="Arial" w:cs="Arial" w:eastAsia="Arial" w:hAnsi="Arial"/>
                <w:sz w:val="16"/>
                <w:szCs w:val="16"/>
                <w:color w:val="auto"/>
              </w:rPr>
              <w:t>Goodwill</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57,454</w:t>
            </w:r>
          </w:p>
        </w:tc>
      </w:tr>
      <w:tr>
        <w:trPr>
          <w:trHeight w:val="27"/>
        </w:trPr>
        <w:tc>
          <w:tcPr>
            <w:tcW w:w="68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2"/>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purchase consideration*</w:t>
            </w:r>
          </w:p>
        </w:tc>
        <w:tc>
          <w:tcPr>
            <w:tcW w:w="600" w:type="dxa"/>
            <w:vAlign w:val="bottom"/>
            <w:tcBorders>
              <w:bottom w:val="single" w:sz="8" w:color="CCEEFF"/>
            </w:tcBorders>
            <w:shd w:val="clear" w:color="auto" w:fill="CCEEFF"/>
          </w:tcPr>
          <w:p>
            <w:pPr>
              <w:jc w:val="right"/>
              <w:ind w:right="413"/>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90,325</w:t>
            </w:r>
          </w:p>
        </w:tc>
      </w:tr>
      <w:tr>
        <w:trPr>
          <w:trHeight w:val="20"/>
        </w:trPr>
        <w:tc>
          <w:tcPr>
            <w:tcW w:w="68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Includes contingent consideration of $9,000 recognized at fair value as of the date of acquisition</w:t>
      </w:r>
      <w:r>
        <w:rPr>
          <w:rFonts w:ascii="Arial" w:cs="Arial" w:eastAsia="Arial" w:hAnsi="Arial"/>
          <w:sz w:val="17"/>
          <w:szCs w:val="17"/>
          <w:color w:val="auto"/>
        </w:rPr>
        <w:t>.</w:t>
      </w:r>
    </w:p>
    <w:p>
      <w:pPr>
        <w:spacing w:after="0" w:line="237"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During the three and nine months ended September 30, 2022, the Company recognized measurement period adjustments, which led to increase in goodwill in an amount of $nil and $2,229, respectively. These adjustments primarily relate to an increase in income tax liabilities of $988 included under “other non-current liabilities” and post-closing purchase adjustments.</w:t>
      </w:r>
    </w:p>
    <w:p>
      <w:pPr>
        <w:spacing w:after="0" w:line="198"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The fair values of customer relationships were determined by using an “income approach,” specifically the Multi-Period Excess Earnings Method. The customer relationship assets are being amortized on a straight-line basis (which approximates the economic pattern of benefits) over the estimated economic life of 7 years.</w:t>
      </w:r>
    </w:p>
    <w:p>
      <w:pPr>
        <w:spacing w:after="0" w:line="198"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The fair values of the developed technology intangible assets were determined by using the “cost approach,” specifically the replacement cost method. The technology assets are being amortized on a straight-line basis (which approximates the economic pattern of benefits) over the estimated economic life of 3 years.</w:t>
      </w:r>
    </w:p>
    <w:p>
      <w:pPr>
        <w:spacing w:after="0" w:line="198"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The goodwill recognized represents the acquired capabilities, operating synergies and other benefits expected to result from combining the acquired operations with the Company’s existing operations. The amount of goodwill recognized from Clairvoyant’s acquisition is not deductible for tax purposes. The goodwill has been assigned to the Company’s Analytics reportable segment based upon the Company’s assessment of nature of services rendered by Clairvoyant.</w:t>
      </w:r>
    </w:p>
    <w:p>
      <w:pPr>
        <w:spacing w:after="0" w:line="202"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Acquisition-related costs are being expensed as incurred and are included in general and administrative expenses in the unaudited consolidated statements of income. The Company recognized acquisition-related costs of $nil and $134 during the three and nine months ended September 30, 2022, respectively, and $761 during the year ended December 31, 2021.</w:t>
      </w:r>
    </w:p>
    <w:p>
      <w:pPr>
        <w:spacing w:after="0" w:line="198"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The results of operations of the acquired business and the fair value of the acquired assets and assumed liabilities are included in the Company’s consolidated financial statements with effect from the date of the acquisition. The acquisition did not materially impact the Company’s financial position, results of operations or cash flows, and therefore, the Company has not provided supplemental pro forma results.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Inbound Media Group, LLC</w:t>
      </w:r>
    </w:p>
    <w:p>
      <w:pPr>
        <w:spacing w:after="0" w:line="243" w:lineRule="exact"/>
        <w:rPr>
          <w:sz w:val="20"/>
          <w:szCs w:val="20"/>
          <w:color w:val="auto"/>
        </w:rPr>
      </w:pPr>
    </w:p>
    <w:p>
      <w:pPr>
        <w:jc w:val="both"/>
        <w:ind w:firstLine="393"/>
        <w:spacing w:after="0" w:line="252" w:lineRule="auto"/>
        <w:rPr>
          <w:sz w:val="20"/>
          <w:szCs w:val="20"/>
          <w:color w:val="auto"/>
        </w:rPr>
      </w:pPr>
      <w:r>
        <w:rPr>
          <w:rFonts w:ascii="Arial" w:cs="Arial" w:eastAsia="Arial" w:hAnsi="Arial"/>
          <w:sz w:val="17"/>
          <w:szCs w:val="17"/>
          <w:color w:val="auto"/>
        </w:rPr>
        <w:t>On June 10, 2022, the Company, through its wholly owned subsidiary ExlService.com, LLC, entered into an Asset Purchase Agreement to acquire certain assets of Inbound, a Wyoming limited liability company, which is a digital marketing business focused primarily on lead generation in the insurance space, for cash consideration of $1,469 and contingent consideration with an estimated fair value of $1,439 as of the date of acquisition based on the achievement of certain performance goals by Inbound during the 2022 to 2024 calendar years.</w:t>
      </w:r>
    </w:p>
    <w:p>
      <w:pPr>
        <w:spacing w:after="0" w:line="202"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6"/>
          <w:szCs w:val="16"/>
          <w:color w:val="auto"/>
        </w:rPr>
        <w:t>The Company accounted for this business combination using the acquisition method of accounting. Goodwill and intangible assets of $1,992 and $916, respectively, were recognized by the Company as a result of this transaction. The goodwill recognized for this business is deductible for income tax purposes. The acquisition strengthens the Company’s capabilities in digital direct-to-consumer marketing by adding performance marketing, lead generation and customer engagement capabilities to its suite of end-to-end marketing solutions, proprietary data sets and robust consumer analytics.</w:t>
      </w:r>
    </w:p>
    <w:p>
      <w:pPr>
        <w:spacing w:after="0" w:line="186"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The results of operations of the acquired business and the fair value of the net assets acquired are included in the Company’s consolidated financial statements with effect from the date of the acquisition. The acquisition did not materially impact the Company’s financial position, results of operations or cash flows, and therefore, the Company has not provided unaudited supplemental pro forma results.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sets forth details of changes in goodwill by reportable segment of the Company: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Insurance</w:t>
            </w:r>
          </w:p>
        </w:tc>
        <w:tc>
          <w:tcPr>
            <w:tcW w:w="160" w:type="dxa"/>
            <w:vAlign w:val="bottom"/>
          </w:tcPr>
          <w:p>
            <w:pPr>
              <w:spacing w:after="0"/>
              <w:rPr>
                <w:sz w:val="16"/>
                <w:szCs w:val="16"/>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Healthcare</w:t>
            </w: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Emerging</w:t>
            </w:r>
          </w:p>
        </w:tc>
        <w:tc>
          <w:tcPr>
            <w:tcW w:w="160" w:type="dxa"/>
            <w:vAlign w:val="bottom"/>
          </w:tcPr>
          <w:p>
            <w:pPr>
              <w:spacing w:after="0"/>
              <w:rPr>
                <w:sz w:val="16"/>
                <w:szCs w:val="16"/>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Analytics</w:t>
            </w:r>
          </w:p>
        </w:tc>
        <w:tc>
          <w:tcPr>
            <w:tcW w:w="260" w:type="dxa"/>
            <w:vAlign w:val="bottom"/>
          </w:tcPr>
          <w:p>
            <w:pPr>
              <w:spacing w:after="0"/>
              <w:rPr>
                <w:sz w:val="16"/>
                <w:szCs w:val="16"/>
                <w:color w:val="auto"/>
              </w:rPr>
            </w:pPr>
          </w:p>
        </w:tc>
        <w:tc>
          <w:tcPr>
            <w:tcW w:w="860" w:type="dxa"/>
            <w:vAlign w:val="bottom"/>
            <w:vMerge w:val="restart"/>
          </w:tcPr>
          <w:p>
            <w:pPr>
              <w:jc w:val="right"/>
              <w:ind w:right="29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1"/>
              </w:rPr>
              <w:t>Business</w:t>
            </w: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January 1, 2022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50,428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282,512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403,902</w:t>
            </w:r>
          </w:p>
        </w:tc>
        <w:tc>
          <w:tcPr>
            <w:tcW w:w="0" w:type="dxa"/>
            <w:vAlign w:val="bottom"/>
          </w:tcPr>
          <w:p>
            <w:pPr>
              <w:spacing w:after="0"/>
              <w:rPr>
                <w:sz w:val="1"/>
                <w:szCs w:val="1"/>
                <w:color w:val="auto"/>
              </w:rPr>
            </w:pPr>
          </w:p>
        </w:tc>
      </w:tr>
      <w:tr>
        <w:trPr>
          <w:trHeight w:val="223"/>
        </w:trPr>
        <w:tc>
          <w:tcPr>
            <w:tcW w:w="4380" w:type="dxa"/>
            <w:vAlign w:val="bottom"/>
          </w:tcPr>
          <w:p>
            <w:pPr>
              <w:ind w:left="240"/>
              <w:spacing w:after="0"/>
              <w:rPr>
                <w:sz w:val="20"/>
                <w:szCs w:val="20"/>
                <w:color w:val="auto"/>
              </w:rPr>
            </w:pPr>
            <w:r>
              <w:rPr>
                <w:rFonts w:ascii="Arial" w:cs="Arial" w:eastAsia="Arial" w:hAnsi="Arial"/>
                <w:sz w:val="17"/>
                <w:szCs w:val="17"/>
                <w:color w:val="auto"/>
              </w:rPr>
              <w:t>Acquisition</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1,992</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Measurement period adjustments</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2,229</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Currency translation adjustments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(2,342)</w:t>
            </w:r>
          </w:p>
        </w:tc>
        <w:tc>
          <w:tcPr>
            <w:tcW w:w="0" w:type="dxa"/>
            <w:vAlign w:val="bottom"/>
          </w:tcPr>
          <w:p>
            <w:pPr>
              <w:spacing w:after="0"/>
              <w:rPr>
                <w:sz w:val="1"/>
                <w:szCs w:val="1"/>
                <w:color w:val="auto"/>
              </w:rPr>
            </w:pPr>
          </w:p>
        </w:tc>
      </w:tr>
      <w:tr>
        <w:trPr>
          <w:trHeight w:val="241"/>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September 30,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286,732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405,781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6"/>
          <w:szCs w:val="16"/>
          <w:color w:val="auto"/>
        </w:rPr>
        <w:t xml:space="preserve">As of September 30, 2022, </w:t>
      </w:r>
      <w:r>
        <w:rPr>
          <w:rFonts w:ascii="Arial" w:cs="Arial" w:eastAsia="Arial" w:hAnsi="Arial"/>
          <w:sz w:val="18"/>
          <w:szCs w:val="18"/>
          <w:color w:val="auto"/>
        </w:rPr>
        <w:t>the</w:t>
      </w:r>
      <w:r>
        <w:rPr>
          <w:rFonts w:ascii="Arial" w:cs="Arial" w:eastAsia="Arial" w:hAnsi="Arial"/>
          <w:sz w:val="16"/>
          <w:szCs w:val="16"/>
          <w:color w:val="auto"/>
        </w:rPr>
        <w:t xml:space="preserve"> Company performed an assessment to determine whether events or circumstances exist that may lead to a determination that it is more likely than not that the fair value of a reporting unit is less than its carrying amount. The Company considered current and forecasted economic and market conditions and qualitative factors, such as the Company’s performance during nine months of the current fiscal year, business forecasts for the remainder of the year, stock price movements, generation and availability of cash and expansion plans. The Company reviewed key assumptions, including revisions of projected future revenues for reporting units against the results of the annual impairment test performed during the fourth quarter of 2021. The Company did not identify any triggers or indications of potential impairment for its reporting units as of September 30, 2022.</w:t>
      </w:r>
    </w:p>
    <w:p>
      <w:pPr>
        <w:spacing w:after="0" w:line="194" w:lineRule="exact"/>
        <w:rPr>
          <w:sz w:val="20"/>
          <w:szCs w:val="20"/>
          <w:color w:val="auto"/>
        </w:rPr>
      </w:pPr>
    </w:p>
    <w:p>
      <w:pPr>
        <w:jc w:val="both"/>
        <w:ind w:firstLine="393"/>
        <w:spacing w:after="0" w:line="247" w:lineRule="auto"/>
        <w:rPr>
          <w:sz w:val="20"/>
          <w:szCs w:val="20"/>
          <w:color w:val="auto"/>
        </w:rPr>
      </w:pPr>
      <w:r>
        <w:rPr>
          <w:rFonts w:ascii="Arial" w:cs="Arial" w:eastAsia="Arial" w:hAnsi="Arial"/>
          <w:sz w:val="17"/>
          <w:szCs w:val="17"/>
          <w:color w:val="auto"/>
        </w:rPr>
        <w:t>There can be no assurances that goodwill will not be impaired in future periods. Estimating the fair value of reporting units requires the use of estimates and significant judgments that are based on a number of factors including actual operating results. These estimates and judgements may not be within the control of the Company and accordingly it is reasonably possible that the judgments and estimates described above could change in future periods. The duration of market volatility is highly uncertain and, as such, the impact on cash flows, long-term debt-free net cash flow growth rate in the terminal year and discount rates are subject to significant judgments and may cause variability in the Company’s assessment of existence of any impairment. The Company continues to monitor significant changes in key assumptions that could result in future period impairment charges.</w:t>
      </w:r>
    </w:p>
    <w:p>
      <w:pPr>
        <w:spacing w:after="0" w:line="209"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7"/>
          <w:szCs w:val="17"/>
          <w:color w:val="auto"/>
        </w:rPr>
        <w:t>The recoverability of goodwill is dependent upon the continued growth of cash flows from the Company’s business activities. This growth is based on business forecasts and improvement in profitability of its reporting units. The Company continues to maintain its focus on cultivating long-term client relationships as well as attracting new clients.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Information regarding the Company’s intangible assets is set forth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6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As of September 30, 2022</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right"/>
              <w:ind w:right="496"/>
              <w:spacing w:after="0" w:line="128" w:lineRule="exact"/>
              <w:rPr>
                <w:sz w:val="20"/>
                <w:szCs w:val="20"/>
                <w:color w:val="auto"/>
              </w:rPr>
            </w:pPr>
            <w:r>
              <w:rPr>
                <w:rFonts w:ascii="Arial" w:cs="Arial" w:eastAsia="Arial" w:hAnsi="Arial"/>
                <w:sz w:val="14"/>
                <w:szCs w:val="14"/>
                <w:b w:val="1"/>
                <w:bCs w:val="1"/>
                <w:color w:val="auto"/>
              </w:rPr>
              <w:t>Gross</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100"/>
              <w:spacing w:after="0" w:line="128" w:lineRule="exact"/>
              <w:rPr>
                <w:sz w:val="20"/>
                <w:szCs w:val="20"/>
                <w:color w:val="auto"/>
              </w:rPr>
            </w:pPr>
            <w:r>
              <w:rPr>
                <w:rFonts w:ascii="Arial" w:cs="Arial" w:eastAsia="Arial" w:hAnsi="Arial"/>
                <w:sz w:val="14"/>
                <w:szCs w:val="14"/>
                <w:b w:val="1"/>
                <w:bCs w:val="1"/>
                <w:color w:val="auto"/>
              </w:rPr>
              <w:t>Accumulated</w:t>
            </w: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116"/>
              <w:spacing w:after="0" w:line="128" w:lineRule="exact"/>
              <w:rPr>
                <w:sz w:val="20"/>
                <w:szCs w:val="20"/>
                <w:color w:val="auto"/>
              </w:rPr>
            </w:pPr>
            <w:r>
              <w:rPr>
                <w:rFonts w:ascii="Arial" w:cs="Arial" w:eastAsia="Arial" w:hAnsi="Arial"/>
                <w:sz w:val="14"/>
                <w:szCs w:val="14"/>
                <w:b w:val="1"/>
                <w:bCs w:val="1"/>
                <w:color w:val="auto"/>
                <w:w w:val="95"/>
              </w:rPr>
              <w:t>Net Carrying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36"/>
              <w:spacing w:after="0"/>
              <w:rPr>
                <w:sz w:val="20"/>
                <w:szCs w:val="20"/>
                <w:color w:val="auto"/>
              </w:rPr>
            </w:pPr>
            <w:r>
              <w:rPr>
                <w:rFonts w:ascii="Arial" w:cs="Arial" w:eastAsia="Arial" w:hAnsi="Arial"/>
                <w:sz w:val="14"/>
                <w:szCs w:val="14"/>
                <w:b w:val="1"/>
                <w:bCs w:val="1"/>
                <w:color w:val="auto"/>
                <w:w w:val="99"/>
              </w:rPr>
              <w:t>Carrying 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Finite-lived intangible assets:</w:t>
            </w:r>
          </w:p>
        </w:tc>
        <w:tc>
          <w:tcPr>
            <w:tcW w:w="2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282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99,146</w:t>
            </w:r>
          </w:p>
        </w:tc>
        <w:tc>
          <w:tcPr>
            <w:tcW w:w="380" w:type="dxa"/>
            <w:vAlign w:val="bottom"/>
            <w:gridSpan w:val="3"/>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(36,999)</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62,147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2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24,759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Arial" w:cs="Arial" w:eastAsia="Arial" w:hAnsi="Arial"/>
                <w:sz w:val="17"/>
                <w:szCs w:val="17"/>
                <w:color w:val="auto"/>
              </w:rPr>
              <w:t>Trade names and trademarks</w:t>
            </w:r>
          </w:p>
        </w:tc>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1,700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Non-compete agreements</w:t>
            </w:r>
          </w:p>
        </w:tc>
        <w:tc>
          <w:tcPr>
            <w:tcW w:w="26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82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125,941</w:t>
            </w:r>
          </w:p>
        </w:tc>
        <w:tc>
          <w:tcPr>
            <w:tcW w:w="380" w:type="dxa"/>
            <w:vAlign w:val="bottom"/>
            <w:gridSpan w:val="3"/>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(57,833)</w:t>
            </w:r>
          </w:p>
        </w:tc>
        <w:tc>
          <w:tcPr>
            <w:tcW w:w="10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68,108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Trade names and trademarks</w:t>
            </w:r>
          </w:p>
        </w:tc>
        <w:tc>
          <w:tcPr>
            <w:tcW w:w="26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intangible assets</w:t>
            </w:r>
          </w:p>
        </w:tc>
        <w:tc>
          <w:tcPr>
            <w:tcW w:w="282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126,841</w:t>
            </w:r>
          </w:p>
        </w:tc>
        <w:tc>
          <w:tcPr>
            <w:tcW w:w="380" w:type="dxa"/>
            <w:vAlign w:val="bottom"/>
            <w:gridSpan w:val="3"/>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(57,833)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bottom w:val="single" w:sz="8" w:color="CCEEFF"/>
            </w:tcBorders>
            <w:vMerge w:val="restart"/>
          </w:tcPr>
          <w:p>
            <w:pPr>
              <w:jc w:val="right"/>
              <w:ind w:right="693"/>
              <w:spacing w:after="0"/>
              <w:rPr>
                <w:sz w:val="20"/>
                <w:szCs w:val="20"/>
                <w:color w:val="auto"/>
              </w:rPr>
            </w:pPr>
            <w:r>
              <w:rPr>
                <w:rFonts w:ascii="Arial" w:cs="Arial" w:eastAsia="Arial" w:hAnsi="Arial"/>
                <w:sz w:val="17"/>
                <w:szCs w:val="17"/>
                <w:color w:val="auto"/>
              </w:rPr>
              <w:t>23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26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6"/>
          </w:tcPr>
          <w:p>
            <w:pPr>
              <w:ind w:left="20"/>
              <w:spacing w:after="0"/>
              <w:rPr>
                <w:sz w:val="20"/>
                <w:szCs w:val="20"/>
                <w:color w:val="auto"/>
              </w:rPr>
            </w:pPr>
            <w:r>
              <w:rPr>
                <w:rFonts w:ascii="Arial" w:cs="Arial" w:eastAsia="Arial" w:hAnsi="Arial"/>
                <w:sz w:val="14"/>
                <w:szCs w:val="14"/>
                <w:b w:val="1"/>
                <w:bCs w:val="1"/>
                <w:color w:val="auto"/>
                <w:w w:val="90"/>
              </w:rPr>
              <w:t>As of December 31, 2021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89"/>
              </w:rPr>
              <w:t>Gross Carrying Amount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120"/>
              <w:spacing w:after="0" w:line="128"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4"/>
          </w:tcPr>
          <w:p>
            <w:pPr>
              <w:ind w:left="160"/>
              <w:spacing w:after="0" w:line="128"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84"/>
        </w:trPr>
        <w:tc>
          <w:tcPr>
            <w:tcW w:w="40" w:type="dxa"/>
            <w:vAlign w:val="bottom"/>
            <w:tcBorders>
              <w:bottom w:val="single" w:sz="8" w:color="CCEEFF"/>
            </w:tcBorders>
          </w:tcPr>
          <w:p>
            <w:pPr>
              <w:spacing w:after="0"/>
              <w:rPr>
                <w:sz w:val="7"/>
                <w:szCs w:val="7"/>
                <w:color w:val="auto"/>
              </w:rPr>
            </w:pPr>
          </w:p>
        </w:tc>
        <w:tc>
          <w:tcPr>
            <w:tcW w:w="62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780" w:type="dxa"/>
            <w:vAlign w:val="bottom"/>
            <w:tcBorders>
              <w:bottom w:val="single" w:sz="8" w:color="CCEEFF"/>
            </w:tcBorders>
          </w:tcPr>
          <w:p>
            <w:pPr>
              <w:spacing w:after="0"/>
              <w:rPr>
                <w:sz w:val="7"/>
                <w:szCs w:val="7"/>
                <w:color w:val="auto"/>
              </w:rPr>
            </w:pPr>
          </w:p>
        </w:tc>
        <w:tc>
          <w:tcPr>
            <w:tcW w:w="340" w:type="dxa"/>
            <w:vAlign w:val="bottom"/>
            <w:tcBorders>
              <w:bottom w:val="single" w:sz="8" w:color="CCEEFF"/>
            </w:tcBorders>
          </w:tcPr>
          <w:p>
            <w:pPr>
              <w:spacing w:after="0"/>
              <w:rPr>
                <w:sz w:val="7"/>
                <w:szCs w:val="7"/>
                <w:color w:val="auto"/>
              </w:rPr>
            </w:pPr>
          </w:p>
        </w:tc>
        <w:tc>
          <w:tcPr>
            <w:tcW w:w="12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gridSpan w:val="3"/>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4520" w:type="dxa"/>
            <w:vAlign w:val="bottom"/>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Finite-lived intangible assets: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4"/>
          </w:tcPr>
          <w:p>
            <w:pPr>
              <w:ind w:left="20"/>
              <w:spacing w:after="0"/>
              <w:rPr>
                <w:sz w:val="20"/>
                <w:szCs w:val="20"/>
                <w:color w:val="auto"/>
              </w:rPr>
            </w:pPr>
            <w:r>
              <w:rPr>
                <w:rFonts w:ascii="Arial" w:cs="Arial" w:eastAsia="Arial" w:hAnsi="Arial"/>
                <w:sz w:val="17"/>
                <w:szCs w:val="17"/>
                <w:color w:val="auto"/>
              </w:rPr>
              <w:t>Customer relationships</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20" w:type="dxa"/>
            <w:vAlign w:val="bottom"/>
            <w:gridSpan w:val="4"/>
          </w:tcPr>
          <w:p>
            <w:pPr>
              <w:jc w:val="right"/>
              <w:spacing w:after="0"/>
              <w:rPr>
                <w:sz w:val="20"/>
                <w:szCs w:val="20"/>
                <w:color w:val="auto"/>
              </w:rPr>
            </w:pPr>
            <w:r>
              <w:rPr>
                <w:rFonts w:ascii="Arial" w:cs="Arial" w:eastAsia="Arial" w:hAnsi="Arial"/>
                <w:sz w:val="17"/>
                <w:szCs w:val="17"/>
                <w:color w:val="auto"/>
              </w:rPr>
              <w:t>103,016</w:t>
            </w:r>
          </w:p>
        </w:tc>
        <w:tc>
          <w:tcPr>
            <w:tcW w:w="360" w:type="dxa"/>
            <w:vAlign w:val="bottom"/>
            <w:gridSpan w:val="3"/>
          </w:tcPr>
          <w:p>
            <w:pPr>
              <w:jc w:val="right"/>
              <w:ind w:right="33"/>
              <w:spacing w:after="0"/>
              <w:rPr>
                <w:sz w:val="20"/>
                <w:szCs w:val="20"/>
                <w:color w:val="auto"/>
              </w:rPr>
            </w:pPr>
            <w:r>
              <w:rPr>
                <w:rFonts w:ascii="Arial" w:cs="Arial" w:eastAsia="Arial" w:hAnsi="Arial"/>
                <w:sz w:val="17"/>
                <w:szCs w:val="17"/>
                <w:color w:val="auto"/>
              </w:rPr>
              <w:t>$</w:t>
            </w:r>
          </w:p>
        </w:tc>
        <w:tc>
          <w:tcPr>
            <w:tcW w:w="1240" w:type="dxa"/>
            <w:vAlign w:val="bottom"/>
            <w:gridSpan w:val="4"/>
          </w:tcPr>
          <w:p>
            <w:pPr>
              <w:jc w:val="right"/>
              <w:spacing w:after="0"/>
              <w:rPr>
                <w:sz w:val="20"/>
                <w:szCs w:val="20"/>
                <w:color w:val="auto"/>
              </w:rPr>
            </w:pPr>
            <w:r>
              <w:rPr>
                <w:rFonts w:ascii="Arial" w:cs="Arial" w:eastAsia="Arial" w:hAnsi="Arial"/>
                <w:sz w:val="17"/>
                <w:szCs w:val="17"/>
                <w:color w:val="auto"/>
              </w:rPr>
              <w:t>(33,018)</w:t>
            </w:r>
          </w:p>
        </w:tc>
        <w:tc>
          <w:tcPr>
            <w:tcW w:w="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7"/>
                <w:szCs w:val="17"/>
                <w:color w:val="auto"/>
              </w:rPr>
              <w:t>69,998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25,040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(15,850)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9,190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4"/>
          </w:tcPr>
          <w:p>
            <w:pPr>
              <w:ind w:left="20"/>
              <w:spacing w:after="0"/>
              <w:rPr>
                <w:sz w:val="20"/>
                <w:szCs w:val="20"/>
                <w:color w:val="auto"/>
              </w:rPr>
            </w:pPr>
            <w:r>
              <w:rPr>
                <w:rFonts w:ascii="Arial" w:cs="Arial" w:eastAsia="Arial" w:hAnsi="Arial"/>
                <w:sz w:val="17"/>
                <w:szCs w:val="17"/>
                <w:color w:val="auto"/>
              </w:rPr>
              <w:t>Trade names and trademarks</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4"/>
          </w:tcPr>
          <w:p>
            <w:pPr>
              <w:jc w:val="right"/>
              <w:spacing w:after="0"/>
              <w:rPr>
                <w:sz w:val="20"/>
                <w:szCs w:val="20"/>
                <w:color w:val="auto"/>
              </w:rPr>
            </w:pPr>
            <w:r>
              <w:rPr>
                <w:rFonts w:ascii="Arial" w:cs="Arial" w:eastAsia="Arial" w:hAnsi="Arial"/>
                <w:sz w:val="17"/>
                <w:szCs w:val="17"/>
                <w:color w:val="auto"/>
              </w:rPr>
              <w:t>1,700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Arial" w:cs="Arial" w:eastAsia="Arial" w:hAnsi="Arial"/>
                <w:sz w:val="17"/>
                <w:szCs w:val="17"/>
                <w:color w:val="auto"/>
              </w:rPr>
              <w:t>(1,006)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7"/>
                <w:szCs w:val="17"/>
                <w:color w:val="auto"/>
              </w:rPr>
              <w:t>694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Non-compete agreements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84"/>
              </w:rPr>
              <w:t>300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7"/>
                <w:szCs w:val="17"/>
                <w:color w:val="auto"/>
                <w:w w:val="93"/>
              </w:rPr>
              <w:t>—</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300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20" w:type="dxa"/>
            <w:vAlign w:val="bottom"/>
            <w:gridSpan w:val="4"/>
          </w:tcPr>
          <w:p>
            <w:pPr>
              <w:jc w:val="right"/>
              <w:spacing w:after="0"/>
              <w:rPr>
                <w:sz w:val="20"/>
                <w:szCs w:val="20"/>
                <w:color w:val="auto"/>
              </w:rPr>
            </w:pPr>
            <w:r>
              <w:rPr>
                <w:rFonts w:ascii="Arial" w:cs="Arial" w:eastAsia="Arial" w:hAnsi="Arial"/>
                <w:sz w:val="17"/>
                <w:szCs w:val="17"/>
                <w:color w:val="auto"/>
              </w:rPr>
              <w:t>130,056</w:t>
            </w:r>
          </w:p>
        </w:tc>
        <w:tc>
          <w:tcPr>
            <w:tcW w:w="360" w:type="dxa"/>
            <w:vAlign w:val="bottom"/>
            <w:gridSpan w:val="3"/>
          </w:tcPr>
          <w:p>
            <w:pPr>
              <w:jc w:val="right"/>
              <w:ind w:right="33"/>
              <w:spacing w:after="0"/>
              <w:rPr>
                <w:sz w:val="20"/>
                <w:szCs w:val="20"/>
                <w:color w:val="auto"/>
              </w:rPr>
            </w:pPr>
            <w:r>
              <w:rPr>
                <w:rFonts w:ascii="Arial" w:cs="Arial" w:eastAsia="Arial" w:hAnsi="Arial"/>
                <w:sz w:val="17"/>
                <w:szCs w:val="17"/>
                <w:color w:val="auto"/>
              </w:rPr>
              <w:t>$</w:t>
            </w:r>
          </w:p>
        </w:tc>
        <w:tc>
          <w:tcPr>
            <w:tcW w:w="1240" w:type="dxa"/>
            <w:vAlign w:val="bottom"/>
            <w:gridSpan w:val="4"/>
          </w:tcPr>
          <w:p>
            <w:pPr>
              <w:jc w:val="right"/>
              <w:spacing w:after="0"/>
              <w:rPr>
                <w:sz w:val="20"/>
                <w:szCs w:val="20"/>
                <w:color w:val="auto"/>
              </w:rPr>
            </w:pPr>
            <w:r>
              <w:rPr>
                <w:rFonts w:ascii="Arial" w:cs="Arial" w:eastAsia="Arial" w:hAnsi="Arial"/>
                <w:sz w:val="17"/>
                <w:szCs w:val="17"/>
                <w:color w:val="auto"/>
              </w:rPr>
              <w:t>(49,874)</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7"/>
                <w:szCs w:val="17"/>
                <w:color w:val="auto"/>
              </w:rPr>
              <w:t>80,182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gridSpan w:val="4"/>
          </w:tcPr>
          <w:p>
            <w:pPr>
              <w:ind w:left="20"/>
              <w:spacing w:after="0"/>
              <w:rPr>
                <w:sz w:val="20"/>
                <w:szCs w:val="20"/>
                <w:color w:val="auto"/>
              </w:rPr>
            </w:pPr>
            <w:r>
              <w:rPr>
                <w:rFonts w:ascii="Arial" w:cs="Arial" w:eastAsia="Arial" w:hAnsi="Arial"/>
                <w:sz w:val="17"/>
                <w:szCs w:val="17"/>
                <w:color w:val="auto"/>
              </w:rPr>
              <w:t>Trade names and trademarks</w:t>
            </w:r>
          </w:p>
        </w:tc>
        <w:tc>
          <w:tcPr>
            <w:tcW w:w="3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84"/>
              </w:rPr>
              <w:t>900</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ind w:left="200"/>
              <w:spacing w:after="0"/>
              <w:rPr>
                <w:sz w:val="20"/>
                <w:szCs w:val="20"/>
                <w:color w:val="auto"/>
              </w:rPr>
            </w:pPr>
            <w:r>
              <w:rPr>
                <w:rFonts w:ascii="Arial" w:cs="Arial" w:eastAsia="Arial" w:hAnsi="Arial"/>
                <w:sz w:val="17"/>
                <w:szCs w:val="17"/>
                <w:color w:val="auto"/>
                <w:w w:val="93"/>
              </w:rPr>
              <w:t>—</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7"/>
                <w:szCs w:val="17"/>
                <w:color w:val="auto"/>
              </w:rPr>
              <w:t>900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520" w:type="dxa"/>
            <w:vAlign w:val="bottom"/>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Total intangible assets</w:t>
            </w: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130,956</w:t>
            </w:r>
          </w:p>
        </w:tc>
        <w:tc>
          <w:tcPr>
            <w:tcW w:w="360" w:type="dxa"/>
            <w:vAlign w:val="bottom"/>
            <w:gridSpan w:val="3"/>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(49,874)</w:t>
            </w:r>
          </w:p>
        </w:tc>
        <w:tc>
          <w:tcPr>
            <w:tcW w:w="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81,082</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gridSpan w:val="3"/>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40" w:type="dxa"/>
            <w:vAlign w:val="bottom"/>
          </w:tcPr>
          <w:p>
            <w:pPr>
              <w:spacing w:after="0"/>
              <w:rPr>
                <w:sz w:val="24"/>
                <w:szCs w:val="24"/>
                <w:color w:val="auto"/>
              </w:rPr>
            </w:pPr>
          </w:p>
        </w:tc>
        <w:tc>
          <w:tcPr>
            <w:tcW w:w="7720" w:type="dxa"/>
            <w:vAlign w:val="bottom"/>
            <w:gridSpan w:val="9"/>
          </w:tcPr>
          <w:p>
            <w:pPr>
              <w:ind w:left="340"/>
              <w:spacing w:after="0"/>
              <w:rPr>
                <w:sz w:val="20"/>
                <w:szCs w:val="20"/>
                <w:color w:val="auto"/>
              </w:rPr>
            </w:pPr>
            <w:r>
              <w:rPr>
                <w:rFonts w:ascii="Arial" w:cs="Arial" w:eastAsia="Arial" w:hAnsi="Arial"/>
                <w:sz w:val="17"/>
                <w:szCs w:val="17"/>
                <w:color w:val="auto"/>
                <w:w w:val="92"/>
              </w:rPr>
              <w:t>The amortization expense recognized in the unaudited consolidated statements of income was as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5"/>
          </w:tcPr>
          <w:p>
            <w:pPr>
              <w:jc w:val="right"/>
              <w:ind w:right="457"/>
              <w:spacing w:after="0"/>
              <w:rPr>
                <w:sz w:val="20"/>
                <w:szCs w:val="20"/>
                <w:color w:val="auto"/>
              </w:rPr>
            </w:pPr>
            <w:r>
              <w:rPr>
                <w:rFonts w:ascii="Arial" w:cs="Arial" w:eastAsia="Arial" w:hAnsi="Arial"/>
                <w:sz w:val="14"/>
                <w:szCs w:val="14"/>
                <w:b w:val="1"/>
                <w:bCs w:val="1"/>
                <w:color w:val="auto"/>
                <w:w w:val="98"/>
              </w:rPr>
              <w:t>Three months ended September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gridSpan w:val="11"/>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7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w w:val="96"/>
              </w:rPr>
              <w:t>2021</w:t>
            </w:r>
          </w:p>
        </w:tc>
        <w:tc>
          <w:tcPr>
            <w:tcW w:w="6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Amortization expense</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4,243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12,875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9,780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40" w:type="dxa"/>
            <w:vAlign w:val="bottom"/>
          </w:tcPr>
          <w:p>
            <w:pPr>
              <w:spacing w:after="0"/>
              <w:rPr>
                <w:sz w:val="24"/>
                <w:szCs w:val="24"/>
                <w:color w:val="auto"/>
              </w:rPr>
            </w:pPr>
          </w:p>
        </w:tc>
        <w:tc>
          <w:tcPr>
            <w:tcW w:w="6200" w:type="dxa"/>
            <w:vAlign w:val="bottom"/>
            <w:gridSpan w:val="6"/>
          </w:tcPr>
          <w:p>
            <w:pPr>
              <w:ind w:left="340"/>
              <w:spacing w:after="0"/>
              <w:rPr>
                <w:sz w:val="20"/>
                <w:szCs w:val="20"/>
                <w:color w:val="auto"/>
              </w:rPr>
            </w:pPr>
            <w:r>
              <w:rPr>
                <w:rFonts w:ascii="Arial" w:cs="Arial" w:eastAsia="Arial" w:hAnsi="Arial"/>
                <w:sz w:val="17"/>
                <w:szCs w:val="17"/>
                <w:color w:val="auto"/>
              </w:rPr>
              <w:t>The remaining weighted average life of intangible assets is as follows: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gridSpan w:val="6"/>
          </w:tcPr>
          <w:p>
            <w:pPr>
              <w:ind w:left="20"/>
              <w:spacing w:after="0"/>
              <w:rPr>
                <w:sz w:val="20"/>
                <w:szCs w:val="20"/>
                <w:color w:val="auto"/>
              </w:rPr>
            </w:pPr>
            <w:r>
              <w:rPr>
                <w:rFonts w:ascii="Arial" w:cs="Arial" w:eastAsia="Arial" w:hAnsi="Arial"/>
                <w:sz w:val="17"/>
                <w:szCs w:val="17"/>
                <w:b w:val="1"/>
                <w:bCs w:val="1"/>
                <w:color w:val="auto"/>
              </w:rPr>
              <w:t>(in years)</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2"/>
              </w:rPr>
              <w:t>5.7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300"/>
              <w:spacing w:after="0"/>
              <w:rPr>
                <w:sz w:val="20"/>
                <w:szCs w:val="20"/>
                <w:color w:val="auto"/>
              </w:rPr>
            </w:pPr>
            <w:r>
              <w:rPr>
                <w:rFonts w:ascii="Arial" w:cs="Arial" w:eastAsia="Arial" w:hAnsi="Arial"/>
                <w:sz w:val="17"/>
                <w:szCs w:val="17"/>
                <w:color w:val="auto"/>
                <w:w w:val="92"/>
              </w:rPr>
              <w:t>1.5</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names and trademarks (Finite lived)</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2"/>
              </w:rPr>
              <w:t>1.7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7"/>
                <w:szCs w:val="17"/>
                <w:color w:val="auto"/>
              </w:rPr>
              <w:t>Non-compete agreements</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300"/>
              <w:spacing w:after="0"/>
              <w:rPr>
                <w:sz w:val="20"/>
                <w:szCs w:val="20"/>
                <w:color w:val="auto"/>
              </w:rPr>
            </w:pPr>
            <w:r>
              <w:rPr>
                <w:rFonts w:ascii="Arial" w:cs="Arial" w:eastAsia="Arial" w:hAnsi="Arial"/>
                <w:sz w:val="17"/>
                <w:szCs w:val="17"/>
                <w:color w:val="auto"/>
                <w:w w:val="92"/>
              </w:rPr>
              <w:t>3.0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940" w:type="dxa"/>
            <w:vAlign w:val="bottom"/>
            <w:gridSpan w:val="17"/>
          </w:tcPr>
          <w:p>
            <w:pPr>
              <w:ind w:left="20"/>
              <w:spacing w:after="0"/>
              <w:rPr>
                <w:sz w:val="20"/>
                <w:szCs w:val="20"/>
                <w:color w:val="auto"/>
              </w:rPr>
            </w:pPr>
            <w:r>
              <w:rPr>
                <w:rFonts w:ascii="Arial" w:cs="Arial" w:eastAsia="Arial" w:hAnsi="Arial"/>
                <w:sz w:val="17"/>
                <w:szCs w:val="17"/>
                <w:color w:val="auto"/>
                <w:w w:val="99"/>
              </w:rPr>
              <w:t>Estimated future amortization expense related to finite-lived intangible assets as of September 30, 2022 was as follows: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2022 (October 1 - December 31)</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4,228</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4"/>
          </w:tcPr>
          <w:p>
            <w:pPr>
              <w:ind w:left="680"/>
              <w:spacing w:after="0"/>
              <w:rPr>
                <w:sz w:val="20"/>
                <w:szCs w:val="20"/>
                <w:color w:val="auto"/>
              </w:rPr>
            </w:pPr>
            <w:r>
              <w:rPr>
                <w:rFonts w:ascii="Arial" w:cs="Arial" w:eastAsia="Arial" w:hAnsi="Arial"/>
                <w:sz w:val="17"/>
                <w:szCs w:val="17"/>
                <w:color w:val="auto"/>
              </w:rPr>
              <w:t>2023</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9"/>
              </w:rPr>
              <w:t>14,634</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gridSpan w:val="2"/>
          </w:tcPr>
          <w:p>
            <w:pPr>
              <w:spacing w:after="0"/>
              <w:rPr>
                <w:sz w:val="19"/>
                <w:szCs w:val="19"/>
                <w:color w:val="auto"/>
              </w:rPr>
            </w:pPr>
          </w:p>
        </w:tc>
        <w:tc>
          <w:tcPr>
            <w:tcW w:w="3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9"/>
              </w:rPr>
              <w:t>12,123</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4"/>
          </w:tcPr>
          <w:p>
            <w:pPr>
              <w:ind w:left="680"/>
              <w:spacing w:after="0"/>
              <w:rPr>
                <w:sz w:val="20"/>
                <w:szCs w:val="20"/>
                <w:color w:val="auto"/>
              </w:rPr>
            </w:pPr>
            <w:r>
              <w:rPr>
                <w:rFonts w:ascii="Arial" w:cs="Arial" w:eastAsia="Arial" w:hAnsi="Arial"/>
                <w:sz w:val="17"/>
                <w:szCs w:val="17"/>
                <w:color w:val="auto"/>
              </w:rPr>
              <w:t>2025</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9"/>
              </w:rPr>
              <w:t>10,686</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gridSpan w:val="2"/>
          </w:tcPr>
          <w:p>
            <w:pPr>
              <w:spacing w:after="0"/>
              <w:rPr>
                <w:sz w:val="19"/>
                <w:szCs w:val="19"/>
                <w:color w:val="auto"/>
              </w:rPr>
            </w:pPr>
          </w:p>
        </w:tc>
        <w:tc>
          <w:tcPr>
            <w:tcW w:w="3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9"/>
              </w:rPr>
              <w:t>10,357</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2027 and thereafter</w:t>
            </w:r>
          </w:p>
        </w:tc>
        <w:tc>
          <w:tcPr>
            <w:tcW w:w="3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w w:val="99"/>
              </w:rPr>
              <w:t>16,080</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9"/>
              </w:rPr>
              <w:t>68,108</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Other Current Assets</w:t>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Other current assets consist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1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7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3"/>
              </w:rPr>
              <w:t>September 30, 2022</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Advance income tax, net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19,040</w:t>
            </w:r>
          </w:p>
        </w:tc>
        <w:tc>
          <w:tcPr>
            <w:tcW w:w="420" w:type="dxa"/>
            <w:vAlign w:val="bottom"/>
            <w:gridSpan w:val="4"/>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15,199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Arial" w:cs="Arial" w:eastAsia="Arial" w:hAnsi="Arial"/>
                <w:sz w:val="17"/>
                <w:szCs w:val="17"/>
                <w:color w:val="auto"/>
              </w:rPr>
              <w:t>Receivables from statutory authorities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7"/>
                <w:szCs w:val="17"/>
                <w:color w:val="auto"/>
              </w:rPr>
              <w:t>13,929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18,023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Prepaid expenses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13,723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14,655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Arial" w:cs="Arial" w:eastAsia="Arial" w:hAnsi="Arial"/>
                <w:sz w:val="17"/>
                <w:szCs w:val="17"/>
                <w:color w:val="auto"/>
              </w:rPr>
              <w:t>Advances to suppliers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7"/>
                <w:szCs w:val="17"/>
                <w:color w:val="auto"/>
              </w:rPr>
              <w:t>1,834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1,464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contract fulfillment costs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1,793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Arial" w:cs="Arial" w:eastAsia="Arial" w:hAnsi="Arial"/>
                <w:sz w:val="17"/>
                <w:szCs w:val="17"/>
                <w:color w:val="auto"/>
              </w:rPr>
              <w:t>Derivative instruments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7"/>
                <w:szCs w:val="17"/>
                <w:color w:val="auto"/>
              </w:rPr>
              <w:t>1,362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8,682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Contract assets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564</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Others</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2,264</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2,146</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54,509</w:t>
            </w:r>
          </w:p>
        </w:tc>
        <w:tc>
          <w:tcPr>
            <w:tcW w:w="60" w:type="dxa"/>
            <w:vAlign w:val="bottom"/>
            <w:tcBorders>
              <w:bottom w:val="single" w:sz="8" w:color="auto"/>
            </w:tcBorders>
            <w:gridSpan w:val="2"/>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center"/>
              <w:ind w:right="53"/>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62,971</w:t>
            </w:r>
          </w:p>
        </w:tc>
        <w:tc>
          <w:tcPr>
            <w:tcW w:w="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12. Other Assets</w:t>
            </w: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1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40" w:type="dxa"/>
            <w:vAlign w:val="bottom"/>
          </w:tcPr>
          <w:p>
            <w:pPr>
              <w:spacing w:after="0"/>
              <w:rPr>
                <w:sz w:val="24"/>
                <w:szCs w:val="24"/>
                <w:color w:val="auto"/>
              </w:rPr>
            </w:pPr>
          </w:p>
        </w:tc>
        <w:tc>
          <w:tcPr>
            <w:tcW w:w="6840" w:type="dxa"/>
            <w:vAlign w:val="bottom"/>
            <w:gridSpan w:val="2"/>
          </w:tcPr>
          <w:p>
            <w:pPr>
              <w:ind w:left="60"/>
              <w:spacing w:after="0"/>
              <w:rPr>
                <w:sz w:val="20"/>
                <w:szCs w:val="20"/>
                <w:color w:val="auto"/>
              </w:rPr>
            </w:pPr>
            <w:r>
              <w:rPr>
                <w:rFonts w:ascii="Arial" w:cs="Arial" w:eastAsia="Arial" w:hAnsi="Arial"/>
                <w:sz w:val="17"/>
                <w:szCs w:val="17"/>
                <w:color w:val="auto"/>
              </w:rPr>
              <w:t>Other assets consist of the following:</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4"/>
          </w:tcPr>
          <w:p>
            <w:pPr>
              <w:spacing w:after="0"/>
              <w:rPr>
                <w:sz w:val="20"/>
                <w:szCs w:val="20"/>
                <w:color w:val="auto"/>
              </w:rPr>
            </w:pPr>
            <w:r>
              <w:rPr>
                <w:rFonts w:ascii="Arial" w:cs="Arial" w:eastAsia="Arial" w:hAnsi="Arial"/>
                <w:sz w:val="14"/>
                <w:szCs w:val="14"/>
                <w:b w:val="1"/>
                <w:bCs w:val="1"/>
                <w:color w:val="auto"/>
              </w:rPr>
              <w:t>As of</w:t>
            </w: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7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September 30, 2022</w:t>
            </w:r>
          </w:p>
        </w:tc>
        <w:tc>
          <w:tcPr>
            <w:tcW w:w="8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5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0"/>
              </w:rPr>
              <w:t>December 31, 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contract fulfillment costs</w:t>
            </w:r>
          </w:p>
        </w:tc>
        <w:tc>
          <w:tcPr>
            <w:tcW w:w="26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10,168</w:t>
            </w:r>
          </w:p>
        </w:tc>
        <w:tc>
          <w:tcPr>
            <w:tcW w:w="80" w:type="dxa"/>
            <w:vAlign w:val="bottom"/>
            <w:shd w:val="clear" w:color="auto" w:fill="CCEEFF"/>
          </w:tcPr>
          <w:p>
            <w:pPr>
              <w:spacing w:after="0"/>
              <w:rPr>
                <w:sz w:val="19"/>
                <w:szCs w:val="19"/>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Arial" w:cs="Arial" w:eastAsia="Arial" w:hAnsi="Arial"/>
                <w:sz w:val="17"/>
                <w:szCs w:val="17"/>
                <w:color w:val="auto"/>
              </w:rPr>
              <w:t>Lease deposits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8,592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9,649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Deposits with statutory authorities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Arial" w:cs="Arial" w:eastAsia="Arial" w:hAnsi="Arial"/>
                <w:sz w:val="17"/>
                <w:szCs w:val="17"/>
                <w:color w:val="auto"/>
              </w:rPr>
              <w:t>Contract assets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1,205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Receivable from statutory authorities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Arial" w:cs="Arial" w:eastAsia="Arial" w:hAnsi="Arial"/>
                <w:sz w:val="17"/>
                <w:szCs w:val="17"/>
                <w:color w:val="auto"/>
              </w:rPr>
              <w:t>Derivative instruments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6,307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Others</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260" w:type="dxa"/>
            <w:vAlign w:val="bottom"/>
            <w:gridSpan w:val="2"/>
          </w:tcPr>
          <w:p>
            <w:pPr>
              <w:jc w:val="right"/>
              <w:ind w:right="7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29,838</w:t>
            </w:r>
          </w:p>
        </w:tc>
        <w:tc>
          <w:tcPr>
            <w:tcW w:w="80" w:type="dxa"/>
            <w:vAlign w:val="bottom"/>
          </w:tcPr>
          <w:p>
            <w:pPr>
              <w:spacing w:after="0"/>
              <w:rPr>
                <w:sz w:val="18"/>
                <w:szCs w:val="18"/>
                <w:color w:val="auto"/>
              </w:rPr>
            </w:pPr>
          </w:p>
        </w:tc>
        <w:tc>
          <w:tcPr>
            <w:tcW w:w="1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30,183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20"/>
          </w:cols>
          <w:pgMar w:left="320" w:top="121"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Accrued Expenses and Other Current Liabilities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Accrued expenses and other current liabilities consist of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As of</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September 30, 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6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Accrued expenses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47,351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15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44,405</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6920" w:type="dxa"/>
            <w:vAlign w:val="bottom"/>
            <w:gridSpan w:val="2"/>
          </w:tcPr>
          <w:p>
            <w:pPr>
              <w:ind w:left="20"/>
              <w:spacing w:after="0"/>
              <w:rPr>
                <w:sz w:val="20"/>
                <w:szCs w:val="20"/>
                <w:color w:val="auto"/>
              </w:rPr>
            </w:pPr>
            <w:r>
              <w:rPr>
                <w:rFonts w:ascii="Arial" w:cs="Arial" w:eastAsia="Arial" w:hAnsi="Arial"/>
                <w:sz w:val="17"/>
                <w:szCs w:val="17"/>
                <w:color w:val="auto"/>
              </w:rPr>
              <w:t>Payable to statutory authorities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17,230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7"/>
                <w:szCs w:val="17"/>
                <w:color w:val="auto"/>
              </w:rPr>
              <w:t>13,902</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Derivative instruments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11,897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1,852</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6920" w:type="dxa"/>
            <w:vAlign w:val="bottom"/>
            <w:gridSpan w:val="2"/>
          </w:tcPr>
          <w:p>
            <w:pPr>
              <w:ind w:left="20"/>
              <w:spacing w:after="0"/>
              <w:rPr>
                <w:sz w:val="20"/>
                <w:szCs w:val="20"/>
                <w:color w:val="auto"/>
              </w:rPr>
            </w:pPr>
            <w:r>
              <w:rPr>
                <w:rFonts w:ascii="Arial" w:cs="Arial" w:eastAsia="Arial" w:hAnsi="Arial"/>
                <w:sz w:val="17"/>
                <w:szCs w:val="17"/>
                <w:color w:val="auto"/>
              </w:rPr>
              <w:t>Client liabilities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6,593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7"/>
                <w:szCs w:val="17"/>
                <w:color w:val="auto"/>
              </w:rPr>
              <w:t>6,097</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Contingent consideration</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6920" w:type="dxa"/>
            <w:vAlign w:val="bottom"/>
            <w:gridSpan w:val="2"/>
          </w:tcPr>
          <w:p>
            <w:pPr>
              <w:ind w:left="20"/>
              <w:spacing w:after="0"/>
              <w:rPr>
                <w:sz w:val="20"/>
                <w:szCs w:val="20"/>
                <w:color w:val="auto"/>
              </w:rPr>
            </w:pPr>
            <w:r>
              <w:rPr>
                <w:rFonts w:ascii="Arial" w:cs="Arial" w:eastAsia="Arial" w:hAnsi="Arial"/>
                <w:sz w:val="17"/>
                <w:szCs w:val="17"/>
                <w:color w:val="auto"/>
              </w:rPr>
              <w:t>Accrued capital expenditures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4,274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7"/>
                <w:szCs w:val="17"/>
                <w:color w:val="auto"/>
              </w:rPr>
              <w:t>8,630</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payable</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6920" w:type="dxa"/>
            <w:vAlign w:val="bottom"/>
            <w:gridSpan w:val="2"/>
          </w:tcPr>
          <w:p>
            <w:pPr>
              <w:ind w:left="20"/>
              <w:spacing w:after="0"/>
              <w:rPr>
                <w:sz w:val="20"/>
                <w:szCs w:val="20"/>
                <w:color w:val="auto"/>
              </w:rPr>
            </w:pPr>
            <w:r>
              <w:rPr>
                <w:rFonts w:ascii="Arial" w:cs="Arial" w:eastAsia="Arial" w:hAnsi="Arial"/>
                <w:sz w:val="17"/>
                <w:szCs w:val="17"/>
                <w:color w:val="auto"/>
              </w:rPr>
              <w:t>Finance lease liabilities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current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1,071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920" w:type="dxa"/>
            <w:vAlign w:val="bottom"/>
            <w:gridSpan w:val="2"/>
          </w:tcPr>
          <w:p>
            <w:pPr>
              <w:ind w:left="20"/>
              <w:spacing w:after="0"/>
              <w:rPr>
                <w:sz w:val="20"/>
                <w:szCs w:val="20"/>
                <w:color w:val="auto"/>
              </w:rPr>
            </w:pPr>
            <w:r>
              <w:rPr>
                <w:rFonts w:ascii="Arial" w:cs="Arial" w:eastAsia="Arial" w:hAnsi="Arial"/>
                <w:sz w:val="17"/>
                <w:szCs w:val="17"/>
                <w:color w:val="auto"/>
              </w:rPr>
              <w:t>Accrued expenses and other current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96,800</w:t>
            </w:r>
          </w:p>
        </w:tc>
        <w:tc>
          <w:tcPr>
            <w:tcW w:w="10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76,350</w:t>
            </w: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14. Other Non-Current Liabilities</w:t>
            </w: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72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60" w:type="dxa"/>
            <w:vAlign w:val="bottom"/>
          </w:tcPr>
          <w:p>
            <w:pPr>
              <w:spacing w:after="0"/>
              <w:rPr>
                <w:sz w:val="24"/>
                <w:szCs w:val="24"/>
                <w:color w:val="auto"/>
              </w:rPr>
            </w:pPr>
          </w:p>
        </w:tc>
        <w:tc>
          <w:tcPr>
            <w:tcW w:w="6920" w:type="dxa"/>
            <w:vAlign w:val="bottom"/>
            <w:gridSpan w:val="2"/>
          </w:tcPr>
          <w:p>
            <w:pPr>
              <w:ind w:left="80"/>
              <w:spacing w:after="0"/>
              <w:rPr>
                <w:sz w:val="20"/>
                <w:szCs w:val="20"/>
                <w:color w:val="auto"/>
              </w:rPr>
            </w:pPr>
            <w:r>
              <w:rPr>
                <w:rFonts w:ascii="Arial" w:cs="Arial" w:eastAsia="Arial" w:hAnsi="Arial"/>
                <w:sz w:val="17"/>
                <w:szCs w:val="17"/>
                <w:color w:val="auto"/>
              </w:rPr>
              <w:t>Other non-current liabilities consist of the following:</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As of</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6"/>
              </w:rPr>
              <w:t>September 30, 2022</w:t>
            </w:r>
          </w:p>
        </w:tc>
        <w:tc>
          <w:tcPr>
            <w:tcW w:w="10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3"/>
              </w:rPr>
              <w:t>December 31, 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Retirement benefits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14,506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7"/>
                <w:szCs w:val="17"/>
                <w:color w:val="auto"/>
              </w:rPr>
              <w:t>Derivative instruments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8,114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1,785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Contingent consideration</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6,159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7"/>
                <w:szCs w:val="17"/>
                <w:color w:val="auto"/>
              </w:rPr>
              <w:t>Deferred transition revenue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3,272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995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Unrecognized tax benefits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7"/>
                <w:szCs w:val="17"/>
                <w:color w:val="auto"/>
              </w:rPr>
              <w:t>Income taxes payable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1,790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1,790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Finance lease liabilities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916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37,243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Accumulated Other Comprehensive Income/(Loss)</w:t>
      </w:r>
    </w:p>
    <w:p>
      <w:pPr>
        <w:spacing w:after="0" w:line="243" w:lineRule="exact"/>
        <w:rPr>
          <w:sz w:val="20"/>
          <w:szCs w:val="20"/>
          <w:color w:val="auto"/>
        </w:rPr>
      </w:pPr>
    </w:p>
    <w:p>
      <w:pPr>
        <w:jc w:val="both"/>
        <w:ind w:firstLine="393"/>
        <w:spacing w:after="0" w:line="243" w:lineRule="auto"/>
        <w:rPr>
          <w:sz w:val="20"/>
          <w:szCs w:val="20"/>
          <w:color w:val="auto"/>
        </w:rPr>
      </w:pPr>
      <w:r>
        <w:rPr>
          <w:rFonts w:ascii="Arial" w:cs="Arial" w:eastAsia="Arial" w:hAnsi="Arial"/>
          <w:sz w:val="17"/>
          <w:szCs w:val="17"/>
          <w:color w:val="auto"/>
        </w:rPr>
        <w:t>Accumulated other comprehensive income/(loss) (“AOCI”) consists of actuarial gain/(loss) on retirement benefits and foreign currency translation adjustments. In addition, the Company enters into foreign currency forward contracts and interest rate swaps, which are designated as cash flow hedges and net investment hedges, as applicable, in accordance with ASC 815. Cumulative changes in the fair values of cash flow hedges are recognized in AOCI on the Company’s consolidated balance sheets. The fair value changes are reclassified from AOCI to unaudited consolidated statements of income upon settlement of foreign currency forward contracts designated as cash flow hedges of a forecast transaction, whereas such changes are for interest rate swaps are reclassified over the term of the contract. Fair value changes related to net investment hedges are included in AOCI and are reclassified to unaudited consolidated statements of income when a foreign operation is disposed or partially disposed. The following table sets forth the changes in AOCI for the nine months ended September 30, 2022 and 2021:</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80"/>
        <w:spacing w:after="0"/>
        <w:rPr>
          <w:sz w:val="20"/>
          <w:szCs w:val="20"/>
          <w:color w:val="auto"/>
        </w:rPr>
      </w:pPr>
      <w:r>
        <w:rPr>
          <w:rFonts w:ascii="Arial" w:cs="Arial" w:eastAsia="Arial" w:hAnsi="Arial"/>
          <w:sz w:val="17"/>
          <w:szCs w:val="17"/>
          <w:b w:val="1"/>
          <w:bCs w:val="1"/>
          <w:color w:val="auto"/>
        </w:rPr>
        <w:t>Accumulated Other Comprehensive Income/(Loss)</w:t>
      </w:r>
    </w:p>
    <w:p>
      <w:pPr>
        <w:spacing w:after="0" w:line="32" w:lineRule="exact"/>
        <w:rPr>
          <w:sz w:val="20"/>
          <w:szCs w:val="20"/>
          <w:color w:val="auto"/>
        </w:rPr>
      </w:pPr>
    </w:p>
    <w:tbl>
      <w:tblPr>
        <w:tblLayout w:type="fixed"/>
        <w:tblInd w:w="1280" w:type="dxa"/>
        <w:tblCellMar>
          <w:top w:w="0" w:type="dxa"/>
          <w:left w:w="0" w:type="dxa"/>
          <w:bottom w:w="0" w:type="dxa"/>
          <w:right w:w="0" w:type="dxa"/>
        </w:tblCellMar>
      </w:tblPr>
      <w:tr>
        <w:trPr>
          <w:trHeight w:val="128"/>
        </w:trPr>
        <w:tc>
          <w:tcPr>
            <w:tcW w:w="4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Foreign currency</w:t>
            </w: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0"/>
              </w:rPr>
              <w:t>Unrealized</w:t>
            </w: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2"/>
              </w:rPr>
              <w:t>Retirement</w:t>
            </w: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34"/>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1"/>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86"/>
              </w:rPr>
              <w:t>translation loss</w:t>
            </w:r>
          </w:p>
        </w:tc>
        <w:tc>
          <w:tcPr>
            <w:tcW w:w="138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5"/>
              </w:rPr>
              <w:t>gain/(loss) on cash</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85"/>
              </w:rPr>
              <w:t>benefits</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3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6"/>
              </w:rPr>
              <w:t>flow hedges</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January 1, 2022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(95,437)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(89,474)</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7"/>
                <w:szCs w:val="17"/>
                <w:color w:val="auto"/>
              </w:rPr>
              <w:t>Losses recognized during the period</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(49,371)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(28,638)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(78,009)</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 xml:space="preserve">Reclassification to net income </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(1,430)</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7"/>
                <w:szCs w:val="17"/>
                <w:color w:val="auto"/>
              </w:rPr>
              <w:t xml:space="preserve">Income tax effects </w:t>
            </w:r>
            <w:r>
              <w:rPr>
                <w:rFonts w:ascii="Arial" w:cs="Arial" w:eastAsia="Arial" w:hAnsi="Arial"/>
                <w:sz w:val="22"/>
                <w:szCs w:val="22"/>
                <w:color w:val="auto"/>
                <w:vertAlign w:val="superscript"/>
              </w:rPr>
              <w:t>(2)</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14,710</w:t>
            </w:r>
          </w:p>
        </w:tc>
        <w:tc>
          <w:tcPr>
            <w:tcW w:w="0" w:type="dxa"/>
            <w:vAlign w:val="bottom"/>
          </w:tcPr>
          <w:p>
            <w:pPr>
              <w:spacing w:after="0"/>
              <w:rPr>
                <w:sz w:val="1"/>
                <w:szCs w:val="1"/>
                <w:color w:val="auto"/>
              </w:rPr>
            </w:pPr>
          </w:p>
        </w:tc>
      </w:tr>
      <w:tr>
        <w:trPr>
          <w:trHeight w:val="151"/>
        </w:trPr>
        <w:tc>
          <w:tcPr>
            <w:tcW w:w="4320" w:type="dxa"/>
            <w:vAlign w:val="bottom"/>
            <w:shd w:val="clear" w:color="auto" w:fill="CCEEFF"/>
          </w:tcPr>
          <w:p>
            <w:pPr>
              <w:ind w:left="20"/>
              <w:spacing w:after="0" w:line="151" w:lineRule="exact"/>
              <w:rPr>
                <w:sz w:val="20"/>
                <w:szCs w:val="20"/>
                <w:color w:val="auto"/>
              </w:rPr>
            </w:pPr>
            <w:r>
              <w:rPr>
                <w:rFonts w:ascii="Arial" w:cs="Arial" w:eastAsia="Arial" w:hAnsi="Arial"/>
                <w:sz w:val="17"/>
                <w:szCs w:val="17"/>
                <w:color w:val="auto"/>
              </w:rPr>
              <w:t>Accumulated other comprehensive income/(loss) as of</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(135,910)</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(16,151)</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(2,142)</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(154,203)</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September 30, 2022</w:t>
            </w: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January 1, 2021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(74,984)</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7"/>
                <w:szCs w:val="17"/>
                <w:color w:val="auto"/>
              </w:rPr>
              <w:t>Losses recognized during the period</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(10,475)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(10,517)</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Losses on net investment hedges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(1,134)</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line="223" w:lineRule="exact"/>
              <w:rPr>
                <w:sz w:val="20"/>
                <w:szCs w:val="20"/>
                <w:color w:val="auto"/>
              </w:rPr>
            </w:pPr>
            <w:r>
              <w:rPr>
                <w:rFonts w:ascii="Arial" w:cs="Arial" w:eastAsia="Arial" w:hAnsi="Arial"/>
                <w:sz w:val="17"/>
                <w:szCs w:val="17"/>
                <w:color w:val="auto"/>
              </w:rPr>
              <w:t xml:space="preserve">Reclassification to net income </w:t>
            </w:r>
            <w:r>
              <w:rPr>
                <w:rFonts w:ascii="Arial" w:cs="Arial" w:eastAsia="Arial" w:hAnsi="Arial"/>
                <w:sz w:val="22"/>
                <w:szCs w:val="22"/>
                <w:color w:val="auto"/>
                <w:vertAlign w:val="superscript"/>
              </w:rPr>
              <w:t>(1)</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(7,845)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(7,312)</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 xml:space="preserve">Income tax effects </w:t>
            </w:r>
            <w:r>
              <w:rPr>
                <w:rFonts w:ascii="Arial" w:cs="Arial" w:eastAsia="Arial" w:hAnsi="Arial"/>
                <w:sz w:val="22"/>
                <w:szCs w:val="22"/>
                <w:color w:val="auto"/>
                <w:vertAlign w:val="superscript"/>
              </w:rPr>
              <w:t>(2)</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1,690</w:t>
            </w:r>
          </w:p>
        </w:tc>
        <w:tc>
          <w:tcPr>
            <w:tcW w:w="0" w:type="dxa"/>
            <w:vAlign w:val="bottom"/>
          </w:tcPr>
          <w:p>
            <w:pPr>
              <w:spacing w:after="0"/>
              <w:rPr>
                <w:sz w:val="1"/>
                <w:szCs w:val="1"/>
                <w:color w:val="auto"/>
              </w:rPr>
            </w:pPr>
          </w:p>
        </w:tc>
      </w:tr>
      <w:tr>
        <w:trPr>
          <w:trHeight w:val="151"/>
        </w:trPr>
        <w:tc>
          <w:tcPr>
            <w:tcW w:w="4320" w:type="dxa"/>
            <w:vAlign w:val="bottom"/>
          </w:tcPr>
          <w:p>
            <w:pPr>
              <w:ind w:left="20"/>
              <w:spacing w:after="0" w:line="151" w:lineRule="exact"/>
              <w:rPr>
                <w:sz w:val="20"/>
                <w:szCs w:val="20"/>
                <w:color w:val="auto"/>
              </w:rPr>
            </w:pPr>
            <w:r>
              <w:rPr>
                <w:rFonts w:ascii="Arial" w:cs="Arial" w:eastAsia="Arial" w:hAnsi="Arial"/>
                <w:sz w:val="17"/>
                <w:szCs w:val="17"/>
                <w:color w:val="auto"/>
              </w:rPr>
              <w:t>Accumulated other comprehensive income/(loss) as of</w:t>
            </w:r>
          </w:p>
        </w:tc>
        <w:tc>
          <w:tcPr>
            <w:tcW w:w="10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(95,935)</w:t>
            </w:r>
          </w:p>
        </w:tc>
        <w:tc>
          <w:tcPr>
            <w:tcW w:w="100" w:type="dxa"/>
            <w:vAlign w:val="bottom"/>
          </w:tcPr>
          <w:p>
            <w:pPr>
              <w:spacing w:after="0"/>
              <w:rPr>
                <w:sz w:val="13"/>
                <w:szCs w:val="13"/>
                <w:color w:val="auto"/>
              </w:rPr>
            </w:pPr>
          </w:p>
        </w:tc>
        <w:tc>
          <w:tcPr>
            <w:tcW w:w="200" w:type="dxa"/>
            <w:vAlign w:val="bottom"/>
            <w:vMerge w:val="restart"/>
          </w:tcPr>
          <w:p>
            <w:pPr>
              <w:jc w:val="right"/>
              <w:ind w:right="16"/>
              <w:spacing w:after="0"/>
              <w:rPr>
                <w:sz w:val="20"/>
                <w:szCs w:val="20"/>
                <w:color w:val="auto"/>
              </w:rPr>
            </w:pPr>
            <w:r>
              <w:rPr>
                <w:rFonts w:ascii="Arial" w:cs="Arial" w:eastAsia="Arial" w:hAnsi="Arial"/>
                <w:sz w:val="17"/>
                <w:szCs w:val="17"/>
                <w:color w:val="auto"/>
                <w:w w:val="84"/>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5,897</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(2,219)</w:t>
            </w:r>
          </w:p>
        </w:tc>
        <w:tc>
          <w:tcPr>
            <w:tcW w:w="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(92,257)</w:t>
            </w:r>
          </w:p>
        </w:tc>
        <w:tc>
          <w:tcPr>
            <w:tcW w:w="0" w:type="dxa"/>
            <w:vAlign w:val="bottom"/>
          </w:tcPr>
          <w:p>
            <w:pPr>
              <w:spacing w:after="0"/>
              <w:rPr>
                <w:sz w:val="1"/>
                <w:szCs w:val="1"/>
                <w:color w:val="auto"/>
              </w:rPr>
            </w:pPr>
          </w:p>
        </w:tc>
      </w:tr>
      <w:tr>
        <w:trPr>
          <w:trHeight w:val="214"/>
        </w:trPr>
        <w:tc>
          <w:tcPr>
            <w:tcW w:w="4320" w:type="dxa"/>
            <w:vAlign w:val="bottom"/>
          </w:tcPr>
          <w:p>
            <w:pPr>
              <w:ind w:left="20"/>
              <w:spacing w:after="0"/>
              <w:rPr>
                <w:sz w:val="20"/>
                <w:szCs w:val="20"/>
                <w:color w:val="auto"/>
              </w:rPr>
            </w:pPr>
            <w:r>
              <w:rPr>
                <w:rFonts w:ascii="Arial" w:cs="Arial" w:eastAsia="Arial" w:hAnsi="Arial"/>
                <w:sz w:val="17"/>
                <w:szCs w:val="17"/>
                <w:color w:val="auto"/>
              </w:rPr>
              <w:t>September 30, 2021</w:t>
            </w:r>
          </w:p>
        </w:tc>
        <w:tc>
          <w:tcPr>
            <w:tcW w:w="10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480" w:right="220" w:hanging="160"/>
        <w:spacing w:after="0" w:line="243" w:lineRule="auto"/>
        <w:tabs>
          <w:tab w:leader="none" w:pos="471" w:val="left"/>
        </w:tabs>
        <w:numPr>
          <w:ilvl w:val="1"/>
          <w:numId w:val="8"/>
        </w:numPr>
        <w:rPr>
          <w:rFonts w:ascii="Arial" w:cs="Arial" w:eastAsia="Arial" w:hAnsi="Arial"/>
          <w:sz w:val="10"/>
          <w:szCs w:val="10"/>
          <w:i w:val="1"/>
          <w:iCs w:val="1"/>
          <w:color w:val="auto"/>
        </w:rPr>
      </w:pPr>
      <w:r>
        <w:rPr>
          <w:rFonts w:ascii="Arial" w:cs="Arial" w:eastAsia="Arial" w:hAnsi="Arial"/>
          <w:sz w:val="16"/>
          <w:szCs w:val="16"/>
          <w:i w:val="1"/>
          <w:iCs w:val="1"/>
          <w:color w:val="auto"/>
        </w:rPr>
        <w:t>Refer to Note 17 - Derivatives and Hedge Accounting and Note 20 - Employee Benefit Plans to the unaudited consolidated financial statements for reclassification to net income.</w:t>
      </w:r>
    </w:p>
    <w:p>
      <w:pPr>
        <w:spacing w:after="0" w:line="217" w:lineRule="exact"/>
        <w:rPr>
          <w:rFonts w:ascii="Arial" w:cs="Arial" w:eastAsia="Arial" w:hAnsi="Arial"/>
          <w:sz w:val="10"/>
          <w:szCs w:val="10"/>
          <w:i w:val="1"/>
          <w:iCs w:val="1"/>
          <w:color w:val="auto"/>
        </w:rPr>
      </w:pPr>
    </w:p>
    <w:p>
      <w:pPr>
        <w:ind w:left="480" w:right="280" w:hanging="160"/>
        <w:spacing w:after="0" w:line="260" w:lineRule="auto"/>
        <w:tabs>
          <w:tab w:leader="none" w:pos="471" w:val="left"/>
        </w:tabs>
        <w:numPr>
          <w:ilvl w:val="1"/>
          <w:numId w:val="8"/>
        </w:numPr>
        <w:rPr>
          <w:rFonts w:ascii="Arial" w:cs="Arial" w:eastAsia="Arial" w:hAnsi="Arial"/>
          <w:sz w:val="10"/>
          <w:szCs w:val="10"/>
          <w:i w:val="1"/>
          <w:iCs w:val="1"/>
          <w:color w:val="auto"/>
        </w:rPr>
      </w:pPr>
      <w:r>
        <w:rPr>
          <w:rFonts w:ascii="Arial" w:cs="Arial" w:eastAsia="Arial" w:hAnsi="Arial"/>
          <w:sz w:val="16"/>
          <w:szCs w:val="16"/>
          <w:i w:val="1"/>
          <w:iCs w:val="1"/>
          <w:color w:val="auto"/>
        </w:rPr>
        <w:t>These are income tax effects recognized on cash flow hedges, retirement benefits and foreign currency translation loss. Refer to Note 22 - Income Taxes to the unaudited consolidated financial statements.</w:t>
      </w:r>
    </w:p>
    <w:p>
      <w:pPr>
        <w:spacing w:after="0" w:line="200" w:lineRule="exact"/>
        <w:rPr>
          <w:rFonts w:ascii="Arial" w:cs="Arial" w:eastAsia="Arial" w:hAnsi="Arial"/>
          <w:sz w:val="10"/>
          <w:szCs w:val="10"/>
          <w:i w:val="1"/>
          <w:iCs w:val="1"/>
          <w:color w:val="auto"/>
        </w:rPr>
      </w:pPr>
    </w:p>
    <w:p>
      <w:pPr>
        <w:spacing w:after="0" w:line="323" w:lineRule="exact"/>
        <w:rPr>
          <w:rFonts w:ascii="Arial" w:cs="Arial" w:eastAsia="Arial" w:hAnsi="Arial"/>
          <w:sz w:val="10"/>
          <w:szCs w:val="10"/>
          <w:i w:val="1"/>
          <w:iCs w:val="1"/>
          <w:color w:val="auto"/>
        </w:rPr>
      </w:pPr>
    </w:p>
    <w:p>
      <w:pPr>
        <w:ind w:left="260" w:hanging="255"/>
        <w:spacing w:after="0"/>
        <w:tabs>
          <w:tab w:leader="none" w:pos="26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and Liabilities Measured at Fair Value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the Company’s assets and liabilities that were recognized at fair value:</w:t>
      </w:r>
    </w:p>
    <w:p>
      <w:pPr>
        <w:spacing w:after="0" w:line="21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Quoted Prices</w:t>
            </w:r>
          </w:p>
        </w:tc>
        <w:tc>
          <w:tcPr>
            <w:tcW w:w="28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Significant</w:t>
            </w:r>
          </w:p>
        </w:tc>
        <w:tc>
          <w:tcPr>
            <w:tcW w:w="24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Significant</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89"/>
              </w:rPr>
              <w:t>in Active</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0"/>
              </w:rPr>
              <w:t>Other</w:t>
            </w: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95"/>
              </w:rPr>
              <w:t>Markets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w w:val="89"/>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88"/>
              </w:rPr>
              <w:t>Unobservable</w:t>
            </w: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Identical Assets</w:t>
            </w:r>
          </w:p>
        </w:tc>
        <w:tc>
          <w:tcPr>
            <w:tcW w:w="280" w:type="dxa"/>
            <w:vAlign w:val="bottom"/>
          </w:tcPr>
          <w:p>
            <w:pPr>
              <w:spacing w:after="0"/>
              <w:rPr>
                <w:sz w:val="16"/>
                <w:szCs w:val="16"/>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Inputs</w:t>
            </w:r>
          </w:p>
        </w:tc>
        <w:tc>
          <w:tcPr>
            <w:tcW w:w="24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Inputs</w:t>
            </w: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As of September 30, 2022</w:t>
            </w:r>
          </w:p>
        </w:tc>
        <w:tc>
          <w:tcPr>
            <w:tcW w:w="22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1"/>
              </w:rPr>
              <w:t>(Level 2)</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40" w:type="dxa"/>
            <w:vAlign w:val="bottom"/>
          </w:tcPr>
          <w:p>
            <w:pPr>
              <w:ind w:left="20"/>
              <w:spacing w:after="0"/>
              <w:rPr>
                <w:sz w:val="20"/>
                <w:szCs w:val="20"/>
                <w:color w:val="auto"/>
              </w:rPr>
            </w:pPr>
            <w:r>
              <w:rPr>
                <w:rFonts w:ascii="Arial" w:cs="Arial" w:eastAsia="Arial" w:hAnsi="Arial"/>
                <w:sz w:val="17"/>
                <w:szCs w:val="17"/>
                <w:color w:val="auto"/>
              </w:rPr>
              <w:t>Cash equivalents - Money market funds*</w:t>
            </w: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2,085</w:t>
            </w:r>
          </w:p>
        </w:tc>
        <w:tc>
          <w:tcPr>
            <w:tcW w:w="100" w:type="dxa"/>
            <w:vAlign w:val="bottom"/>
          </w:tcPr>
          <w:p>
            <w:pPr>
              <w:spacing w:after="0"/>
              <w:rPr>
                <w:sz w:val="21"/>
                <w:szCs w:val="21"/>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Mutual funds**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Derivative financial instruments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6"/>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101,520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financial instruments</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4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Contingent consideration***</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11,439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36"/>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20,011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11,439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88"/>
              </w:rPr>
              <w:t>Quoted Prices</w:t>
            </w:r>
          </w:p>
        </w:tc>
        <w:tc>
          <w:tcPr>
            <w:tcW w:w="2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b w:val="1"/>
                <w:bCs w:val="1"/>
                <w:color w:val="auto"/>
                <w:w w:val="89"/>
              </w:rPr>
              <w:t>Significant</w:t>
            </w:r>
          </w:p>
        </w:tc>
        <w:tc>
          <w:tcPr>
            <w:tcW w:w="2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92"/>
              </w:rPr>
              <w:t>Significant</w:t>
            </w: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4"/>
                <w:szCs w:val="14"/>
                <w:b w:val="1"/>
                <w:bCs w:val="1"/>
                <w:color w:val="auto"/>
                <w:w w:val="89"/>
              </w:rPr>
              <w:t>in Active</w:t>
            </w:r>
          </w:p>
        </w:tc>
        <w:tc>
          <w:tcPr>
            <w:tcW w:w="28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center"/>
              <w:ind w:right="380"/>
              <w:spacing w:after="0" w:line="135"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Other</w:t>
            </w: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320"/>
              <w:spacing w:after="0" w:line="145" w:lineRule="exact"/>
              <w:rPr>
                <w:sz w:val="20"/>
                <w:szCs w:val="20"/>
                <w:color w:val="auto"/>
              </w:rPr>
            </w:pPr>
            <w:r>
              <w:rPr>
                <w:rFonts w:ascii="Arial" w:cs="Arial" w:eastAsia="Arial" w:hAnsi="Arial"/>
                <w:sz w:val="14"/>
                <w:szCs w:val="14"/>
                <w:b w:val="1"/>
                <w:bCs w:val="1"/>
                <w:color w:val="auto"/>
                <w:w w:val="95"/>
              </w:rPr>
              <w:t>Markets for</w:t>
            </w:r>
          </w:p>
        </w:tc>
        <w:tc>
          <w:tcPr>
            <w:tcW w:w="2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center"/>
              <w:ind w:right="380"/>
              <w:spacing w:after="0" w:line="145" w:lineRule="exact"/>
              <w:rPr>
                <w:sz w:val="20"/>
                <w:szCs w:val="20"/>
                <w:color w:val="auto"/>
              </w:rPr>
            </w:pPr>
            <w:r>
              <w:rPr>
                <w:rFonts w:ascii="Arial" w:cs="Arial" w:eastAsia="Arial" w:hAnsi="Arial"/>
                <w:sz w:val="14"/>
                <w:szCs w:val="14"/>
                <w:b w:val="1"/>
                <w:bCs w:val="1"/>
                <w:color w:val="auto"/>
                <w:w w:val="89"/>
              </w:rPr>
              <w:t>Observable</w:t>
            </w:r>
          </w:p>
        </w:tc>
        <w:tc>
          <w:tcPr>
            <w:tcW w:w="2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360"/>
              <w:spacing w:after="0" w:line="145" w:lineRule="exact"/>
              <w:rPr>
                <w:sz w:val="20"/>
                <w:szCs w:val="20"/>
                <w:color w:val="auto"/>
              </w:rPr>
            </w:pPr>
            <w:r>
              <w:rPr>
                <w:rFonts w:ascii="Arial" w:cs="Arial" w:eastAsia="Arial" w:hAnsi="Arial"/>
                <w:sz w:val="14"/>
                <w:szCs w:val="14"/>
                <w:b w:val="1"/>
                <w:bCs w:val="1"/>
                <w:color w:val="auto"/>
                <w:w w:val="88"/>
              </w:rPr>
              <w:t>Unobservable</w:t>
            </w: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45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86"/>
              </w:rPr>
              <w:t>Identical Assets</w:t>
            </w:r>
          </w:p>
        </w:tc>
        <w:tc>
          <w:tcPr>
            <w:tcW w:w="2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4"/>
                <w:szCs w:val="14"/>
                <w:b w:val="1"/>
                <w:bCs w:val="1"/>
                <w:color w:val="auto"/>
                <w:w w:val="90"/>
              </w:rPr>
              <w:t>Inputs</w:t>
            </w:r>
          </w:p>
        </w:tc>
        <w:tc>
          <w:tcPr>
            <w:tcW w:w="2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90"/>
              </w:rPr>
              <w:t>Inputs</w:t>
            </w:r>
          </w:p>
        </w:tc>
        <w:tc>
          <w:tcPr>
            <w:tcW w:w="3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As of December 31, 2021</w:t>
            </w:r>
          </w:p>
        </w:tc>
        <w:tc>
          <w:tcPr>
            <w:tcW w:w="22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1"/>
              </w:rPr>
              <w:t>(Level 2)</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6"/>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540" w:type="dxa"/>
            <w:vAlign w:val="bottom"/>
          </w:tcPr>
          <w:p>
            <w:pPr>
              <w:ind w:left="20"/>
              <w:spacing w:after="0"/>
              <w:rPr>
                <w:sz w:val="20"/>
                <w:szCs w:val="20"/>
                <w:color w:val="auto"/>
              </w:rPr>
            </w:pPr>
            <w:r>
              <w:rPr>
                <w:rFonts w:ascii="Arial" w:cs="Arial" w:eastAsia="Arial" w:hAnsi="Arial"/>
                <w:sz w:val="17"/>
                <w:szCs w:val="17"/>
                <w:color w:val="auto"/>
              </w:rPr>
              <w:t>Cash equivalents - Money market funds*</w:t>
            </w: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5,374</w:t>
            </w:r>
          </w:p>
        </w:tc>
        <w:tc>
          <w:tcPr>
            <w:tcW w:w="100" w:type="dxa"/>
            <w:vAlign w:val="bottom"/>
          </w:tcPr>
          <w:p>
            <w:pPr>
              <w:spacing w:after="0"/>
              <w:rPr>
                <w:sz w:val="21"/>
                <w:szCs w:val="21"/>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Mutual funds**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127,551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Derivative financial instruments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14,989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36"/>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132,925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14,989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financial instruments</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4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Contingent consideration***</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36"/>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Represents money market funds which are carried at the fair value option under ASC Topic 825 “Financial Instruments”.</w:t>
      </w:r>
    </w:p>
    <w:p>
      <w:pPr>
        <w:spacing w:after="0" w:line="250" w:lineRule="exact"/>
        <w:rPr>
          <w:sz w:val="20"/>
          <w:szCs w:val="20"/>
          <w:color w:val="auto"/>
        </w:rPr>
      </w:pPr>
    </w:p>
    <w:p>
      <w:pPr>
        <w:ind w:left="220" w:hanging="215"/>
        <w:spacing w:after="0"/>
        <w:tabs>
          <w:tab w:leader="none" w:pos="2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Represents those short-term investments which are carried at the fair value option under ASC Topic 825 “Financial Instruments”.</w:t>
      </w:r>
    </w:p>
    <w:p>
      <w:pPr>
        <w:spacing w:after="0" w:line="250" w:lineRule="exact"/>
        <w:rPr>
          <w:rFonts w:ascii="Arial" w:cs="Arial" w:eastAsia="Arial" w:hAnsi="Arial"/>
          <w:sz w:val="17"/>
          <w:szCs w:val="17"/>
          <w:i w:val="1"/>
          <w:iCs w:val="1"/>
          <w:color w:val="auto"/>
        </w:rPr>
      </w:pPr>
    </w:p>
    <w:p>
      <w:pPr>
        <w:ind w:right="160" w:firstLine="5"/>
        <w:spacing w:after="0" w:line="264" w:lineRule="auto"/>
        <w:tabs>
          <w:tab w:leader="none" w:pos="306"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Contingent consideration is presented under “Accrued Expenses and Other Current Liabilities” and “Other Non-Current Liabilities,” as applicable, in the consolidated balance sheets.</w:t>
      </w:r>
    </w:p>
    <w:p>
      <w:pPr>
        <w:spacing w:after="0" w:line="1" w:lineRule="exact"/>
        <w:rPr>
          <w:rFonts w:ascii="Arial" w:cs="Arial" w:eastAsia="Arial" w:hAnsi="Arial"/>
          <w:sz w:val="17"/>
          <w:szCs w:val="17"/>
          <w:i w:val="1"/>
          <w:iCs w:val="1"/>
          <w:color w:val="auto"/>
        </w:rPr>
      </w:pPr>
    </w:p>
    <w:p>
      <w:pPr>
        <w:spacing w:after="0"/>
        <w:rPr>
          <w:rFonts w:ascii="Arial" w:cs="Arial" w:eastAsia="Arial" w:hAnsi="Arial"/>
          <w:sz w:val="17"/>
          <w:szCs w:val="17"/>
          <w:i w:val="1"/>
          <w:iCs w:val="1"/>
          <w:color w:val="auto"/>
        </w:rPr>
      </w:pPr>
      <w:r>
        <w:rPr>
          <w:rFonts w:ascii="Arial" w:cs="Arial" w:eastAsia="Arial" w:hAnsi="Arial"/>
          <w:sz w:val="17"/>
          <w:szCs w:val="17"/>
          <w:i w:val="1"/>
          <w:iCs w:val="1"/>
          <w:color w:val="auto"/>
        </w:rPr>
        <w:t>Derivative Financial Instruments:</w:t>
      </w:r>
    </w:p>
    <w:p>
      <w:pPr>
        <w:spacing w:after="0" w:line="225" w:lineRule="exact"/>
        <w:rPr>
          <w:sz w:val="20"/>
          <w:szCs w:val="20"/>
          <w:color w:val="auto"/>
        </w:rPr>
      </w:pPr>
    </w:p>
    <w:p>
      <w:pPr>
        <w:jc w:val="both"/>
        <w:ind w:right="100" w:firstLine="393"/>
        <w:spacing w:after="0" w:line="273" w:lineRule="auto"/>
        <w:rPr>
          <w:sz w:val="20"/>
          <w:szCs w:val="20"/>
          <w:color w:val="auto"/>
        </w:rPr>
      </w:pPr>
      <w:r>
        <w:rPr>
          <w:rFonts w:ascii="Arial" w:cs="Arial" w:eastAsia="Arial" w:hAnsi="Arial"/>
          <w:sz w:val="17"/>
          <w:szCs w:val="17"/>
          <w:color w:val="auto"/>
        </w:rPr>
        <w:t>The Company’s derivative financial instruments consist of foreign currency forward contracts and interest rate swaps. Fair values for derivative financial instruments are based on independent sources including highly rated financial institutions and are classified as Level 2. Refer to Note 17 - Derivatives and Hedge Accounting to the unaudited consolidated financial statements for further details.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of Contingent Consideration:</w:t>
      </w:r>
    </w:p>
    <w:p>
      <w:pPr>
        <w:spacing w:after="0" w:line="250" w:lineRule="exact"/>
        <w:rPr>
          <w:sz w:val="20"/>
          <w:szCs w:val="20"/>
          <w:color w:val="auto"/>
        </w:rPr>
      </w:pPr>
    </w:p>
    <w:p>
      <w:pPr>
        <w:jc w:val="both"/>
        <w:ind w:right="100" w:firstLine="393"/>
        <w:spacing w:after="0" w:line="264" w:lineRule="auto"/>
        <w:rPr>
          <w:sz w:val="20"/>
          <w:szCs w:val="20"/>
          <w:color w:val="auto"/>
        </w:rPr>
      </w:pPr>
      <w:r>
        <w:rPr>
          <w:rFonts w:ascii="Arial" w:cs="Arial" w:eastAsia="Arial" w:hAnsi="Arial"/>
          <w:sz w:val="17"/>
          <w:szCs w:val="17"/>
          <w:color w:val="auto"/>
        </w:rPr>
        <w:t>The fair value measurement of contingent consideration is determined using Level 3 inputs. The Company’s contingent consideration represents a component of the total purchase consideration for its acquisition of Clairvoyant and Inbound. The measurement is calculated using unobservable inputs based on the Company’s own assessment of achievement of certain performance goals by Clairvoyant during the 2022 and 2023 calendar years and Inbound during the 2022 to 2024 calendar years. The Company estimated the fair value of the contingent consideration based on the Monte Carlo simulation model and scenario-based method. Refer to Note 10 - Business Combinations, Goodwill and Intangible Asset</w:t>
      </w:r>
      <w:r>
        <w:rPr>
          <w:rFonts w:ascii="Arial" w:cs="Arial" w:eastAsia="Arial" w:hAnsi="Arial"/>
          <w:sz w:val="17"/>
          <w:szCs w:val="17"/>
          <w:b w:val="1"/>
          <w:bCs w:val="1"/>
          <w:color w:val="auto"/>
        </w:rPr>
        <w:t>s</w:t>
      </w:r>
      <w:r>
        <w:rPr>
          <w:rFonts w:ascii="Arial" w:cs="Arial" w:eastAsia="Arial" w:hAnsi="Arial"/>
          <w:sz w:val="17"/>
          <w:szCs w:val="17"/>
          <w:color w:val="auto"/>
        </w:rPr>
        <w:t xml:space="preserve"> to the unaudited consolidated financial statements for further details.</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the changes in the fair value of contingent consideration:</w:t>
      </w:r>
    </w:p>
    <w:p>
      <w:pPr>
        <w:spacing w:after="0" w:line="289" w:lineRule="exact"/>
        <w:rPr>
          <w:sz w:val="20"/>
          <w:szCs w:val="20"/>
          <w:color w:val="auto"/>
        </w:rPr>
      </w:pPr>
    </w:p>
    <w:tbl>
      <w:tblPr>
        <w:tblLayout w:type="fixed"/>
        <w:tblInd w:w="400" w:type="dxa"/>
        <w:tblCellMar>
          <w:top w:w="0" w:type="dxa"/>
          <w:left w:w="0" w:type="dxa"/>
          <w:bottom w:w="0" w:type="dxa"/>
          <w:right w:w="0" w:type="dxa"/>
        </w:tblCellMar>
      </w:tblPr>
      <w:tr>
        <w:trPr>
          <w:trHeight w:val="197"/>
        </w:trPr>
        <w:tc>
          <w:tcPr>
            <w:tcW w:w="3480" w:type="dxa"/>
            <w:vAlign w:val="bottom"/>
            <w:shd w:val="clear" w:color="auto" w:fill="CCEEFF"/>
          </w:tcPr>
          <w:p>
            <w:pPr>
              <w:spacing w:after="0"/>
              <w:rPr>
                <w:sz w:val="17"/>
                <w:szCs w:val="17"/>
                <w:color w:val="auto"/>
              </w:rPr>
            </w:pPr>
          </w:p>
        </w:tc>
        <w:tc>
          <w:tcPr>
            <w:tcW w:w="2920" w:type="dxa"/>
            <w:vAlign w:val="bottom"/>
            <w:tcBorders>
              <w:bottom w:val="single" w:sz="8" w:color="auto"/>
            </w:tcBorders>
            <w:gridSpan w:val="4"/>
            <w:shd w:val="clear" w:color="auto" w:fill="CCEEFF"/>
          </w:tcPr>
          <w:p>
            <w:pPr>
              <w:jc w:val="right"/>
              <w:ind w:right="98"/>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2980" w:type="dxa"/>
            <w:vAlign w:val="bottom"/>
            <w:tcBorders>
              <w:bottom w:val="single" w:sz="8" w:color="auto"/>
            </w:tcBorders>
            <w:gridSpan w:val="4"/>
            <w:shd w:val="clear" w:color="auto" w:fill="CCEEFF"/>
          </w:tcPr>
          <w:p>
            <w:pPr>
              <w:ind w:left="280"/>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34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2021</w:t>
            </w: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Opening balance</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11,439</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8"/>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w:t>
            </w:r>
          </w:p>
        </w:tc>
      </w:tr>
      <w:tr>
        <w:trPr>
          <w:trHeight w:val="223"/>
        </w:trPr>
        <w:tc>
          <w:tcPr>
            <w:tcW w:w="3480" w:type="dxa"/>
            <w:vAlign w:val="bottom"/>
          </w:tcPr>
          <w:p>
            <w:pPr>
              <w:ind w:left="20"/>
              <w:spacing w:after="0"/>
              <w:rPr>
                <w:sz w:val="20"/>
                <w:szCs w:val="20"/>
                <w:color w:val="auto"/>
              </w:rPr>
            </w:pPr>
            <w:r>
              <w:rPr>
                <w:rFonts w:ascii="Arial" w:cs="Arial" w:eastAsia="Arial" w:hAnsi="Arial"/>
                <w:sz w:val="17"/>
                <w:szCs w:val="17"/>
                <w:color w:val="auto"/>
              </w:rPr>
              <w:t>Acquisitions</w:t>
            </w:r>
          </w:p>
        </w:tc>
        <w:tc>
          <w:tcPr>
            <w:tcW w:w="10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1,439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ind w:left="1000"/>
              <w:spacing w:after="0"/>
              <w:rPr>
                <w:sz w:val="20"/>
                <w:szCs w:val="20"/>
                <w:color w:val="auto"/>
              </w:rPr>
            </w:pPr>
            <w:r>
              <w:rPr>
                <w:rFonts w:ascii="Arial" w:cs="Arial" w:eastAsia="Arial" w:hAnsi="Arial"/>
                <w:sz w:val="17"/>
                <w:szCs w:val="17"/>
                <w:color w:val="auto"/>
              </w:rPr>
              <w:t>—</w:t>
            </w: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changes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7"/>
                <w:szCs w:val="17"/>
                <w:color w:val="auto"/>
              </w:rPr>
              <w:t>—</w:t>
            </w:r>
          </w:p>
        </w:tc>
      </w:tr>
      <w:tr>
        <w:trPr>
          <w:trHeight w:val="216"/>
        </w:trPr>
        <w:tc>
          <w:tcPr>
            <w:tcW w:w="3480" w:type="dxa"/>
            <w:vAlign w:val="bottom"/>
          </w:tcPr>
          <w:p>
            <w:pPr>
              <w:ind w:left="20"/>
              <w:spacing w:after="0"/>
              <w:rPr>
                <w:sz w:val="20"/>
                <w:szCs w:val="20"/>
                <w:color w:val="auto"/>
              </w:rPr>
            </w:pPr>
            <w:r>
              <w:rPr>
                <w:rFonts w:ascii="Arial" w:cs="Arial" w:eastAsia="Arial" w:hAnsi="Arial"/>
                <w:sz w:val="17"/>
                <w:szCs w:val="17"/>
                <w:b w:val="1"/>
                <w:bCs w:val="1"/>
                <w:color w:val="auto"/>
              </w:rPr>
              <w:t>Closing balance</w:t>
            </w:r>
          </w:p>
        </w:tc>
        <w:tc>
          <w:tcPr>
            <w:tcW w:w="1020" w:type="dxa"/>
            <w:vAlign w:val="bottom"/>
          </w:tcPr>
          <w:p>
            <w:pPr>
              <w:jc w:val="right"/>
              <w:ind w:right="841"/>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9"/>
              </w:rPr>
              <w:t>11,439</w:t>
            </w:r>
          </w:p>
        </w:tc>
        <w:tc>
          <w:tcPr>
            <w:tcW w:w="80" w:type="dxa"/>
            <w:vAlign w:val="bottom"/>
          </w:tcPr>
          <w:p>
            <w:pPr>
              <w:spacing w:after="0"/>
              <w:rPr>
                <w:sz w:val="18"/>
                <w:szCs w:val="18"/>
                <w:color w:val="auto"/>
              </w:rPr>
            </w:pPr>
          </w:p>
        </w:tc>
        <w:tc>
          <w:tcPr>
            <w:tcW w:w="1200" w:type="dxa"/>
            <w:vAlign w:val="bottom"/>
          </w:tcPr>
          <w:p>
            <w:pPr>
              <w:jc w:val="right"/>
              <w:ind w:right="1018"/>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11,439</w:t>
            </w:r>
          </w:p>
        </w:tc>
        <w:tc>
          <w:tcPr>
            <w:tcW w:w="80" w:type="dxa"/>
            <w:vAlign w:val="bottom"/>
          </w:tcPr>
          <w:p>
            <w:pPr>
              <w:spacing w:after="0"/>
              <w:rPr>
                <w:sz w:val="18"/>
                <w:szCs w:val="18"/>
                <w:color w:val="auto"/>
              </w:rPr>
            </w:pPr>
          </w:p>
        </w:tc>
        <w:tc>
          <w:tcPr>
            <w:tcW w:w="40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240" w:type="dxa"/>
            <w:vAlign w:val="bottom"/>
          </w:tcPr>
          <w:p>
            <w:pPr>
              <w:ind w:left="1000"/>
              <w:spacing w:after="0"/>
              <w:rPr>
                <w:sz w:val="20"/>
                <w:szCs w:val="20"/>
                <w:color w:val="auto"/>
              </w:rPr>
            </w:pPr>
            <w:r>
              <w:rPr>
                <w:rFonts w:ascii="Arial" w:cs="Arial" w:eastAsia="Arial" w:hAnsi="Arial"/>
                <w:sz w:val="17"/>
                <w:szCs w:val="17"/>
                <w:color w:val="auto"/>
              </w:rPr>
              <w:t>—</w:t>
            </w:r>
          </w:p>
        </w:tc>
      </w:tr>
      <w:tr>
        <w:trPr>
          <w:trHeight w:val="20"/>
        </w:trPr>
        <w:tc>
          <w:tcPr>
            <w:tcW w:w="34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3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During the three months and nine months ended September 30, 2022 and 2021 there were no transfers among Level 1, Level 2 and Level 3.</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Not Carried at Fair Value</w:t>
      </w:r>
      <w:r>
        <w:rPr>
          <w:rFonts w:ascii="Arial" w:cs="Arial" w:eastAsia="Arial" w:hAnsi="Arial"/>
          <w:sz w:val="17"/>
          <w:szCs w:val="17"/>
          <w:color w:val="auto"/>
        </w:rPr>
        <w:t>:</w:t>
      </w:r>
    </w:p>
    <w:p>
      <w:pPr>
        <w:spacing w:after="0" w:line="237"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7"/>
          <w:szCs w:val="17"/>
          <w:color w:val="auto"/>
        </w:rPr>
        <w:t>The Company’s other financial instruments not carried at fair value consist primarily of cash and cash equivalents (except investments in money market funds, as disclosed above), short-term investments (except investments in mutual funds, as disclosed above), restricted cash, accounts receivable, net, long-term investments, accrued capital expenditures, accrued expenses, client liabilities and interest payable on borrowings for which fair values approximate their carrying amounts. The carrying value of the Company’s outstanding revolving credit facility approximates its fair value because the Company’s interest rate yield is near current market rates for comparable debt instruments.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Derivatives and Hedge Accounting</w:t>
      </w:r>
    </w:p>
    <w:p>
      <w:pPr>
        <w:spacing w:after="0" w:line="243" w:lineRule="exact"/>
        <w:rPr>
          <w:sz w:val="20"/>
          <w:szCs w:val="20"/>
          <w:color w:val="auto"/>
        </w:rPr>
      </w:pPr>
    </w:p>
    <w:p>
      <w:pPr>
        <w:jc w:val="both"/>
        <w:ind w:firstLine="393"/>
        <w:spacing w:after="0" w:line="247" w:lineRule="auto"/>
        <w:rPr>
          <w:sz w:val="20"/>
          <w:szCs w:val="20"/>
          <w:color w:val="auto"/>
        </w:rPr>
      </w:pPr>
      <w:r>
        <w:rPr>
          <w:rFonts w:ascii="Arial" w:cs="Arial" w:eastAsia="Arial" w:hAnsi="Arial"/>
          <w:sz w:val="17"/>
          <w:szCs w:val="17"/>
          <w:color w:val="auto"/>
        </w:rPr>
        <w:t>The Company uses derivative instruments to mitigate cash flow volatility from risk of fluctuations in foreign currency exchange rates and interest rates. The Company enters into foreign currency forward contracts to hedge cash flow risks from forecasted transactions denominated in certain foreign currencies, and interest rate swaps to hedge cash flow risks from its revolving credit facility having variable interest rate obligations. These contracts qualify as cash flow hedges under ASC Topic 815 and are with counterparties that are highly rated financial institutions. As of September 30, 2022 and December 31, 2021, the Company had outstanding foreign currency forward contracts totaling $604,560 and $514,580, respectively and interest rate swaps totaling $75,000 and $nil, respectively.</w:t>
      </w:r>
    </w:p>
    <w:p>
      <w:pPr>
        <w:spacing w:after="0" w:line="209"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The Company estimates that approximately $10,757 of derivative losses, net, excluding tax effects, included in AOCI, representing changes in the value of cash flow hedges based on exchange rates prevailing as of September 30, 2022, could be reclassified into earnings within the next twelve months. As of September 30, 2022, the maximum outstanding term of the cash flow hedges was approximately 45 months.</w:t>
      </w:r>
    </w:p>
    <w:p>
      <w:pPr>
        <w:spacing w:after="0" w:line="198" w:lineRule="exact"/>
        <w:rPr>
          <w:sz w:val="20"/>
          <w:szCs w:val="20"/>
          <w:color w:val="auto"/>
        </w:rPr>
      </w:pPr>
    </w:p>
    <w:p>
      <w:pPr>
        <w:jc w:val="both"/>
        <w:ind w:firstLine="393"/>
        <w:spacing w:after="0" w:line="261" w:lineRule="auto"/>
        <w:rPr>
          <w:sz w:val="20"/>
          <w:szCs w:val="20"/>
          <w:color w:val="auto"/>
        </w:rPr>
      </w:pPr>
      <w:r>
        <w:rPr>
          <w:rFonts w:ascii="Arial" w:cs="Arial" w:eastAsia="Arial" w:hAnsi="Arial"/>
          <w:sz w:val="16"/>
          <w:szCs w:val="16"/>
          <w:color w:val="auto"/>
        </w:rPr>
        <w:t>The Company also enters into foreign currency forward contracts to economically hedge its intercompany balances and other monetary assets and liabilities denominated in currencies other than functional currencies, against the risk of fluctuations in foreign currency exchange rates associated with remeasurement of such assets and liabilities to functional currency. These foreign currency forward contracts do not qualify as fair value hedges under ASC Topic 815. Changes in the fair value of these financial instruments are recognized in the unaudited consolidated statements of income and are included in the foreign exchange gain/(loss) line item. The Company’s primary exchange rate exposure is with the Indian rupee, the U.K. pound sterling (GBP) and the Philippine peso. The Company also has exposure to Colombian pesos (COP), Czech koruna, the Euro (EUR), South African ZAR, the Australian dollar (AUD) and other local currencies in which it operates. Outstanding foreign currency forward contracts amounted to USD 162,473, GBP 9,254, EUR 1,906 and COP 3,619,127 as of September 30, 2022 and USD 134,612, GBP 6,763, EUR 1,343 and COP 2,541,902 as of December 31, 2021.</w:t>
      </w:r>
    </w:p>
    <w:p>
      <w:pPr>
        <w:spacing w:after="0" w:line="196"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The following table sets forth the fair value of the foreign currency forward contracts and interest rate swaps and their location on the consolidated balance sheets:</w:t>
      </w:r>
    </w:p>
    <w:p>
      <w:pPr>
        <w:spacing w:after="0" w:line="30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gridSpan w:val="5"/>
          </w:tcPr>
          <w:p>
            <w:pPr>
              <w:ind w:left="100"/>
              <w:spacing w:after="0"/>
              <w:rPr>
                <w:sz w:val="20"/>
                <w:szCs w:val="20"/>
                <w:color w:val="auto"/>
              </w:rPr>
            </w:pPr>
            <w:r>
              <w:rPr>
                <w:rFonts w:ascii="Arial" w:cs="Arial" w:eastAsia="Arial" w:hAnsi="Arial"/>
                <w:sz w:val="16"/>
                <w:szCs w:val="16"/>
                <w:b w:val="1"/>
                <w:bCs w:val="1"/>
                <w:color w:val="auto"/>
                <w:w w:val="96"/>
              </w:rPr>
              <w:t>Derivatives in cash flow hedging relationships</w:t>
            </w:r>
          </w:p>
        </w:tc>
        <w:tc>
          <w:tcPr>
            <w:tcW w:w="120" w:type="dxa"/>
            <w:vAlign w:val="bottom"/>
          </w:tcPr>
          <w:p>
            <w:pPr>
              <w:spacing w:after="0"/>
              <w:rPr>
                <w:sz w:val="18"/>
                <w:szCs w:val="18"/>
                <w:color w:val="auto"/>
              </w:rPr>
            </w:pPr>
          </w:p>
        </w:tc>
        <w:tc>
          <w:tcPr>
            <w:tcW w:w="3520" w:type="dxa"/>
            <w:vAlign w:val="bottom"/>
            <w:gridSpan w:val="4"/>
          </w:tcPr>
          <w:p>
            <w:pPr>
              <w:jc w:val="right"/>
              <w:ind w:right="54"/>
              <w:spacing w:after="0"/>
              <w:rPr>
                <w:sz w:val="20"/>
                <w:szCs w:val="20"/>
                <w:color w:val="auto"/>
              </w:rPr>
            </w:pPr>
            <w:r>
              <w:rPr>
                <w:rFonts w:ascii="Arial" w:cs="Arial" w:eastAsia="Arial" w:hAnsi="Arial"/>
                <w:sz w:val="16"/>
                <w:szCs w:val="16"/>
                <w:b w:val="1"/>
                <w:bCs w:val="1"/>
                <w:color w:val="auto"/>
                <w:w w:val="86"/>
              </w:rPr>
              <w:t>Derivatives not designated as hedging instruments</w:t>
            </w:r>
          </w:p>
        </w:tc>
      </w:tr>
      <w:tr>
        <w:trPr>
          <w:trHeight w:val="203"/>
        </w:trPr>
        <w:tc>
          <w:tcPr>
            <w:tcW w:w="2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58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580" w:type="dxa"/>
            <w:vAlign w:val="bottom"/>
            <w:tcBorders>
              <w:top w:val="single" w:sz="8" w:color="auto"/>
              <w:bottom w:val="single" w:sz="8" w:color="auto"/>
            </w:tcBorders>
          </w:tcPr>
          <w:p>
            <w:pPr>
              <w:spacing w:after="0"/>
              <w:rPr>
                <w:sz w:val="17"/>
                <w:szCs w:val="17"/>
                <w:color w:val="auto"/>
              </w:rPr>
            </w:pPr>
          </w:p>
        </w:tc>
      </w:tr>
      <w:tr>
        <w:trPr>
          <w:trHeight w:val="203"/>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 financial instruments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36"/>
              <w:spacing w:after="0"/>
              <w:rPr>
                <w:sz w:val="20"/>
                <w:szCs w:val="20"/>
                <w:color w:val="auto"/>
              </w:rPr>
            </w:pPr>
            <w:r>
              <w:rPr>
                <w:rFonts w:ascii="Arial" w:cs="Arial" w:eastAsia="Arial" w:hAnsi="Arial"/>
                <w:sz w:val="16"/>
                <w:szCs w:val="16"/>
                <w:b w:val="1"/>
                <w:bCs w:val="1"/>
                <w:color w:val="auto"/>
                <w:w w:val="89"/>
              </w:rPr>
              <w:t>September 30, 2022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54"/>
              <w:spacing w:after="0"/>
              <w:rPr>
                <w:sz w:val="20"/>
                <w:szCs w:val="20"/>
                <w:color w:val="auto"/>
              </w:rPr>
            </w:pPr>
            <w:r>
              <w:rPr>
                <w:rFonts w:ascii="Arial" w:cs="Arial" w:eastAsia="Arial" w:hAnsi="Arial"/>
                <w:sz w:val="16"/>
                <w:szCs w:val="16"/>
                <w:b w:val="1"/>
                <w:bCs w:val="1"/>
                <w:color w:val="auto"/>
                <w:w w:val="91"/>
              </w:rPr>
              <w:t>December 31, 2021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36"/>
              <w:spacing w:after="0"/>
              <w:rPr>
                <w:sz w:val="20"/>
                <w:szCs w:val="20"/>
                <w:color w:val="auto"/>
              </w:rPr>
            </w:pPr>
            <w:r>
              <w:rPr>
                <w:rFonts w:ascii="Arial" w:cs="Arial" w:eastAsia="Arial" w:hAnsi="Arial"/>
                <w:sz w:val="16"/>
                <w:szCs w:val="16"/>
                <w:b w:val="1"/>
                <w:bCs w:val="1"/>
                <w:color w:val="auto"/>
                <w:w w:val="95"/>
              </w:rPr>
              <w:t>September 30, 2022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54"/>
              <w:spacing w:after="0"/>
              <w:rPr>
                <w:sz w:val="20"/>
                <w:szCs w:val="20"/>
                <w:color w:val="auto"/>
              </w:rPr>
            </w:pPr>
            <w:r>
              <w:rPr>
                <w:rFonts w:ascii="Arial" w:cs="Arial" w:eastAsia="Arial" w:hAnsi="Arial"/>
                <w:sz w:val="16"/>
                <w:szCs w:val="16"/>
                <w:b w:val="1"/>
                <w:bCs w:val="1"/>
                <w:color w:val="auto"/>
                <w:w w:val="91"/>
              </w:rPr>
              <w:t>December 31, 2021</w:t>
            </w:r>
          </w:p>
        </w:tc>
      </w:tr>
      <w:tr>
        <w:trPr>
          <w:trHeight w:val="219"/>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23"/>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Other assets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219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6,307</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71"/>
        </w:trPr>
        <w:tc>
          <w:tcPr>
            <w:tcW w:w="302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7"/>
                <w:szCs w:val="17"/>
                <w:color w:val="auto"/>
              </w:rPr>
              <w:t>Accrued expenses and other current</w:t>
            </w: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235"/>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11,752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w:t>
            </w:r>
          </w:p>
        </w:tc>
      </w:tr>
      <w:tr>
        <w:trPr>
          <w:trHeight w:val="222"/>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Other non-current liabilities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8,114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1,785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366" w:lineRule="exact"/>
        <w:rPr>
          <w:sz w:val="20"/>
          <w:szCs w:val="20"/>
          <w:color w:val="auto"/>
        </w:rPr>
      </w:pPr>
    </w:p>
    <w:p>
      <w:pPr>
        <w:ind w:right="100" w:firstLine="393"/>
        <w:spacing w:after="0" w:line="273" w:lineRule="auto"/>
        <w:rPr>
          <w:sz w:val="20"/>
          <w:szCs w:val="20"/>
          <w:color w:val="auto"/>
        </w:rPr>
      </w:pPr>
      <w:r>
        <w:rPr>
          <w:rFonts w:ascii="Arial" w:cs="Arial" w:eastAsia="Arial" w:hAnsi="Arial"/>
          <w:sz w:val="17"/>
          <w:szCs w:val="17"/>
          <w:color w:val="auto"/>
        </w:rPr>
        <w:t>The following tables set forth the effect of foreign currency forward contracts and interest rate swaps on AOCI and the unaudited consolidated statements of income:</w:t>
      </w:r>
    </w:p>
    <w:p>
      <w:pPr>
        <w:spacing w:after="0" w:line="301"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2860" w:type="dxa"/>
            <w:vAlign w:val="bottom"/>
            <w:gridSpan w:val="4"/>
          </w:tcPr>
          <w:p>
            <w:pPr>
              <w:jc w:val="right"/>
              <w:ind w:right="316"/>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03"/>
        </w:trPr>
        <w:tc>
          <w:tcPr>
            <w:tcW w:w="4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 financial instruments:</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2021</w:t>
            </w:r>
          </w:p>
        </w:tc>
      </w:tr>
      <w:tr>
        <w:trPr>
          <w:trHeight w:val="206"/>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Unrealized gain/(loss) recognized in AOCI</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3"/>
        </w:trPr>
        <w:tc>
          <w:tcPr>
            <w:tcW w:w="4560" w:type="dxa"/>
            <w:vAlign w:val="bottom"/>
            <w:gridSpan w:val="2"/>
          </w:tcPr>
          <w:p>
            <w:pPr>
              <w:ind w:left="20"/>
              <w:spacing w:after="0"/>
              <w:rPr>
                <w:sz w:val="20"/>
                <w:szCs w:val="20"/>
                <w:color w:val="auto"/>
              </w:rPr>
            </w:pPr>
            <w:r>
              <w:rPr>
                <w:rFonts w:ascii="Arial" w:cs="Arial" w:eastAsia="Arial" w:hAnsi="Arial"/>
                <w:sz w:val="17"/>
                <w:szCs w:val="17"/>
                <w:color w:val="auto"/>
              </w:rPr>
              <w:t>Derivatives in cash flow hedging relationships</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(13,489)</w:t>
            </w:r>
          </w:p>
        </w:tc>
        <w:tc>
          <w:tcPr>
            <w:tcW w:w="12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261</w:t>
            </w:r>
          </w:p>
        </w:tc>
        <w:tc>
          <w:tcPr>
            <w:tcW w:w="80" w:type="dxa"/>
            <w:vAlign w:val="bottom"/>
          </w:tcPr>
          <w:p>
            <w:pPr>
              <w:spacing w:after="0"/>
              <w:rPr>
                <w:sz w:val="19"/>
                <w:szCs w:val="19"/>
                <w:color w:val="auto"/>
              </w:rPr>
            </w:pP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(28,638)</w:t>
            </w:r>
          </w:p>
        </w:tc>
        <w:tc>
          <w:tcPr>
            <w:tcW w:w="1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62"/>
        </w:trPr>
        <w:tc>
          <w:tcPr>
            <w:tcW w:w="4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07"/>
        </w:trPr>
        <w:tc>
          <w:tcPr>
            <w:tcW w:w="4560" w:type="dxa"/>
            <w:vAlign w:val="bottom"/>
            <w:gridSpan w:val="2"/>
          </w:tcPr>
          <w:p>
            <w:pPr>
              <w:ind w:left="20"/>
              <w:spacing w:after="0"/>
              <w:rPr>
                <w:sz w:val="20"/>
                <w:szCs w:val="20"/>
                <w:color w:val="auto"/>
              </w:rPr>
            </w:pPr>
            <w:r>
              <w:rPr>
                <w:rFonts w:ascii="Arial" w:cs="Arial" w:eastAsia="Arial" w:hAnsi="Arial"/>
                <w:sz w:val="16"/>
                <w:szCs w:val="16"/>
                <w:b w:val="1"/>
                <w:bCs w:val="1"/>
                <w:color w:val="auto"/>
                <w:w w:val="90"/>
              </w:rPr>
              <w:t>Loss recognized in unaudited consolidated statements of income</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6"/>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Derivatives not designated as hedging instruments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(1,054)</w:t>
            </w:r>
          </w:p>
        </w:tc>
      </w:tr>
    </w:tbl>
    <w:p>
      <w:pPr>
        <w:spacing w:after="0" w:line="314" w:lineRule="exact"/>
        <w:rPr>
          <w:sz w:val="20"/>
          <w:szCs w:val="20"/>
          <w:color w:val="auto"/>
        </w:rPr>
      </w:pPr>
    </w:p>
    <w:p>
      <w:pPr>
        <w:ind w:left="460" w:right="180"/>
        <w:spacing w:after="0" w:line="235" w:lineRule="auto"/>
        <w:rPr>
          <w:sz w:val="20"/>
          <w:szCs w:val="20"/>
          <w:color w:val="auto"/>
        </w:rPr>
      </w:pPr>
      <w:r>
        <w:rPr>
          <w:rFonts w:ascii="Arial" w:cs="Arial" w:eastAsia="Arial" w:hAnsi="Arial"/>
          <w:sz w:val="16"/>
          <w:szCs w:val="16"/>
          <w:b w:val="1"/>
          <w:bCs w:val="1"/>
          <w:color w:val="auto"/>
        </w:rPr>
        <w:t>Location and amount of gain/(loss) recognized in unaudited consolidated statements of income for derivatives in cash flow hedging relationships and derivatives not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5080</wp:posOffset>
            </wp:positionV>
            <wp:extent cx="68948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94830" cy="8255"/>
                    </a:xfrm>
                    <a:prstGeom prst="rect">
                      <a:avLst/>
                    </a:prstGeom>
                    <a:noFill/>
                  </pic:spPr>
                </pic:pic>
              </a:graphicData>
            </a:graphic>
          </wp:anchor>
        </w:drawing>
      </w:r>
    </w:p>
    <w:p>
      <w:pPr>
        <w:ind w:left="7300"/>
        <w:spacing w:after="0"/>
        <w:rPr>
          <w:sz w:val="20"/>
          <w:szCs w:val="20"/>
          <w:color w:val="auto"/>
        </w:rPr>
      </w:pPr>
      <w:r>
        <w:rPr>
          <w:rFonts w:ascii="Arial" w:cs="Arial" w:eastAsia="Arial" w:hAnsi="Arial"/>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3608705</wp:posOffset>
            </wp:positionH>
            <wp:positionV relativeFrom="paragraph">
              <wp:posOffset>17145</wp:posOffset>
            </wp:positionV>
            <wp:extent cx="3564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4255" cy="825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p>
      <w:pPr>
        <w:spacing w:after="0" w:line="39" w:lineRule="exact"/>
        <w:rPr>
          <w:sz w:val="20"/>
          <w:szCs w:val="20"/>
          <w:color w:val="auto"/>
        </w:rPr>
      </w:pPr>
    </w:p>
    <w:p>
      <w:pPr>
        <w:ind w:left="6900"/>
        <w:spacing w:after="0"/>
        <w:rPr>
          <w:sz w:val="20"/>
          <w:szCs w:val="20"/>
          <w:color w:val="auto"/>
        </w:rPr>
      </w:pPr>
      <w:r>
        <w:rPr>
          <w:rFonts w:ascii="Arial" w:cs="Arial" w:eastAsia="Arial" w:hAnsi="Arial"/>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17145</wp:posOffset>
            </wp:positionV>
            <wp:extent cx="32639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63900" cy="8255"/>
                    </a:xfrm>
                    <a:prstGeom prst="rect">
                      <a:avLst/>
                    </a:prstGeom>
                    <a:noFill/>
                  </pic:spPr>
                </pic:pic>
              </a:graphicData>
            </a:graphic>
          </wp:anchor>
        </w:drawing>
      </w:r>
    </w:p>
    <w:tbl>
      <w:tblPr>
        <w:tblLayout w:type="fixed"/>
        <w:tblInd w:w="5680" w:type="dxa"/>
        <w:tblCellMar>
          <w:top w:w="0" w:type="dxa"/>
          <w:left w:w="0" w:type="dxa"/>
          <w:bottom w:w="0" w:type="dxa"/>
          <w:right w:w="0" w:type="dxa"/>
        </w:tblCellMar>
      </w:tblPr>
      <w:tr>
        <w:trPr>
          <w:trHeight w:val="157"/>
        </w:trPr>
        <w:tc>
          <w:tcPr>
            <w:tcW w:w="136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w w:val="88"/>
              </w:rPr>
              <w:t>As per unaudited</w:t>
            </w:r>
          </w:p>
        </w:tc>
        <w:tc>
          <w:tcPr>
            <w:tcW w:w="14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6"/>
              </w:rPr>
              <w:t>Loss on derivative</w:t>
            </w:r>
          </w:p>
        </w:tc>
        <w:tc>
          <w:tcPr>
            <w:tcW w:w="0" w:type="dxa"/>
            <w:vAlign w:val="bottom"/>
          </w:tcPr>
          <w:p>
            <w:pPr>
              <w:spacing w:after="0"/>
              <w:rPr>
                <w:sz w:val="1"/>
                <w:szCs w:val="1"/>
                <w:color w:val="auto"/>
              </w:rPr>
            </w:pPr>
          </w:p>
        </w:tc>
      </w:tr>
      <w:tr>
        <w:trPr>
          <w:trHeight w:val="79"/>
        </w:trPr>
        <w:tc>
          <w:tcPr>
            <w:tcW w:w="1360" w:type="dxa"/>
            <w:vAlign w:val="bottom"/>
            <w:vMerge w:val="restart"/>
          </w:tcPr>
          <w:p>
            <w:pPr>
              <w:jc w:val="center"/>
              <w:spacing w:after="0" w:line="158" w:lineRule="exact"/>
              <w:rPr>
                <w:sz w:val="20"/>
                <w:szCs w:val="20"/>
                <w:color w:val="auto"/>
              </w:rPr>
            </w:pPr>
            <w:r>
              <w:rPr>
                <w:rFonts w:ascii="Arial" w:cs="Arial" w:eastAsia="Arial" w:hAnsi="Arial"/>
                <w:sz w:val="16"/>
                <w:szCs w:val="16"/>
                <w:b w:val="1"/>
                <w:bCs w:val="1"/>
                <w:color w:val="auto"/>
                <w:w w:val="85"/>
              </w:rPr>
              <w:t>consolidated</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360" w:type="dxa"/>
            <w:vAlign w:val="bottom"/>
            <w:vMerge w:val="continue"/>
          </w:tcPr>
          <w:p>
            <w:pPr>
              <w:spacing w:after="0"/>
              <w:rPr>
                <w:sz w:val="6"/>
                <w:szCs w:val="6"/>
                <w:color w:val="auto"/>
              </w:rPr>
            </w:pPr>
          </w:p>
        </w:tc>
        <w:tc>
          <w:tcPr>
            <w:tcW w:w="1400" w:type="dxa"/>
            <w:vAlign w:val="bottom"/>
            <w:vMerge w:val="restart"/>
          </w:tcPr>
          <w:p>
            <w:pPr>
              <w:jc w:val="center"/>
              <w:spacing w:after="0" w:line="158" w:lineRule="exact"/>
              <w:rPr>
                <w:sz w:val="20"/>
                <w:szCs w:val="20"/>
                <w:color w:val="auto"/>
              </w:rPr>
            </w:pPr>
            <w:r>
              <w:rPr>
                <w:rFonts w:ascii="Arial" w:cs="Arial" w:eastAsia="Arial" w:hAnsi="Arial"/>
                <w:sz w:val="16"/>
                <w:szCs w:val="16"/>
                <w:b w:val="1"/>
                <w:bCs w:val="1"/>
                <w:color w:val="auto"/>
                <w:w w:val="89"/>
              </w:rPr>
              <w:t>financial</w:t>
            </w:r>
          </w:p>
        </w:tc>
        <w:tc>
          <w:tcPr>
            <w:tcW w:w="0" w:type="dxa"/>
            <w:vAlign w:val="bottom"/>
          </w:tcPr>
          <w:p>
            <w:pPr>
              <w:spacing w:after="0"/>
              <w:rPr>
                <w:sz w:val="1"/>
                <w:szCs w:val="1"/>
                <w:color w:val="auto"/>
              </w:rPr>
            </w:pPr>
          </w:p>
        </w:tc>
      </w:tr>
      <w:tr>
        <w:trPr>
          <w:trHeight w:val="79"/>
        </w:trPr>
        <w:tc>
          <w:tcPr>
            <w:tcW w:w="1360" w:type="dxa"/>
            <w:vAlign w:val="bottom"/>
            <w:vMerge w:val="restart"/>
          </w:tcPr>
          <w:p>
            <w:pPr>
              <w:jc w:val="center"/>
              <w:spacing w:after="0" w:line="158" w:lineRule="exact"/>
              <w:rPr>
                <w:sz w:val="20"/>
                <w:szCs w:val="20"/>
                <w:color w:val="auto"/>
              </w:rPr>
            </w:pPr>
            <w:r>
              <w:rPr>
                <w:rFonts w:ascii="Arial" w:cs="Arial" w:eastAsia="Arial" w:hAnsi="Arial"/>
                <w:sz w:val="16"/>
                <w:szCs w:val="16"/>
                <w:b w:val="1"/>
                <w:bCs w:val="1"/>
                <w:color w:val="auto"/>
                <w:w w:val="84"/>
              </w:rPr>
              <w:t>statements of</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360" w:type="dxa"/>
            <w:vAlign w:val="bottom"/>
            <w:vMerge w:val="continue"/>
          </w:tcPr>
          <w:p>
            <w:pPr>
              <w:spacing w:after="0"/>
              <w:rPr>
                <w:sz w:val="6"/>
                <w:szCs w:val="6"/>
                <w:color w:val="auto"/>
              </w:rPr>
            </w:pPr>
          </w:p>
        </w:tc>
        <w:tc>
          <w:tcPr>
            <w:tcW w:w="1400" w:type="dxa"/>
            <w:vAlign w:val="bottom"/>
            <w:vMerge w:val="restart"/>
          </w:tcPr>
          <w:p>
            <w:pPr>
              <w:jc w:val="center"/>
              <w:ind w:left="1"/>
              <w:spacing w:after="0"/>
              <w:rPr>
                <w:sz w:val="20"/>
                <w:szCs w:val="20"/>
                <w:color w:val="auto"/>
              </w:rPr>
            </w:pPr>
            <w:r>
              <w:rPr>
                <w:rFonts w:ascii="Arial" w:cs="Arial" w:eastAsia="Arial" w:hAnsi="Arial"/>
                <w:sz w:val="16"/>
                <w:szCs w:val="16"/>
                <w:b w:val="1"/>
                <w:bCs w:val="1"/>
                <w:color w:val="auto"/>
                <w:w w:val="87"/>
              </w:rPr>
              <w:t>instruments</w:t>
            </w:r>
          </w:p>
        </w:tc>
        <w:tc>
          <w:tcPr>
            <w:tcW w:w="0" w:type="dxa"/>
            <w:vAlign w:val="bottom"/>
          </w:tcPr>
          <w:p>
            <w:pPr>
              <w:spacing w:after="0"/>
              <w:rPr>
                <w:sz w:val="1"/>
                <w:szCs w:val="1"/>
                <w:color w:val="auto"/>
              </w:rPr>
            </w:pPr>
          </w:p>
        </w:tc>
      </w:tr>
      <w:tr>
        <w:trPr>
          <w:trHeight w:val="126"/>
        </w:trPr>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5"/>
              </w:rPr>
              <w:t>income</w:t>
            </w: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360" w:type="dxa"/>
            <w:vAlign w:val="bottom"/>
            <w:vMerge w:val="continue"/>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3810</wp:posOffset>
            </wp:positionV>
            <wp:extent cx="6894830" cy="141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94830" cy="14160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b w:val="1"/>
          <w:bCs w:val="1"/>
          <w:color w:val="auto"/>
        </w:rPr>
        <w:t>Cash flow hedging relationships</w:t>
      </w:r>
    </w:p>
    <w:p>
      <w:pPr>
        <w:spacing w:after="0" w:line="27" w:lineRule="exact"/>
        <w:rPr>
          <w:sz w:val="20"/>
          <w:szCs w:val="20"/>
          <w:color w:val="auto"/>
        </w:rPr>
      </w:pPr>
    </w:p>
    <w:p>
      <w:pPr>
        <w:ind w:left="460" w:right="3180"/>
        <w:spacing w:after="0" w:line="241" w:lineRule="auto"/>
        <w:rPr>
          <w:sz w:val="20"/>
          <w:szCs w:val="20"/>
          <w:color w:val="auto"/>
        </w:rPr>
      </w:pPr>
      <w:r>
        <w:rPr>
          <w:rFonts w:ascii="Arial" w:cs="Arial" w:eastAsia="Arial" w:hAnsi="Arial"/>
          <w:sz w:val="17"/>
          <w:szCs w:val="17"/>
          <w:color w:val="auto"/>
        </w:rPr>
        <w:t>Location in unaudited consolidated statements of income where gain was reclassified from AOCI</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2021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440" w:type="dxa"/>
            <w:vAlign w:val="bottom"/>
            <w:tcBorders>
              <w:top w:val="single" w:sz="8" w:color="auto"/>
            </w:tcBorders>
            <w:gridSpan w:val="2"/>
          </w:tcPr>
          <w:p>
            <w:pPr>
              <w:jc w:val="center"/>
              <w:ind w:right="120"/>
              <w:spacing w:after="0" w:line="157" w:lineRule="exact"/>
              <w:rPr>
                <w:sz w:val="20"/>
                <w:szCs w:val="20"/>
                <w:color w:val="auto"/>
              </w:rPr>
            </w:pPr>
            <w:r>
              <w:rPr>
                <w:rFonts w:ascii="Arial" w:cs="Arial" w:eastAsia="Arial" w:hAnsi="Arial"/>
                <w:sz w:val="16"/>
                <w:szCs w:val="16"/>
                <w:b w:val="1"/>
                <w:bCs w:val="1"/>
                <w:color w:val="auto"/>
                <w:w w:val="88"/>
              </w:rPr>
              <w:t>As per unaudited</w:t>
            </w:r>
          </w:p>
        </w:tc>
        <w:tc>
          <w:tcPr>
            <w:tcW w:w="132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w w:val="88"/>
              </w:rPr>
              <w:t>Gain/(loss) on</w:t>
            </w:r>
          </w:p>
        </w:tc>
      </w:tr>
      <w:tr>
        <w:trPr>
          <w:trHeight w:val="157"/>
        </w:trPr>
        <w:tc>
          <w:tcPr>
            <w:tcW w:w="144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85"/>
              </w:rPr>
              <w:t>consolidated</w:t>
            </w:r>
          </w:p>
        </w:tc>
        <w:tc>
          <w:tcPr>
            <w:tcW w:w="13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derivative</w:t>
            </w:r>
          </w:p>
        </w:tc>
      </w:tr>
      <w:tr>
        <w:trPr>
          <w:trHeight w:val="157"/>
        </w:trPr>
        <w:tc>
          <w:tcPr>
            <w:tcW w:w="144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84"/>
              </w:rPr>
              <w:t>statements of</w:t>
            </w:r>
          </w:p>
        </w:tc>
        <w:tc>
          <w:tcPr>
            <w:tcW w:w="13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9"/>
              </w:rPr>
              <w:t>financial</w:t>
            </w:r>
          </w:p>
        </w:tc>
      </w:tr>
      <w:tr>
        <w:trPr>
          <w:trHeight w:val="207"/>
        </w:trPr>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income</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instruments</w:t>
            </w:r>
          </w:p>
        </w:tc>
      </w:tr>
    </w:tbl>
    <w:p>
      <w:pPr>
        <w:spacing w:after="0" w:line="623" w:lineRule="exact"/>
        <w:rPr>
          <w:sz w:val="20"/>
          <w:szCs w:val="20"/>
          <w:color w:val="auto"/>
        </w:rPr>
      </w:pPr>
    </w:p>
    <w:p>
      <w:pPr>
        <w:sectPr>
          <w:pgSz w:w="11900" w:h="16838" w:orient="portrait"/>
          <w:cols w:equalWidth="0" w:num="2">
            <w:col w:w="8440" w:space="100"/>
            <w:col w:w="2800"/>
          </w:cols>
          <w:pgMar w:left="32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440" w:type="dxa"/>
            <w:vAlign w:val="bottom"/>
          </w:tcPr>
          <w:p>
            <w:pPr>
              <w:spacing w:after="0"/>
              <w:rPr>
                <w:sz w:val="22"/>
                <w:szCs w:val="22"/>
                <w:color w:val="auto"/>
              </w:rPr>
            </w:pPr>
          </w:p>
        </w:tc>
        <w:tc>
          <w:tcPr>
            <w:tcW w:w="47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223"/>
        </w:trPr>
        <w:tc>
          <w:tcPr>
            <w:tcW w:w="44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7"/>
                <w:szCs w:val="17"/>
                <w:color w:val="auto"/>
              </w:rPr>
              <w:t>Cost of revenues</w:t>
            </w:r>
          </w:p>
        </w:tc>
        <w:tc>
          <w:tcPr>
            <w:tcW w:w="86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230,462</w:t>
            </w:r>
          </w:p>
        </w:tc>
        <w:tc>
          <w:tcPr>
            <w:tcW w:w="120" w:type="dxa"/>
            <w:vAlign w:val="bottom"/>
          </w:tcPr>
          <w:p>
            <w:pPr>
              <w:spacing w:after="0"/>
              <w:rPr>
                <w:sz w:val="19"/>
                <w:szCs w:val="19"/>
                <w:color w:val="auto"/>
              </w:rPr>
            </w:pPr>
          </w:p>
        </w:tc>
        <w:tc>
          <w:tcPr>
            <w:tcW w:w="440" w:type="dxa"/>
            <w:vAlign w:val="bottom"/>
          </w:tcPr>
          <w:p>
            <w:pPr>
              <w:jc w:val="right"/>
              <w:ind w:right="25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(1,381)</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177,743</w:t>
            </w:r>
          </w:p>
        </w:tc>
        <w:tc>
          <w:tcPr>
            <w:tcW w:w="120" w:type="dxa"/>
            <w:vAlign w:val="bottom"/>
          </w:tcPr>
          <w:p>
            <w:pPr>
              <w:spacing w:after="0"/>
              <w:rPr>
                <w:sz w:val="19"/>
                <w:szCs w:val="19"/>
                <w:color w:val="auto"/>
              </w:rPr>
            </w:pPr>
          </w:p>
        </w:tc>
        <w:tc>
          <w:tcPr>
            <w:tcW w:w="480" w:type="dxa"/>
            <w:vAlign w:val="bottom"/>
          </w:tcPr>
          <w:p>
            <w:pPr>
              <w:jc w:val="right"/>
              <w:ind w:right="293"/>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1,801</w:t>
            </w:r>
          </w:p>
        </w:tc>
        <w:tc>
          <w:tcPr>
            <w:tcW w:w="60" w:type="dxa"/>
            <w:vAlign w:val="bottom"/>
          </w:tcPr>
          <w:p>
            <w:pPr>
              <w:spacing w:after="0"/>
              <w:rPr>
                <w:sz w:val="19"/>
                <w:szCs w:val="19"/>
                <w:color w:val="auto"/>
              </w:rPr>
            </w:pPr>
          </w:p>
        </w:tc>
      </w:tr>
      <w:tr>
        <w:trPr>
          <w:trHeight w:val="223"/>
        </w:trPr>
        <w:tc>
          <w:tcPr>
            <w:tcW w:w="44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860" w:type="dxa"/>
            <w:vAlign w:val="bottom"/>
            <w:gridSpan w:val="2"/>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42,519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36,167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60" w:type="dxa"/>
            <w:vAlign w:val="bottom"/>
            <w:shd w:val="clear" w:color="auto" w:fill="CCEEFF"/>
          </w:tcPr>
          <w:p>
            <w:pPr>
              <w:spacing w:after="0"/>
              <w:rPr>
                <w:sz w:val="19"/>
                <w:szCs w:val="19"/>
                <w:color w:val="auto"/>
              </w:rPr>
            </w:pPr>
          </w:p>
        </w:tc>
      </w:tr>
      <w:tr>
        <w:trPr>
          <w:trHeight w:val="223"/>
        </w:trPr>
        <w:tc>
          <w:tcPr>
            <w:tcW w:w="44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7"/>
                <w:szCs w:val="17"/>
                <w:color w:val="auto"/>
              </w:rPr>
              <w:t>Selling and marketing expenses</w:t>
            </w:r>
          </w:p>
        </w:tc>
        <w:tc>
          <w:tcPr>
            <w:tcW w:w="86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23,879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21,672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w:t>
            </w:r>
          </w:p>
        </w:tc>
        <w:tc>
          <w:tcPr>
            <w:tcW w:w="60" w:type="dxa"/>
            <w:vAlign w:val="bottom"/>
          </w:tcPr>
          <w:p>
            <w:pPr>
              <w:spacing w:after="0"/>
              <w:rPr>
                <w:sz w:val="19"/>
                <w:szCs w:val="19"/>
                <w:color w:val="auto"/>
              </w:rPr>
            </w:pPr>
          </w:p>
        </w:tc>
      </w:tr>
      <w:tr>
        <w:trPr>
          <w:trHeight w:val="223"/>
        </w:trPr>
        <w:tc>
          <w:tcPr>
            <w:tcW w:w="44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 expense</w:t>
            </w:r>
          </w:p>
        </w:tc>
        <w:tc>
          <w:tcPr>
            <w:tcW w:w="860" w:type="dxa"/>
            <w:vAlign w:val="bottom"/>
            <w:gridSpan w:val="2"/>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12,305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60" w:type="dxa"/>
            <w:vAlign w:val="bottom"/>
            <w:shd w:val="clear" w:color="auto" w:fill="CCEEFF"/>
          </w:tcPr>
          <w:p>
            <w:pPr>
              <w:spacing w:after="0"/>
              <w:rPr>
                <w:sz w:val="19"/>
                <w:szCs w:val="19"/>
                <w:color w:val="auto"/>
              </w:rPr>
            </w:pPr>
          </w:p>
        </w:tc>
      </w:tr>
      <w:tr>
        <w:trPr>
          <w:trHeight w:val="223"/>
        </w:trPr>
        <w:tc>
          <w:tcPr>
            <w:tcW w:w="44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86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2,442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1,810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16"/>
        </w:trPr>
        <w:tc>
          <w:tcPr>
            <w:tcW w:w="44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before tax</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(1,567)</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2,150</w:t>
            </w:r>
          </w:p>
        </w:tc>
        <w:tc>
          <w:tcPr>
            <w:tcW w:w="60" w:type="dxa"/>
            <w:vAlign w:val="bottom"/>
            <w:tcBorders>
              <w:top w:val="single" w:sz="8" w:color="auto"/>
            </w:tcBorders>
            <w:shd w:val="clear" w:color="auto" w:fill="CCEEFF"/>
          </w:tcPr>
          <w:p>
            <w:pPr>
              <w:spacing w:after="0"/>
              <w:rPr>
                <w:sz w:val="18"/>
                <w:szCs w:val="18"/>
                <w:color w:val="auto"/>
              </w:rPr>
            </w:pPr>
          </w:p>
        </w:tc>
      </w:tr>
      <w:tr>
        <w:trPr>
          <w:trHeight w:val="223"/>
        </w:trPr>
        <w:tc>
          <w:tcPr>
            <w:tcW w:w="440" w:type="dxa"/>
            <w:vAlign w:val="bottom"/>
          </w:tcPr>
          <w:p>
            <w:pPr>
              <w:spacing w:after="0"/>
              <w:rPr>
                <w:sz w:val="19"/>
                <w:szCs w:val="19"/>
                <w:color w:val="auto"/>
              </w:rPr>
            </w:pPr>
          </w:p>
        </w:tc>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effects on above</w:t>
            </w:r>
          </w:p>
        </w:tc>
        <w:tc>
          <w:tcPr>
            <w:tcW w:w="4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(370)</w:t>
            </w:r>
          </w:p>
        </w:tc>
      </w:tr>
      <w:tr>
        <w:trPr>
          <w:trHeight w:val="241"/>
        </w:trPr>
        <w:tc>
          <w:tcPr>
            <w:tcW w:w="440" w:type="dxa"/>
            <w:vAlign w:val="bottom"/>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of tax</w:t>
            </w:r>
          </w:p>
        </w:tc>
        <w:tc>
          <w:tcPr>
            <w:tcW w:w="4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1,780</w:t>
            </w:r>
          </w:p>
        </w:tc>
        <w:tc>
          <w:tcPr>
            <w:tcW w:w="60" w:type="dxa"/>
            <w:vAlign w:val="bottom"/>
            <w:tcBorders>
              <w:bottom w:val="single" w:sz="8" w:color="auto"/>
            </w:tcBorders>
            <w:shd w:val="clear" w:color="auto" w:fill="CCEEFF"/>
          </w:tcPr>
          <w:p>
            <w:pPr>
              <w:spacing w:after="0"/>
              <w:rPr>
                <w:sz w:val="20"/>
                <w:szCs w:val="20"/>
                <w:color w:val="auto"/>
              </w:rPr>
            </w:pPr>
          </w:p>
        </w:tc>
      </w:tr>
      <w:tr>
        <w:trPr>
          <w:trHeight w:val="20"/>
        </w:trPr>
        <w:tc>
          <w:tcPr>
            <w:tcW w:w="44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4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440" w:type="dxa"/>
            <w:vAlign w:val="bottom"/>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71"/>
        </w:trPr>
        <w:tc>
          <w:tcPr>
            <w:tcW w:w="440" w:type="dxa"/>
            <w:vAlign w:val="bottom"/>
          </w:tcPr>
          <w:p>
            <w:pPr>
              <w:spacing w:after="0"/>
              <w:rPr>
                <w:sz w:val="14"/>
                <w:szCs w:val="14"/>
                <w:color w:val="auto"/>
              </w:rPr>
            </w:pPr>
          </w:p>
        </w:tc>
        <w:tc>
          <w:tcPr>
            <w:tcW w:w="4780" w:type="dxa"/>
            <w:vAlign w:val="bottom"/>
          </w:tcPr>
          <w:p>
            <w:pPr>
              <w:ind w:left="20"/>
              <w:spacing w:after="0" w:line="172" w:lineRule="exact"/>
              <w:rPr>
                <w:sz w:val="20"/>
                <w:szCs w:val="20"/>
                <w:color w:val="auto"/>
              </w:rPr>
            </w:pPr>
            <w:r>
              <w:rPr>
                <w:rFonts w:ascii="Arial" w:cs="Arial" w:eastAsia="Arial" w:hAnsi="Arial"/>
                <w:sz w:val="17"/>
                <w:szCs w:val="17"/>
                <w:color w:val="auto"/>
                <w:w w:val="98"/>
              </w:rPr>
              <w:t>Location in unaudited consolidated statements of income where</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9"/>
        </w:trPr>
        <w:tc>
          <w:tcPr>
            <w:tcW w:w="44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7"/>
                <w:szCs w:val="17"/>
                <w:color w:val="auto"/>
              </w:rPr>
              <w:t>gain/(loss) was recognized</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9"/>
        </w:trPr>
        <w:tc>
          <w:tcPr>
            <w:tcW w:w="440" w:type="dxa"/>
            <w:vAlign w:val="bottom"/>
          </w:tcPr>
          <w:p>
            <w:pPr>
              <w:spacing w:after="0"/>
              <w:rPr>
                <w:sz w:val="23"/>
                <w:szCs w:val="23"/>
                <w:color w:val="auto"/>
              </w:rPr>
            </w:pPr>
          </w:p>
        </w:tc>
        <w:tc>
          <w:tcPr>
            <w:tcW w:w="47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spacing w:after="0"/>
              <w:rPr>
                <w:sz w:val="23"/>
                <w:szCs w:val="23"/>
                <w:color w:val="auto"/>
              </w:rPr>
            </w:pPr>
          </w:p>
        </w:tc>
      </w:tr>
      <w:tr>
        <w:trPr>
          <w:trHeight w:val="223"/>
        </w:trPr>
        <w:tc>
          <w:tcPr>
            <w:tcW w:w="440" w:type="dxa"/>
            <w:vAlign w:val="bottom"/>
          </w:tcPr>
          <w:p>
            <w:pPr>
              <w:spacing w:after="0"/>
              <w:rPr>
                <w:sz w:val="19"/>
                <w:szCs w:val="19"/>
                <w:color w:val="auto"/>
              </w:rPr>
            </w:pPr>
          </w:p>
        </w:tc>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 exchange gain, net</w:t>
            </w:r>
          </w:p>
        </w:tc>
        <w:tc>
          <w:tcPr>
            <w:tcW w:w="4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(464)</w:t>
            </w:r>
          </w:p>
        </w:tc>
      </w:tr>
      <w:tr>
        <w:trPr>
          <w:trHeight w:val="236"/>
        </w:trPr>
        <w:tc>
          <w:tcPr>
            <w:tcW w:w="440" w:type="dxa"/>
            <w:vAlign w:val="bottom"/>
          </w:tcPr>
          <w:p>
            <w:pPr>
              <w:spacing w:after="0"/>
              <w:rPr>
                <w:sz w:val="20"/>
                <w:szCs w:val="20"/>
                <w:color w:val="auto"/>
              </w:rPr>
            </w:pPr>
          </w:p>
        </w:tc>
        <w:tc>
          <w:tcPr>
            <w:tcW w:w="47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1,171</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(464)</w:t>
            </w:r>
          </w:p>
        </w:tc>
      </w:tr>
      <w:tr>
        <w:trPr>
          <w:trHeight w:val="20"/>
        </w:trPr>
        <w:tc>
          <w:tcPr>
            <w:tcW w:w="44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r>
        <w:trPr>
          <w:trHeight w:val="851"/>
        </w:trPr>
        <w:tc>
          <w:tcPr>
            <w:tcW w:w="4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860" w:type="dxa"/>
            <w:vAlign w:val="bottom"/>
            <w:gridSpan w:val="2"/>
          </w:tcPr>
          <w:p>
            <w:pPr>
              <w:jc w:val="right"/>
              <w:ind w:right="273"/>
              <w:spacing w:after="0"/>
              <w:rPr>
                <w:sz w:val="20"/>
                <w:szCs w:val="20"/>
                <w:color w:val="auto"/>
              </w:rPr>
            </w:pPr>
            <w:r>
              <w:rPr>
                <w:rFonts w:ascii="Arial" w:cs="Arial" w:eastAsia="Arial" w:hAnsi="Arial"/>
                <w:sz w:val="17"/>
                <w:szCs w:val="17"/>
                <w:color w:val="auto"/>
              </w:rPr>
              <w:t>30</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2"/>
        </w:trPr>
        <w:tc>
          <w:tcPr>
            <w:tcW w:w="440" w:type="dxa"/>
            <w:vAlign w:val="bottom"/>
            <w:tcBorders>
              <w:bottom w:val="single" w:sz="8" w:color="9A9A9A"/>
            </w:tcBorders>
          </w:tcPr>
          <w:p>
            <w:pPr>
              <w:spacing w:after="0"/>
              <w:rPr>
                <w:sz w:val="9"/>
                <w:szCs w:val="9"/>
                <w:color w:val="auto"/>
              </w:rPr>
            </w:pPr>
          </w:p>
        </w:tc>
        <w:tc>
          <w:tcPr>
            <w:tcW w:w="47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60"/>
        <w:spacing w:after="0" w:line="235" w:lineRule="auto"/>
        <w:rPr>
          <w:sz w:val="20"/>
          <w:szCs w:val="20"/>
          <w:color w:val="auto"/>
        </w:rPr>
      </w:pPr>
      <w:r>
        <w:rPr>
          <w:rFonts w:ascii="Arial" w:cs="Arial" w:eastAsia="Arial" w:hAnsi="Arial"/>
          <w:sz w:val="16"/>
          <w:szCs w:val="16"/>
          <w:b w:val="1"/>
          <w:bCs w:val="1"/>
          <w:color w:val="auto"/>
        </w:rPr>
        <w:t>Location and amount of gain/(loss) recognized in unaudited consolidated statements of income for derivatives in cash flow hedging relationships and derivatives no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5080</wp:posOffset>
            </wp:positionV>
            <wp:extent cx="69227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22770" cy="825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-623570</wp:posOffset>
            </wp:positionV>
            <wp:extent cx="32975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9755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Location in unaudited consolidated statements of income where gain was</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reclassified from AOCI</w:t>
      </w:r>
    </w:p>
    <w:p>
      <w:pPr>
        <w:spacing w:after="0" w:line="20" w:lineRule="exact"/>
        <w:rPr>
          <w:sz w:val="20"/>
          <w:szCs w:val="20"/>
          <w:color w:val="auto"/>
        </w:rPr>
      </w:pPr>
      <w:r>
        <w:rPr>
          <w:sz w:val="20"/>
          <w:szCs w:val="20"/>
          <w:color w:val="auto"/>
        </w:rPr>
        <w:br w:type="column"/>
      </w:r>
    </w:p>
    <w:p>
      <w:pPr>
        <w:ind w:left="184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2022</w:t>
            </w:r>
          </w:p>
        </w:tc>
        <w:tc>
          <w:tcPr>
            <w:tcW w:w="12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gridSpan w:val="2"/>
          </w:tcPr>
          <w:p>
            <w:pPr>
              <w:jc w:val="right"/>
              <w:ind w:right="901"/>
              <w:spacing w:after="0"/>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192"/>
        </w:trPr>
        <w:tc>
          <w:tcPr>
            <w:tcW w:w="17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8"/>
              </w:rPr>
              <w:t>As per unaudited</w:t>
            </w:r>
          </w:p>
        </w:tc>
        <w:tc>
          <w:tcPr>
            <w:tcW w:w="1220" w:type="dxa"/>
            <w:vAlign w:val="bottom"/>
          </w:tcPr>
          <w:p>
            <w:pPr>
              <w:jc w:val="center"/>
              <w:ind w:right="21"/>
              <w:spacing w:after="0"/>
              <w:rPr>
                <w:sz w:val="20"/>
                <w:szCs w:val="20"/>
                <w:color w:val="auto"/>
              </w:rPr>
            </w:pPr>
            <w:r>
              <w:rPr>
                <w:rFonts w:ascii="Arial" w:cs="Arial" w:eastAsia="Arial" w:hAnsi="Arial"/>
                <w:sz w:val="16"/>
                <w:szCs w:val="16"/>
                <w:b w:val="1"/>
                <w:bCs w:val="1"/>
                <w:color w:val="auto"/>
                <w:w w:val="86"/>
              </w:rPr>
              <w:t>Gain/(loss) on</w:t>
            </w:r>
          </w:p>
        </w:tc>
        <w:tc>
          <w:tcPr>
            <w:tcW w:w="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8"/>
              </w:rPr>
              <w:t>As per unaudited</w:t>
            </w:r>
          </w:p>
        </w:tc>
        <w:tc>
          <w:tcPr>
            <w:tcW w:w="100" w:type="dxa"/>
            <w:vAlign w:val="bottom"/>
          </w:tcPr>
          <w:p>
            <w:pPr>
              <w:spacing w:after="0"/>
              <w:rPr>
                <w:sz w:val="16"/>
                <w:szCs w:val="16"/>
                <w:color w:val="auto"/>
              </w:rPr>
            </w:pPr>
          </w:p>
        </w:tc>
        <w:tc>
          <w:tcPr>
            <w:tcW w:w="1220" w:type="dxa"/>
            <w:vAlign w:val="bottom"/>
            <w:vMerge w:val="restart"/>
          </w:tcPr>
          <w:p>
            <w:pPr>
              <w:jc w:val="center"/>
              <w:ind w:left="221"/>
              <w:spacing w:after="0"/>
              <w:rPr>
                <w:sz w:val="20"/>
                <w:szCs w:val="20"/>
                <w:color w:val="auto"/>
              </w:rPr>
            </w:pPr>
            <w:r>
              <w:rPr>
                <w:rFonts w:ascii="Arial" w:cs="Arial" w:eastAsia="Arial" w:hAnsi="Arial"/>
                <w:sz w:val="16"/>
                <w:szCs w:val="16"/>
                <w:b w:val="1"/>
                <w:bCs w:val="1"/>
                <w:color w:val="auto"/>
                <w:w w:val="86"/>
              </w:rPr>
              <w:t>Gain/(loss) on</w:t>
            </w:r>
          </w:p>
        </w:tc>
        <w:tc>
          <w:tcPr>
            <w:tcW w:w="0" w:type="dxa"/>
            <w:vAlign w:val="bottom"/>
          </w:tcPr>
          <w:p>
            <w:pPr>
              <w:spacing w:after="0"/>
              <w:rPr>
                <w:sz w:val="1"/>
                <w:szCs w:val="1"/>
                <w:color w:val="auto"/>
              </w:rPr>
            </w:pPr>
          </w:p>
        </w:tc>
      </w:tr>
      <w:tr>
        <w:trPr>
          <w:trHeight w:val="78"/>
        </w:trPr>
        <w:tc>
          <w:tcPr>
            <w:tcW w:w="1700" w:type="dxa"/>
            <w:vAlign w:val="bottom"/>
            <w:gridSpan w:val="3"/>
            <w:vMerge w:val="restart"/>
          </w:tcPr>
          <w:p>
            <w:pPr>
              <w:jc w:val="center"/>
              <w:ind w:right="180"/>
              <w:spacing w:after="0" w:line="158" w:lineRule="exact"/>
              <w:rPr>
                <w:sz w:val="20"/>
                <w:szCs w:val="20"/>
                <w:color w:val="auto"/>
              </w:rPr>
            </w:pPr>
            <w:r>
              <w:rPr>
                <w:rFonts w:ascii="Arial" w:cs="Arial" w:eastAsia="Arial" w:hAnsi="Arial"/>
                <w:sz w:val="16"/>
                <w:szCs w:val="16"/>
                <w:b w:val="1"/>
                <w:bCs w:val="1"/>
                <w:color w:val="auto"/>
                <w:w w:val="85"/>
              </w:rPr>
              <w:t>consolidated</w:t>
            </w:r>
          </w:p>
        </w:tc>
        <w:tc>
          <w:tcPr>
            <w:tcW w:w="1300" w:type="dxa"/>
            <w:vAlign w:val="bottom"/>
            <w:gridSpan w:val="2"/>
            <w:vMerge w:val="restart"/>
          </w:tcPr>
          <w:p>
            <w:pPr>
              <w:jc w:val="center"/>
              <w:ind w:right="180"/>
              <w:spacing w:after="0" w:line="158" w:lineRule="exact"/>
              <w:rPr>
                <w:sz w:val="20"/>
                <w:szCs w:val="20"/>
                <w:color w:val="auto"/>
              </w:rPr>
            </w:pPr>
            <w:r>
              <w:rPr>
                <w:rFonts w:ascii="Arial" w:cs="Arial" w:eastAsia="Arial" w:hAnsi="Arial"/>
                <w:sz w:val="16"/>
                <w:szCs w:val="16"/>
                <w:b w:val="1"/>
                <w:bCs w:val="1"/>
                <w:color w:val="auto"/>
                <w:w w:val="90"/>
              </w:rPr>
              <w:t>derivative</w:t>
            </w:r>
          </w:p>
        </w:tc>
        <w:tc>
          <w:tcPr>
            <w:tcW w:w="1300" w:type="dxa"/>
            <w:vAlign w:val="bottom"/>
            <w:vMerge w:val="restart"/>
          </w:tcPr>
          <w:p>
            <w:pPr>
              <w:jc w:val="center"/>
              <w:spacing w:after="0" w:line="158" w:lineRule="exact"/>
              <w:rPr>
                <w:sz w:val="20"/>
                <w:szCs w:val="20"/>
                <w:color w:val="auto"/>
              </w:rPr>
            </w:pPr>
            <w:r>
              <w:rPr>
                <w:rFonts w:ascii="Arial" w:cs="Arial" w:eastAsia="Arial" w:hAnsi="Arial"/>
                <w:sz w:val="16"/>
                <w:szCs w:val="16"/>
                <w:b w:val="1"/>
                <w:bCs w:val="1"/>
                <w:color w:val="auto"/>
                <w:w w:val="85"/>
              </w:rPr>
              <w:t>consolidated</w:t>
            </w:r>
          </w:p>
        </w:tc>
        <w:tc>
          <w:tcPr>
            <w:tcW w:w="10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700" w:type="dxa"/>
            <w:vAlign w:val="bottom"/>
            <w:gridSpan w:val="3"/>
            <w:vMerge w:val="continue"/>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8"/>
              </w:rPr>
              <w:t>derivative finan</w:t>
            </w:r>
          </w:p>
        </w:tc>
        <w:tc>
          <w:tcPr>
            <w:tcW w:w="0" w:type="dxa"/>
            <w:vAlign w:val="bottom"/>
          </w:tcPr>
          <w:p>
            <w:pPr>
              <w:spacing w:after="0"/>
              <w:rPr>
                <w:sz w:val="1"/>
                <w:szCs w:val="1"/>
                <w:color w:val="auto"/>
              </w:rPr>
            </w:pPr>
          </w:p>
        </w:tc>
      </w:tr>
      <w:tr>
        <w:trPr>
          <w:trHeight w:val="104"/>
        </w:trPr>
        <w:tc>
          <w:tcPr>
            <w:tcW w:w="1700" w:type="dxa"/>
            <w:vAlign w:val="bottom"/>
            <w:gridSpan w:val="3"/>
            <w:vMerge w:val="restart"/>
          </w:tcPr>
          <w:p>
            <w:pPr>
              <w:jc w:val="center"/>
              <w:ind w:right="180"/>
              <w:spacing w:after="0" w:line="171" w:lineRule="exact"/>
              <w:rPr>
                <w:sz w:val="20"/>
                <w:szCs w:val="20"/>
                <w:color w:val="auto"/>
              </w:rPr>
            </w:pPr>
            <w:r>
              <w:rPr>
                <w:rFonts w:ascii="Arial" w:cs="Arial" w:eastAsia="Arial" w:hAnsi="Arial"/>
                <w:sz w:val="16"/>
                <w:szCs w:val="16"/>
                <w:b w:val="1"/>
                <w:bCs w:val="1"/>
                <w:color w:val="auto"/>
                <w:w w:val="84"/>
              </w:rPr>
              <w:t>statements of</w:t>
            </w:r>
          </w:p>
        </w:tc>
        <w:tc>
          <w:tcPr>
            <w:tcW w:w="1300" w:type="dxa"/>
            <w:vAlign w:val="bottom"/>
            <w:gridSpan w:val="2"/>
            <w:vMerge w:val="restart"/>
          </w:tcPr>
          <w:p>
            <w:pPr>
              <w:jc w:val="center"/>
              <w:ind w:right="180"/>
              <w:spacing w:after="0" w:line="171" w:lineRule="exact"/>
              <w:rPr>
                <w:sz w:val="20"/>
                <w:szCs w:val="20"/>
                <w:color w:val="auto"/>
              </w:rPr>
            </w:pPr>
            <w:r>
              <w:rPr>
                <w:rFonts w:ascii="Arial" w:cs="Arial" w:eastAsia="Arial" w:hAnsi="Arial"/>
                <w:sz w:val="16"/>
                <w:szCs w:val="16"/>
                <w:b w:val="1"/>
                <w:bCs w:val="1"/>
                <w:color w:val="auto"/>
                <w:w w:val="92"/>
              </w:rPr>
              <w:t>financial</w:t>
            </w:r>
          </w:p>
        </w:tc>
        <w:tc>
          <w:tcPr>
            <w:tcW w:w="1300" w:type="dxa"/>
            <w:vAlign w:val="bottom"/>
            <w:vMerge w:val="restart"/>
          </w:tcPr>
          <w:p>
            <w:pPr>
              <w:jc w:val="center"/>
              <w:spacing w:after="0" w:line="171" w:lineRule="exact"/>
              <w:rPr>
                <w:sz w:val="20"/>
                <w:szCs w:val="20"/>
                <w:color w:val="auto"/>
              </w:rPr>
            </w:pPr>
            <w:r>
              <w:rPr>
                <w:rFonts w:ascii="Arial" w:cs="Arial" w:eastAsia="Arial" w:hAnsi="Arial"/>
                <w:sz w:val="16"/>
                <w:szCs w:val="16"/>
                <w:b w:val="1"/>
                <w:bCs w:val="1"/>
                <w:color w:val="auto"/>
                <w:w w:val="84"/>
              </w:rPr>
              <w:t>statements of</w:t>
            </w:r>
          </w:p>
        </w:tc>
        <w:tc>
          <w:tcPr>
            <w:tcW w:w="1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700" w:type="dxa"/>
            <w:vAlign w:val="bottom"/>
            <w:gridSpan w:val="3"/>
            <w:vMerge w:val="continue"/>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vMerge w:val="restart"/>
          </w:tcPr>
          <w:p>
            <w:pPr>
              <w:jc w:val="center"/>
              <w:ind w:left="261"/>
              <w:spacing w:after="0"/>
              <w:rPr>
                <w:sz w:val="20"/>
                <w:szCs w:val="20"/>
                <w:color w:val="auto"/>
              </w:rPr>
            </w:pPr>
            <w:r>
              <w:rPr>
                <w:rFonts w:ascii="Arial" w:cs="Arial" w:eastAsia="Arial" w:hAnsi="Arial"/>
                <w:sz w:val="16"/>
                <w:szCs w:val="16"/>
                <w:b w:val="1"/>
                <w:bCs w:val="1"/>
                <w:color w:val="auto"/>
                <w:w w:val="87"/>
              </w:rPr>
              <w:t>instruments</w:t>
            </w:r>
          </w:p>
        </w:tc>
        <w:tc>
          <w:tcPr>
            <w:tcW w:w="0" w:type="dxa"/>
            <w:vAlign w:val="bottom"/>
          </w:tcPr>
          <w:p>
            <w:pPr>
              <w:spacing w:after="0"/>
              <w:rPr>
                <w:sz w:val="1"/>
                <w:szCs w:val="1"/>
                <w:color w:val="auto"/>
              </w:rPr>
            </w:pPr>
          </w:p>
        </w:tc>
      </w:tr>
      <w:tr>
        <w:trPr>
          <w:trHeight w:val="138"/>
        </w:trPr>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5"/>
              </w:rPr>
              <w:t>income</w:t>
            </w:r>
          </w:p>
        </w:tc>
        <w:tc>
          <w:tcPr>
            <w:tcW w:w="8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1220" w:type="dxa"/>
            <w:vAlign w:val="bottom"/>
            <w:vMerge w:val="restart"/>
          </w:tcPr>
          <w:p>
            <w:pPr>
              <w:jc w:val="center"/>
              <w:ind w:right="21"/>
              <w:spacing w:after="0"/>
              <w:rPr>
                <w:sz w:val="20"/>
                <w:szCs w:val="20"/>
                <w:color w:val="auto"/>
              </w:rPr>
            </w:pPr>
            <w:r>
              <w:rPr>
                <w:rFonts w:ascii="Arial" w:cs="Arial" w:eastAsia="Arial" w:hAnsi="Arial"/>
                <w:sz w:val="16"/>
                <w:szCs w:val="16"/>
                <w:b w:val="1"/>
                <w:bCs w:val="1"/>
                <w:color w:val="auto"/>
                <w:w w:val="87"/>
              </w:rPr>
              <w:t>instruments</w:t>
            </w:r>
          </w:p>
        </w:tc>
        <w:tc>
          <w:tcPr>
            <w:tcW w:w="80" w:type="dxa"/>
            <w:vAlign w:val="bottom"/>
            <w:vMerge w:val="restart"/>
          </w:tcPr>
          <w:p>
            <w:pPr>
              <w:spacing w:after="0"/>
              <w:rPr>
                <w:sz w:val="11"/>
                <w:szCs w:val="11"/>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5"/>
              </w:rPr>
              <w:t>income</w:t>
            </w: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520" w:type="dxa"/>
            <w:vAlign w:val="bottom"/>
            <w:tcBorders>
              <w:bottom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 w:type="dxa"/>
            <w:vAlign w:val="bottom"/>
            <w:tcBorders>
              <w:bottom w:val="single" w:sz="8" w:color="auto"/>
            </w:tcBorders>
            <w:vMerge w:val="continue"/>
          </w:tcPr>
          <w:p>
            <w:pPr>
              <w:spacing w:after="0"/>
              <w:rPr>
                <w:sz w:val="9"/>
                <w:szCs w:val="9"/>
                <w:color w:val="auto"/>
              </w:rPr>
            </w:pPr>
          </w:p>
        </w:tc>
        <w:tc>
          <w:tcPr>
            <w:tcW w:w="1220" w:type="dxa"/>
            <w:vAlign w:val="bottom"/>
            <w:tcBorders>
              <w:bottom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30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-7620</wp:posOffset>
            </wp:positionV>
            <wp:extent cx="6922770" cy="141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22770" cy="141605"/>
                    </a:xfrm>
                    <a:prstGeom prst="rect">
                      <a:avLst/>
                    </a:prstGeom>
                    <a:noFill/>
                  </pic:spPr>
                </pic:pic>
              </a:graphicData>
            </a:graphic>
          </wp:anchor>
        </w:drawing>
      </w:r>
    </w:p>
    <w:p>
      <w:pPr>
        <w:spacing w:after="0" w:line="635" w:lineRule="exact"/>
        <w:rPr>
          <w:sz w:val="20"/>
          <w:szCs w:val="20"/>
          <w:color w:val="auto"/>
        </w:rPr>
      </w:pPr>
    </w:p>
    <w:p>
      <w:pPr>
        <w:sectPr>
          <w:pgSz w:w="11900" w:h="16838" w:orient="portrait"/>
          <w:cols w:equalWidth="0" w:num="2">
            <w:col w:w="5580" w:space="140"/>
            <w:col w:w="5620"/>
          </w:cols>
          <w:pgMar w:left="320" w:top="121" w:right="239" w:bottom="1440" w:gutter="0" w:footer="0" w:header="0"/>
          <w:type w:val="continuous"/>
        </w:sectPr>
      </w:pPr>
    </w:p>
    <w:tbl>
      <w:tblPr>
        <w:tblLayout w:type="fixed"/>
        <w:tblInd w:w="440" w:type="dxa"/>
        <w:tblCellMar>
          <w:top w:w="0" w:type="dxa"/>
          <w:left w:w="0" w:type="dxa"/>
          <w:bottom w:w="0" w:type="dxa"/>
          <w:right w:w="0" w:type="dxa"/>
        </w:tblCellMar>
      </w:tblPr>
      <w:tr>
        <w:trPr>
          <w:trHeight w:val="243"/>
        </w:trPr>
        <w:tc>
          <w:tcPr>
            <w:tcW w:w="52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7"/>
                <w:szCs w:val="17"/>
                <w:color w:val="auto"/>
              </w:rPr>
              <w:t>Cost of revenues</w:t>
            </w:r>
          </w:p>
        </w:tc>
        <w:tc>
          <w:tcPr>
            <w:tcW w:w="480" w:type="dxa"/>
            <w:vAlign w:val="bottom"/>
          </w:tcPr>
          <w:p>
            <w:pPr>
              <w:jc w:val="right"/>
              <w:ind w:right="29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659,185</w:t>
            </w:r>
          </w:p>
        </w:tc>
        <w:tc>
          <w:tcPr>
            <w:tcW w:w="8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1,396</w:t>
            </w:r>
          </w:p>
        </w:tc>
        <w:tc>
          <w:tcPr>
            <w:tcW w:w="8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507,265</w:t>
            </w:r>
          </w:p>
        </w:tc>
        <w:tc>
          <w:tcPr>
            <w:tcW w:w="100" w:type="dxa"/>
            <w:vAlign w:val="bottom"/>
          </w:tcPr>
          <w:p>
            <w:pPr>
              <w:spacing w:after="0"/>
              <w:rPr>
                <w:sz w:val="19"/>
                <w:szCs w:val="19"/>
                <w:color w:val="auto"/>
              </w:rPr>
            </w:pPr>
          </w:p>
        </w:tc>
        <w:tc>
          <w:tcPr>
            <w:tcW w:w="560" w:type="dxa"/>
            <w:vAlign w:val="bottom"/>
          </w:tcPr>
          <w:p>
            <w:pPr>
              <w:jc w:val="right"/>
              <w:ind w:right="373"/>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122,898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103,369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7"/>
                <w:szCs w:val="17"/>
                <w:color w:val="auto"/>
              </w:rPr>
              <w:t>Selling and marketing expenses</w:t>
            </w:r>
          </w:p>
        </w:tc>
        <w:tc>
          <w:tcPr>
            <w:tcW w:w="480" w:type="dxa"/>
            <w:vAlign w:val="bottom"/>
          </w:tcPr>
          <w:p>
            <w:pPr>
              <w:jc w:val="right"/>
              <w:ind w:right="29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72,034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w:t>
            </w:r>
          </w:p>
        </w:tc>
        <w:tc>
          <w:tcPr>
            <w:tcW w:w="8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59,631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 expense</w:t>
            </w: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42,057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36,716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2"/>
        </w:trPr>
        <w:tc>
          <w:tcPr>
            <w:tcW w:w="528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480" w:type="dxa"/>
            <w:vAlign w:val="bottom"/>
          </w:tcPr>
          <w:p>
            <w:pPr>
              <w:jc w:val="right"/>
              <w:ind w:right="29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4,820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6,804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7"/>
                <w:szCs w:val="17"/>
                <w:b w:val="1"/>
                <w:bCs w:val="1"/>
                <w:color w:val="auto"/>
              </w:rPr>
              <w:t>Total before tax</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1,881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effects on above</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6"/>
        </w:trPr>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Net of tax</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28"/>
        </w:trPr>
        <w:tc>
          <w:tcPr>
            <w:tcW w:w="5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07"/>
        </w:trPr>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87"/>
        </w:trPr>
        <w:tc>
          <w:tcPr>
            <w:tcW w:w="5280" w:type="dxa"/>
            <w:vAlign w:val="bottom"/>
            <w:shd w:val="clear" w:color="auto" w:fill="CCEEFF"/>
          </w:tcPr>
          <w:p>
            <w:pPr>
              <w:ind w:left="20"/>
              <w:spacing w:after="0" w:line="187" w:lineRule="exact"/>
              <w:rPr>
                <w:sz w:val="20"/>
                <w:szCs w:val="20"/>
                <w:color w:val="auto"/>
              </w:rPr>
            </w:pPr>
            <w:r>
              <w:rPr>
                <w:rFonts w:ascii="Arial" w:cs="Arial" w:eastAsia="Arial" w:hAnsi="Arial"/>
                <w:sz w:val="17"/>
                <w:szCs w:val="17"/>
                <w:color w:val="auto"/>
              </w:rPr>
              <w:t>Location in unaudited consolidated statements of income where</w:t>
            </w:r>
          </w:p>
        </w:tc>
        <w:tc>
          <w:tcPr>
            <w:tcW w:w="4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22"/>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gain/(loss) was recognized</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62"/>
        </w:trPr>
        <w:tc>
          <w:tcPr>
            <w:tcW w:w="5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exchange gain, net</w:t>
            </w: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(11,245)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6"/>
        </w:trPr>
        <w:tc>
          <w:tcPr>
            <w:tcW w:w="5280" w:type="dxa"/>
            <w:vAlign w:val="bottom"/>
          </w:tcPr>
          <w:p>
            <w:pPr>
              <w:spacing w:after="0"/>
              <w:rPr>
                <w:sz w:val="18"/>
                <w:szCs w:val="18"/>
                <w:color w:val="auto"/>
              </w:rPr>
            </w:pPr>
          </w:p>
        </w:tc>
        <w:tc>
          <w:tcPr>
            <w:tcW w:w="4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4,683</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(11,245)</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2,958</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0"/>
        </w:trPr>
        <w:tc>
          <w:tcPr>
            <w:tcW w:w="5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Effect of net investment hedges on accumulated other comprehensive income/(loss):</w:t>
      </w:r>
    </w:p>
    <w:p>
      <w:pPr>
        <w:spacing w:after="0" w:line="183"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Borders>
              <w:bottom w:val="single" w:sz="8" w:color="auto"/>
            </w:tcBorders>
            <w:gridSpan w:val="4"/>
          </w:tcPr>
          <w:p>
            <w:pPr>
              <w:ind w:left="660"/>
              <w:spacing w:after="0"/>
              <w:rPr>
                <w:sz w:val="20"/>
                <w:szCs w:val="20"/>
                <w:color w:val="auto"/>
              </w:rPr>
            </w:pPr>
            <w:r>
              <w:rPr>
                <w:rFonts w:ascii="Arial" w:cs="Arial" w:eastAsia="Arial" w:hAnsi="Arial"/>
                <w:sz w:val="16"/>
                <w:szCs w:val="16"/>
                <w:b w:val="1"/>
                <w:bCs w:val="1"/>
                <w:color w:val="auto"/>
                <w:w w:val="95"/>
              </w:rPr>
              <w:t>Three months ended September 30,</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Borders>
              <w:bottom w:val="single" w:sz="8" w:color="auto"/>
            </w:tcBorders>
            <w:gridSpan w:val="5"/>
          </w:tcPr>
          <w:p>
            <w:pPr>
              <w:jc w:val="center"/>
              <w:ind w:left="241"/>
              <w:spacing w:after="0"/>
              <w:rPr>
                <w:sz w:val="20"/>
                <w:szCs w:val="20"/>
                <w:color w:val="auto"/>
              </w:rPr>
            </w:pPr>
            <w:r>
              <w:rPr>
                <w:rFonts w:ascii="Arial" w:cs="Arial" w:eastAsia="Arial" w:hAnsi="Arial"/>
                <w:sz w:val="16"/>
                <w:szCs w:val="16"/>
                <w:b w:val="1"/>
                <w:bCs w:val="1"/>
                <w:color w:val="auto"/>
                <w:w w:val="87"/>
              </w:rPr>
              <w:t>Nine months ended September 30,</w:t>
            </w:r>
          </w:p>
        </w:tc>
      </w:tr>
      <w:tr>
        <w:trPr>
          <w:trHeight w:val="203"/>
        </w:trPr>
        <w:tc>
          <w:tcPr>
            <w:tcW w:w="4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Borders>
              <w:bottom w:val="single" w:sz="8" w:color="auto"/>
            </w:tcBorders>
            <w:gridSpan w:val="4"/>
          </w:tcPr>
          <w:p>
            <w:pPr>
              <w:ind w:left="660"/>
              <w:spacing w:after="0"/>
              <w:rPr>
                <w:sz w:val="20"/>
                <w:szCs w:val="20"/>
                <w:color w:val="auto"/>
              </w:rPr>
            </w:pPr>
            <w:r>
              <w:rPr>
                <w:rFonts w:ascii="Arial" w:cs="Arial" w:eastAsia="Arial" w:hAnsi="Arial"/>
                <w:sz w:val="16"/>
                <w:szCs w:val="16"/>
                <w:b w:val="1"/>
                <w:bCs w:val="1"/>
                <w:color w:val="auto"/>
                <w:w w:val="96"/>
              </w:rPr>
              <w:t>Amount of loss recognized in AOCI</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Borders>
              <w:bottom w:val="single" w:sz="8" w:color="auto"/>
            </w:tcBorders>
            <w:gridSpan w:val="5"/>
          </w:tcPr>
          <w:p>
            <w:pPr>
              <w:jc w:val="center"/>
              <w:ind w:left="241"/>
              <w:spacing w:after="0"/>
              <w:rPr>
                <w:sz w:val="20"/>
                <w:szCs w:val="20"/>
                <w:color w:val="auto"/>
              </w:rPr>
            </w:pPr>
            <w:r>
              <w:rPr>
                <w:rFonts w:ascii="Arial" w:cs="Arial" w:eastAsia="Arial" w:hAnsi="Arial"/>
                <w:sz w:val="16"/>
                <w:szCs w:val="16"/>
                <w:b w:val="1"/>
                <w:bCs w:val="1"/>
                <w:color w:val="auto"/>
                <w:w w:val="88"/>
              </w:rPr>
              <w:t>Amount of loss recognized in AOCI</w:t>
            </w:r>
          </w:p>
        </w:tc>
      </w:tr>
      <w:tr>
        <w:trPr>
          <w:trHeight w:val="219"/>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investment hedging relationships</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6"/>
                <w:szCs w:val="16"/>
                <w:b w:val="1"/>
                <w:bCs w:val="1"/>
                <w:color w:val="auto"/>
              </w:rPr>
              <w:t>2021</w:t>
            </w:r>
          </w:p>
        </w:tc>
      </w:tr>
      <w:tr>
        <w:trPr>
          <w:trHeight w:val="216"/>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Foreign currency forward contracts</w:t>
            </w:r>
          </w:p>
        </w:tc>
        <w:tc>
          <w:tcPr>
            <w:tcW w:w="1300" w:type="dxa"/>
            <w:vAlign w:val="bottom"/>
            <w:shd w:val="clear" w:color="auto" w:fill="CCEEFF"/>
          </w:tcPr>
          <w:p>
            <w:pPr>
              <w:jc w:val="right"/>
              <w:ind w:right="1119"/>
              <w:spacing w:after="0"/>
              <w:rPr>
                <w:sz w:val="20"/>
                <w:szCs w:val="20"/>
                <w:color w:val="auto"/>
              </w:rPr>
            </w:pPr>
            <w:r>
              <w:rPr>
                <w:rFonts w:ascii="Arial" w:cs="Arial" w:eastAsia="Arial" w:hAnsi="Arial"/>
                <w:sz w:val="17"/>
                <w:szCs w:val="17"/>
                <w:color w:val="auto"/>
                <w:w w:val="84"/>
              </w:rPr>
              <w:t>$</w:t>
            </w:r>
          </w:p>
        </w:tc>
        <w:tc>
          <w:tcPr>
            <w:tcW w:w="1960" w:type="dxa"/>
            <w:vAlign w:val="bottom"/>
            <w:gridSpan w:val="3"/>
            <w:shd w:val="clear" w:color="auto" w:fill="CCEEFF"/>
          </w:tcPr>
          <w:p>
            <w:pPr>
              <w:jc w:val="right"/>
              <w:ind w:right="1181"/>
              <w:spacing w:after="0"/>
              <w:rPr>
                <w:sz w:val="20"/>
                <w:szCs w:val="20"/>
                <w:color w:val="auto"/>
              </w:rPr>
            </w:pPr>
            <w:r>
              <w:rPr>
                <w:rFonts w:ascii="Arial" w:cs="Arial" w:eastAsia="Arial" w:hAnsi="Arial"/>
                <w:sz w:val="17"/>
                <w:szCs w:val="17"/>
                <w:color w:val="auto"/>
              </w:rPr>
              <w:t>—  $</w:t>
            </w:r>
          </w:p>
        </w:tc>
        <w:tc>
          <w:tcPr>
            <w:tcW w:w="1660" w:type="dxa"/>
            <w:vAlign w:val="bottom"/>
            <w:gridSpan w:val="3"/>
            <w:shd w:val="clear" w:color="auto" w:fill="CCEEFF"/>
          </w:tcPr>
          <w:p>
            <w:pPr>
              <w:jc w:val="right"/>
              <w:ind w:right="921"/>
              <w:spacing w:after="0"/>
              <w:rPr>
                <w:sz w:val="20"/>
                <w:szCs w:val="20"/>
                <w:color w:val="auto"/>
              </w:rPr>
            </w:pPr>
            <w:r>
              <w:rPr>
                <w:rFonts w:ascii="Arial" w:cs="Arial" w:eastAsia="Arial" w:hAnsi="Arial"/>
                <w:sz w:val="17"/>
                <w:szCs w:val="17"/>
                <w:color w:val="auto"/>
              </w:rPr>
              <w:t>—  $</w:t>
            </w:r>
          </w:p>
        </w:tc>
        <w:tc>
          <w:tcPr>
            <w:tcW w:w="8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bl>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Borrowings</w:t>
      </w:r>
    </w:p>
    <w:p>
      <w:pPr>
        <w:spacing w:after="0" w:line="33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summarizes the Company’s debt position:</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 September 30, 2022</w:t>
            </w:r>
          </w:p>
        </w:tc>
        <w:tc>
          <w:tcPr>
            <w:tcW w:w="400" w:type="dxa"/>
            <w:vAlign w:val="bottom"/>
          </w:tcPr>
          <w:p>
            <w:pPr>
              <w:spacing w:after="0"/>
              <w:rPr>
                <w:sz w:val="15"/>
                <w:szCs w:val="15"/>
                <w:color w:val="auto"/>
              </w:rPr>
            </w:pPr>
          </w:p>
        </w:tc>
        <w:tc>
          <w:tcPr>
            <w:tcW w:w="422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 2021</w:t>
            </w:r>
          </w:p>
        </w:tc>
      </w:tr>
      <w:tr>
        <w:trPr>
          <w:trHeight w:val="24"/>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3"/>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r>
      <w:tr>
        <w:trPr>
          <w:trHeight w:val="183"/>
        </w:trPr>
        <w:tc>
          <w:tcPr>
            <w:tcW w:w="4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Credit Facility</w:t>
            </w:r>
          </w:p>
        </w:tc>
        <w:tc>
          <w:tcPr>
            <w:tcW w:w="1900" w:type="dxa"/>
            <w:vAlign w:val="bottom"/>
            <w:tcBorders>
              <w:bottom w:val="single" w:sz="8" w:color="auto"/>
            </w:tcBorders>
          </w:tcPr>
          <w:p>
            <w:pPr>
              <w:spacing w:after="0"/>
              <w:rPr>
                <w:sz w:val="15"/>
                <w:szCs w:val="15"/>
                <w:color w:val="auto"/>
              </w:rPr>
            </w:pPr>
          </w:p>
        </w:tc>
        <w:tc>
          <w:tcPr>
            <w:tcW w:w="2320" w:type="dxa"/>
            <w:vAlign w:val="bottom"/>
          </w:tcPr>
          <w:p>
            <w:pPr>
              <w:spacing w:after="0"/>
              <w:rPr>
                <w:sz w:val="15"/>
                <w:szCs w:val="15"/>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portion of long-term borrowings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260,016</w:t>
            </w:r>
          </w:p>
        </w:tc>
        <w:tc>
          <w:tcPr>
            <w:tcW w:w="2320" w:type="dxa"/>
            <w:vAlign w:val="bottom"/>
          </w:tcPr>
          <w:p>
            <w:pPr>
              <w:spacing w:after="0"/>
              <w:rPr>
                <w:sz w:val="19"/>
                <w:szCs w:val="19"/>
                <w:color w:val="auto"/>
              </w:rPr>
            </w:pPr>
          </w:p>
        </w:tc>
      </w:tr>
      <w:tr>
        <w:trPr>
          <w:trHeight w:val="262"/>
        </w:trPr>
        <w:tc>
          <w:tcPr>
            <w:tcW w:w="4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20" w:type="dxa"/>
            <w:vAlign w:val="bottom"/>
            <w:gridSpan w:val="2"/>
          </w:tcPr>
          <w:p>
            <w:pPr>
              <w:spacing w:after="0"/>
              <w:rPr>
                <w:sz w:val="22"/>
                <w:szCs w:val="22"/>
                <w:color w:val="auto"/>
              </w:rPr>
            </w:pPr>
          </w:p>
        </w:tc>
      </w:tr>
      <w:tr>
        <w:trPr>
          <w:trHeight w:val="249"/>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Long-term borrowings</w:t>
            </w:r>
          </w:p>
        </w:tc>
        <w:tc>
          <w:tcPr>
            <w:tcW w:w="240" w:type="dxa"/>
            <w:vAlign w:val="bottom"/>
            <w:tcBorders>
              <w:bottom w:val="single" w:sz="8" w:color="auto"/>
            </w:tcBorders>
            <w:shd w:val="clear" w:color="auto" w:fill="CCEEFF"/>
          </w:tcPr>
          <w:p>
            <w:pPr>
              <w:spacing w:after="0"/>
              <w:rPr>
                <w:sz w:val="21"/>
                <w:szCs w:val="21"/>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235,000</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320" w:type="dxa"/>
            <w:vAlign w:val="bottom"/>
          </w:tcPr>
          <w:p>
            <w:pPr>
              <w:spacing w:after="0"/>
              <w:rPr>
                <w:sz w:val="21"/>
                <w:szCs w:val="21"/>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7"/>
                <w:szCs w:val="17"/>
                <w:b w:val="1"/>
                <w:bCs w:val="1"/>
                <w:color w:val="auto"/>
              </w:rPr>
              <w:t>Total borrowings</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270,000</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260,016</w:t>
            </w:r>
          </w:p>
        </w:tc>
        <w:tc>
          <w:tcPr>
            <w:tcW w:w="232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871"/>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jc w:val="right"/>
              <w:ind w:right="738"/>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12"/>
        </w:trPr>
        <w:tc>
          <w:tcPr>
            <w:tcW w:w="4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Unamortized debt issuance costs for the Company’s revolving Credit Facility of $1,245 and $232 as of September 30, 2022 and December 31, 2021, respectively, are presented under “Other current assets” and “Other assets,” as applicable in the consolidated balance sheets.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Agreement</w:t>
      </w:r>
    </w:p>
    <w:p>
      <w:pPr>
        <w:spacing w:after="0" w:line="224"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The Company held a $300,000 revolving credit facility pursuant to its credit agreement (the “Credit Agreement”), dated as of November 21, 2017 with certain lenders and Citibank N.A. as Administrative Agent (the “Credit Facility”). The Credit Facility had a maturity date of November 21, 2022 and was voluntarily pre-payable from time to time without premium or penalty.</w:t>
      </w:r>
    </w:p>
    <w:p>
      <w:pPr>
        <w:spacing w:after="0" w:line="198" w:lineRule="exact"/>
        <w:rPr>
          <w:sz w:val="20"/>
          <w:szCs w:val="20"/>
          <w:color w:val="auto"/>
        </w:rPr>
      </w:pPr>
    </w:p>
    <w:p>
      <w:pPr>
        <w:jc w:val="both"/>
        <w:ind w:firstLine="393"/>
        <w:spacing w:after="0" w:line="247" w:lineRule="auto"/>
        <w:rPr>
          <w:sz w:val="20"/>
          <w:szCs w:val="20"/>
          <w:color w:val="auto"/>
        </w:rPr>
      </w:pPr>
      <w:r>
        <w:rPr>
          <w:rFonts w:ascii="Arial" w:cs="Arial" w:eastAsia="Arial" w:hAnsi="Arial"/>
          <w:sz w:val="17"/>
          <w:szCs w:val="17"/>
          <w:color w:val="auto"/>
        </w:rPr>
        <w:t>On April 18, 2022, the Company and each of the Company’s wholly owned material domestic subsidiaries entered into an Amendment and Restatement Agreement with Citibank, N.A. as Administrative Agent and certain lenders (the “2022 Credit Agreement”), pursuant to which the parties thereto amended and restated the Credit Agreement. Among other things, the 2022 Credit Agreement (a) provides for the issuance of new revolving credit commitments such that the aggregate amount of revolving credit commitments available to the Company is equal to $400,000; (b) extends the maturity date of the Credit Facility from November 21, 2022 to April 18, 2027; and (c) replaces LIBOR with Secured Overnight Financing Rate (“SOFR”) as the reference rate for the U.S. dollar borrowings.</w:t>
      </w:r>
    </w:p>
    <w:p>
      <w:pPr>
        <w:spacing w:after="0" w:line="196"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The 2022 Credit Agreement provides an option to increase the commitments by up to $200,000, subject to certain approvals and conditions. The 2022 Credit Agreement includes a letter of credit sub facility and is voluntarily pre-payable from time to time without premium or penalty. Borrowings under the 2022 Credit Agreement can be used for working capital and general corporate purposes, including permitted acquisitions.</w:t>
      </w:r>
    </w:p>
    <w:p>
      <w:pPr>
        <w:spacing w:after="0" w:line="198"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6"/>
          <w:szCs w:val="16"/>
          <w:color w:val="auto"/>
        </w:rPr>
        <w:t>Obligations under the 2022 Credit Agreement are guaranteed by the Company’s material domestic subsidiaries and are secured by all or substantially all of the assets of the Company and our material domestic subsidiaries. The 2022 Credit Agreement contains customary affirmative and negative covenants, including, but not limited to, restrictions on the ability to incur indebtedness, create liens, make certain investments, make certain dividends and related distributions, enter into, or undertake, certain liquidations, mergers, consolidations or acquisitions and dispose of certain assets or subsidiaries.</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Credit Facility carried an effective interest rate as shown below:</w:t>
      </w:r>
    </w:p>
    <w:p>
      <w:pPr>
        <w:spacing w:after="0" w:line="280" w:lineRule="exact"/>
        <w:rPr>
          <w:sz w:val="20"/>
          <w:szCs w:val="20"/>
          <w:color w:val="auto"/>
        </w:rPr>
      </w:pPr>
    </w:p>
    <w:tbl>
      <w:tblPr>
        <w:tblLayout w:type="fixed"/>
        <w:tblInd w:w="400" w:type="dxa"/>
        <w:tblCellMar>
          <w:top w:w="0" w:type="dxa"/>
          <w:left w:w="0" w:type="dxa"/>
          <w:bottom w:w="0" w:type="dxa"/>
          <w:right w:w="0" w:type="dxa"/>
        </w:tblCellMar>
      </w:tblPr>
      <w:tr>
        <w:trPr>
          <w:trHeight w:val="183"/>
        </w:trPr>
        <w:tc>
          <w:tcPr>
            <w:tcW w:w="4520" w:type="dxa"/>
            <w:vAlign w:val="bottom"/>
          </w:tcPr>
          <w:p>
            <w:pPr>
              <w:spacing w:after="0"/>
              <w:rPr>
                <w:sz w:val="15"/>
                <w:szCs w:val="15"/>
                <w:color w:val="auto"/>
              </w:rPr>
            </w:pPr>
          </w:p>
        </w:tc>
        <w:tc>
          <w:tcPr>
            <w:tcW w:w="27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2580" w:type="dxa"/>
            <w:vAlign w:val="bottom"/>
            <w:gridSpan w:val="3"/>
          </w:tcPr>
          <w:p>
            <w:pPr>
              <w:jc w:val="right"/>
              <w:ind w:right="197"/>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4"/>
        </w:trPr>
        <w:tc>
          <w:tcPr>
            <w:tcW w:w="53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0"/>
        </w:trPr>
        <w:tc>
          <w:tcPr>
            <w:tcW w:w="452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6"/>
                <w:szCs w:val="16"/>
                <w:b w:val="1"/>
                <w:bCs w:val="1"/>
                <w:color w:val="auto"/>
              </w:rPr>
              <w:t>2021</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Effective Interest Rate</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3.4 %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2.0 %</w:t>
            </w:r>
          </w:p>
        </w:tc>
      </w:tr>
    </w:tbl>
    <w:p>
      <w:pPr>
        <w:spacing w:after="0" w:line="302"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As of September 30, 2022 and December 31, 2021, the Company was in compliance with all financial and non-financial covenants listed under the Credit Agreement.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Convertible Senior Notes</w:t>
      </w:r>
    </w:p>
    <w:p>
      <w:pPr>
        <w:spacing w:after="0" w:line="237"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6"/>
          <w:szCs w:val="16"/>
          <w:color w:val="auto"/>
        </w:rPr>
        <w:t>On October 1, 2018, the Company entered into an investment agreement (the “Investment Agreement”) with Orogen Echo LLC (the “Purchaser”), an affiliate of The Orogen Group LLC, relating to the issuance to the Purchaser of $150,000, in an aggregate principal amount (the “Notes”). The Notes carried interest at a rate of 3.5% per annum, payable semi-annually in arrears in cash on April 1 and October 1 of each year. The Notes were convertible at an initial conversion rate of 13.3333 shares of the common stock per one thousand dollar principal amount of the Notes (which represented an initial conversion price of approximately $75 per share). The Company had the option to redeem the principal amount of the Notes, at its option, if the closing sale price of the common stock exceeded 150% of the then-current conversion price for 20 or more trading days in the 30 consecutive trading day period preceding the Company’s exercise of this redemption right (including the trading day immediately prior to the date of the notice of redemption).</w:t>
      </w:r>
    </w:p>
    <w:p>
      <w:pPr>
        <w:spacing w:after="0" w:line="196"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On August 27, 2021, the Company entered into a Payoff and Termination Agreement with the Purchaser, pursuant to which the Company prepaid and settled its outstanding obligations under the Notes, by electing a combination of cash and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3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shares of the Company’s common stock. During the three and nine months ended September 30, 2021, the Company recognized interest expense and amortization of debt discount of $1,248 and $5,237, respectively, on the Notes.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Expected payments for all of the Company’s borrowings as of September 30, 2022 were as follows:</w:t>
      </w:r>
    </w:p>
    <w:p>
      <w:pPr>
        <w:spacing w:after="0" w:line="271" w:lineRule="exact"/>
        <w:rPr>
          <w:sz w:val="20"/>
          <w:szCs w:val="20"/>
          <w:color w:val="auto"/>
        </w:rPr>
      </w:pPr>
    </w:p>
    <w:tbl>
      <w:tblPr>
        <w:tblLayout w:type="fixed"/>
        <w:tblInd w:w="1900" w:type="dxa"/>
        <w:tblCellMar>
          <w:top w:w="0" w:type="dxa"/>
          <w:left w:w="0" w:type="dxa"/>
          <w:bottom w:w="0" w:type="dxa"/>
          <w:right w:w="0" w:type="dxa"/>
        </w:tblCellMar>
      </w:tblPr>
      <w:tr>
        <w:trPr>
          <w:trHeight w:val="197"/>
        </w:trPr>
        <w:tc>
          <w:tcPr>
            <w:tcW w:w="4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vMerge w:val="restart"/>
          </w:tcPr>
          <w:p>
            <w:pPr>
              <w:ind w:left="100"/>
              <w:spacing w:after="0"/>
              <w:rPr>
                <w:sz w:val="20"/>
                <w:szCs w:val="20"/>
                <w:color w:val="auto"/>
              </w:rPr>
            </w:pPr>
            <w:r>
              <w:rPr>
                <w:rFonts w:ascii="Arial" w:cs="Arial" w:eastAsia="Arial" w:hAnsi="Arial"/>
                <w:sz w:val="17"/>
                <w:szCs w:val="17"/>
                <w:b w:val="1"/>
                <w:bCs w:val="1"/>
                <w:color w:val="auto"/>
              </w:rPr>
              <w:t>Credit Facility</w:t>
            </w:r>
          </w:p>
        </w:tc>
        <w:tc>
          <w:tcPr>
            <w:tcW w:w="220" w:type="dxa"/>
            <w:vAlign w:val="bottom"/>
          </w:tcPr>
          <w:p>
            <w:pPr>
              <w:spacing w:after="0"/>
              <w:rPr>
                <w:sz w:val="17"/>
                <w:szCs w:val="17"/>
                <w:color w:val="auto"/>
              </w:rPr>
            </w:pPr>
          </w:p>
        </w:tc>
        <w:tc>
          <w:tcPr>
            <w:tcW w:w="1220" w:type="dxa"/>
            <w:vAlign w:val="bottom"/>
          </w:tcPr>
          <w:p>
            <w:pPr>
              <w:jc w:val="right"/>
              <w:ind w:right="333"/>
              <w:spacing w:after="0"/>
              <w:rPr>
                <w:sz w:val="20"/>
                <w:szCs w:val="20"/>
                <w:color w:val="auto"/>
              </w:rPr>
            </w:pPr>
            <w:r>
              <w:rPr>
                <w:rFonts w:ascii="Arial" w:cs="Arial" w:eastAsia="Arial" w:hAnsi="Arial"/>
                <w:sz w:val="17"/>
                <w:szCs w:val="17"/>
                <w:b w:val="1"/>
                <w:bCs w:val="1"/>
                <w:color w:val="auto"/>
              </w:rPr>
              <w:t>Interest</w:t>
            </w:r>
          </w:p>
        </w:tc>
        <w:tc>
          <w:tcPr>
            <w:tcW w:w="0" w:type="dxa"/>
            <w:vAlign w:val="bottom"/>
          </w:tcPr>
          <w:p>
            <w:pPr>
              <w:spacing w:after="0"/>
              <w:rPr>
                <w:sz w:val="1"/>
                <w:szCs w:val="1"/>
                <w:color w:val="auto"/>
              </w:rPr>
            </w:pPr>
          </w:p>
        </w:tc>
      </w:tr>
      <w:tr>
        <w:trPr>
          <w:trHeight w:val="136"/>
        </w:trPr>
        <w:tc>
          <w:tcPr>
            <w:tcW w:w="4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vMerge w:val="restart"/>
          </w:tcPr>
          <w:p>
            <w:pPr>
              <w:jc w:val="right"/>
              <w:ind w:right="233"/>
              <w:spacing w:after="0"/>
              <w:rPr>
                <w:sz w:val="20"/>
                <w:szCs w:val="20"/>
                <w:color w:val="auto"/>
              </w:rPr>
            </w:pPr>
            <w:r>
              <w:rPr>
                <w:rFonts w:ascii="Arial" w:cs="Arial" w:eastAsia="Arial" w:hAnsi="Arial"/>
                <w:sz w:val="17"/>
                <w:szCs w:val="17"/>
                <w:b w:val="1"/>
                <w:bCs w:val="1"/>
                <w:color w:val="auto"/>
              </w:rPr>
              <w:t>Payments*</w:t>
            </w:r>
          </w:p>
        </w:tc>
        <w:tc>
          <w:tcPr>
            <w:tcW w:w="0" w:type="dxa"/>
            <w:vAlign w:val="bottom"/>
          </w:tcPr>
          <w:p>
            <w:pPr>
              <w:spacing w:after="0"/>
              <w:rPr>
                <w:sz w:val="1"/>
                <w:szCs w:val="1"/>
                <w:color w:val="auto"/>
              </w:rPr>
            </w:pPr>
          </w:p>
        </w:tc>
      </w:tr>
      <w:tr>
        <w:trPr>
          <w:trHeight w:val="92"/>
        </w:trPr>
        <w:tc>
          <w:tcPr>
            <w:tcW w:w="4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 (October 1 - December 31)</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2,809</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7"/>
                <w:szCs w:val="17"/>
                <w:color w:val="auto"/>
              </w:rPr>
              <w:t>2023</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15,000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10,505</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10,154</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7"/>
                <w:szCs w:val="17"/>
                <w:color w:val="auto"/>
              </w:rPr>
              <w:t>2025</w:t>
            </w:r>
          </w:p>
        </w:tc>
        <w:tc>
          <w:tcPr>
            <w:tcW w:w="22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10,154</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10,154</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2027 and thereafter</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235,000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3,808</w:t>
            </w:r>
          </w:p>
        </w:tc>
        <w:tc>
          <w:tcPr>
            <w:tcW w:w="0" w:type="dxa"/>
            <w:vAlign w:val="bottom"/>
          </w:tcPr>
          <w:p>
            <w:pPr>
              <w:spacing w:after="0"/>
              <w:rPr>
                <w:sz w:val="1"/>
                <w:szCs w:val="1"/>
                <w:color w:val="auto"/>
              </w:rPr>
            </w:pPr>
          </w:p>
        </w:tc>
      </w:tr>
      <w:tr>
        <w:trPr>
          <w:trHeight w:val="241"/>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270,000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47,584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 Interest payments are based on effective interest rate as of September 30, 2022.</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Letters of Credit</w:t>
      </w:r>
    </w:p>
    <w:p>
      <w:pPr>
        <w:spacing w:after="0" w:line="237" w:lineRule="exact"/>
        <w:rPr>
          <w:sz w:val="20"/>
          <w:szCs w:val="20"/>
          <w:color w:val="auto"/>
        </w:rPr>
      </w:pPr>
    </w:p>
    <w:p>
      <w:pPr>
        <w:ind w:firstLine="393"/>
        <w:spacing w:after="0" w:line="305" w:lineRule="auto"/>
        <w:rPr>
          <w:sz w:val="20"/>
          <w:szCs w:val="20"/>
          <w:color w:val="auto"/>
        </w:rPr>
      </w:pPr>
      <w:r>
        <w:rPr>
          <w:rFonts w:ascii="Arial" w:cs="Arial" w:eastAsia="Arial" w:hAnsi="Arial"/>
          <w:sz w:val="16"/>
          <w:szCs w:val="16"/>
          <w:color w:val="auto"/>
        </w:rPr>
        <w:t>In the ordinary course of business, the Company provides standby letters of credit to third parties primarily for facility leases. As of September 30, 2022 and December 31, 2021, the Company had outstanding letters of credit of $461, each, that were not recognized in the consolidated balance sheets.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Capital Structure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has one class of common stock outstanding.</w:t>
      </w:r>
    </w:p>
    <w:p>
      <w:pPr>
        <w:spacing w:after="0" w:line="237" w:lineRule="exact"/>
        <w:rPr>
          <w:sz w:val="20"/>
          <w:szCs w:val="20"/>
          <w:color w:val="auto"/>
        </w:rPr>
      </w:pPr>
    </w:p>
    <w:p>
      <w:pPr>
        <w:ind w:firstLine="433"/>
        <w:spacing w:after="0" w:line="273" w:lineRule="auto"/>
        <w:rPr>
          <w:sz w:val="20"/>
          <w:szCs w:val="20"/>
          <w:color w:val="auto"/>
        </w:rPr>
      </w:pPr>
      <w:r>
        <w:rPr>
          <w:rFonts w:ascii="Arial" w:cs="Arial" w:eastAsia="Arial" w:hAnsi="Arial"/>
          <w:sz w:val="17"/>
          <w:szCs w:val="17"/>
          <w:color w:val="auto"/>
        </w:rPr>
        <w:t>The Company purchased shares of its common stock from employees in connection with withholding tax payments related to the vesting of restricted stock units and performance-based restricted stock units, as below:</w:t>
      </w:r>
    </w:p>
    <w:p>
      <w:pPr>
        <w:spacing w:after="0" w:line="180"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5680" w:type="dxa"/>
            <w:vAlign w:val="bottom"/>
          </w:tcPr>
          <w:p>
            <w:pPr>
              <w:spacing w:after="0"/>
              <w:rPr>
                <w:sz w:val="16"/>
                <w:szCs w:val="16"/>
                <w:color w:val="auto"/>
              </w:rPr>
            </w:pPr>
          </w:p>
        </w:tc>
        <w:tc>
          <w:tcPr>
            <w:tcW w:w="1500" w:type="dxa"/>
            <w:vAlign w:val="bottom"/>
            <w:gridSpan w:val="2"/>
            <w:vMerge w:val="restart"/>
          </w:tcPr>
          <w:p>
            <w:pPr>
              <w:ind w:left="460"/>
              <w:spacing w:after="0"/>
              <w:rPr>
                <w:sz w:val="20"/>
                <w:szCs w:val="20"/>
                <w:color w:val="auto"/>
              </w:rPr>
            </w:pPr>
            <w:r>
              <w:rPr>
                <w:rFonts w:ascii="Arial" w:cs="Arial" w:eastAsia="Arial" w:hAnsi="Arial"/>
                <w:sz w:val="17"/>
                <w:szCs w:val="17"/>
                <w:b w:val="1"/>
                <w:bCs w:val="1"/>
                <w:color w:val="auto"/>
              </w:rPr>
              <w:t>Shares</w:t>
            </w: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ind w:right="198"/>
              <w:spacing w:after="0"/>
              <w:rPr>
                <w:sz w:val="20"/>
                <w:szCs w:val="20"/>
                <w:color w:val="auto"/>
              </w:rPr>
            </w:pPr>
            <w:r>
              <w:rPr>
                <w:rFonts w:ascii="Arial" w:cs="Arial" w:eastAsia="Arial" w:hAnsi="Arial"/>
                <w:sz w:val="17"/>
                <w:szCs w:val="17"/>
                <w:b w:val="1"/>
                <w:bCs w:val="1"/>
                <w:color w:val="auto"/>
                <w:w w:val="96"/>
              </w:rPr>
              <w:t>Weighted average</w:t>
            </w:r>
          </w:p>
        </w:tc>
        <w:tc>
          <w:tcPr>
            <w:tcW w:w="0" w:type="dxa"/>
            <w:vAlign w:val="bottom"/>
          </w:tcPr>
          <w:p>
            <w:pPr>
              <w:spacing w:after="0"/>
              <w:rPr>
                <w:sz w:val="1"/>
                <w:szCs w:val="1"/>
                <w:color w:val="auto"/>
              </w:rPr>
            </w:pPr>
          </w:p>
        </w:tc>
      </w:tr>
      <w:tr>
        <w:trPr>
          <w:trHeight w:val="176"/>
        </w:trPr>
        <w:tc>
          <w:tcPr>
            <w:tcW w:w="568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w w:val="93"/>
              </w:rPr>
              <w:t>Total consideration</w:t>
            </w:r>
          </w:p>
        </w:tc>
        <w:tc>
          <w:tcPr>
            <w:tcW w:w="80" w:type="dxa"/>
            <w:vAlign w:val="bottom"/>
            <w:vMerge w:val="restart"/>
          </w:tcPr>
          <w:p>
            <w:pPr>
              <w:spacing w:after="0"/>
              <w:rPr>
                <w:sz w:val="15"/>
                <w:szCs w:val="15"/>
                <w:color w:val="auto"/>
              </w:rPr>
            </w:pPr>
          </w:p>
        </w:tc>
        <w:tc>
          <w:tcPr>
            <w:tcW w:w="1900" w:type="dxa"/>
            <w:vAlign w:val="bottom"/>
            <w:gridSpan w:val="2"/>
          </w:tcPr>
          <w:p>
            <w:pPr>
              <w:ind w:left="20"/>
              <w:spacing w:after="0" w:line="176" w:lineRule="exact"/>
              <w:rPr>
                <w:sz w:val="20"/>
                <w:szCs w:val="20"/>
                <w:color w:val="auto"/>
              </w:rPr>
            </w:pPr>
            <w:r>
              <w:rPr>
                <w:rFonts w:ascii="Arial" w:cs="Arial" w:eastAsia="Arial" w:hAnsi="Arial"/>
                <w:sz w:val="17"/>
                <w:szCs w:val="17"/>
                <w:b w:val="1"/>
                <w:bCs w:val="1"/>
                <w:color w:val="auto"/>
                <w:w w:val="91"/>
              </w:rPr>
              <w:t>purchase price per share</w:t>
            </w:r>
          </w:p>
        </w:tc>
        <w:tc>
          <w:tcPr>
            <w:tcW w:w="0" w:type="dxa"/>
            <w:vAlign w:val="bottom"/>
          </w:tcPr>
          <w:p>
            <w:pPr>
              <w:spacing w:after="0"/>
              <w:rPr>
                <w:sz w:val="1"/>
                <w:szCs w:val="1"/>
                <w:color w:val="auto"/>
              </w:rPr>
            </w:pPr>
          </w:p>
        </w:tc>
      </w:tr>
      <w:tr>
        <w:trPr>
          <w:trHeight w:val="157"/>
        </w:trPr>
        <w:tc>
          <w:tcPr>
            <w:tcW w:w="568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ind w:right="153"/>
              <w:spacing w:after="0" w:line="158" w:lineRule="exact"/>
              <w:rPr>
                <w:sz w:val="20"/>
                <w:szCs w:val="20"/>
                <w:color w:val="auto"/>
              </w:rPr>
            </w:pPr>
            <w:r>
              <w:rPr>
                <w:rFonts w:ascii="Arial" w:cs="Arial" w:eastAsia="Arial" w:hAnsi="Arial"/>
                <w:sz w:val="17"/>
                <w:szCs w:val="17"/>
                <w:b w:val="1"/>
                <w:bCs w:val="1"/>
                <w:color w:val="auto"/>
              </w:rPr>
              <w:t>repurchased</w:t>
            </w:r>
          </w:p>
        </w:tc>
        <w:tc>
          <w:tcPr>
            <w:tcW w:w="8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798"/>
              <w:spacing w:after="0"/>
              <w:rPr>
                <w:sz w:val="20"/>
                <w:szCs w:val="20"/>
                <w:color w:val="auto"/>
              </w:rPr>
            </w:pP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Three months ended September 30, 2022</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680" w:type="dxa"/>
            <w:vAlign w:val="bottom"/>
          </w:tcPr>
          <w:p>
            <w:pPr>
              <w:ind w:left="20"/>
              <w:spacing w:after="0"/>
              <w:rPr>
                <w:sz w:val="20"/>
                <w:szCs w:val="20"/>
                <w:color w:val="auto"/>
              </w:rPr>
            </w:pPr>
            <w:r>
              <w:rPr>
                <w:rFonts w:ascii="Arial" w:cs="Arial" w:eastAsia="Arial" w:hAnsi="Arial"/>
                <w:sz w:val="17"/>
                <w:szCs w:val="17"/>
                <w:color w:val="auto"/>
              </w:rPr>
              <w:t>Three months ended September 30, 2021</w:t>
            </w:r>
          </w:p>
        </w:tc>
        <w:tc>
          <w:tcPr>
            <w:tcW w:w="15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580" w:type="dxa"/>
            <w:vAlign w:val="bottom"/>
          </w:tcPr>
          <w:p>
            <w:pPr>
              <w:ind w:left="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2"/>
        </w:trPr>
        <w:tc>
          <w:tcPr>
            <w:tcW w:w="56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680" w:type="dxa"/>
            <w:vAlign w:val="bottom"/>
          </w:tcPr>
          <w:p>
            <w:pPr>
              <w:ind w:left="20"/>
              <w:spacing w:after="0"/>
              <w:rPr>
                <w:sz w:val="20"/>
                <w:szCs w:val="20"/>
                <w:color w:val="auto"/>
              </w:rPr>
            </w:pPr>
            <w:r>
              <w:rPr>
                <w:rFonts w:ascii="Arial" w:cs="Arial" w:eastAsia="Arial" w:hAnsi="Arial"/>
                <w:sz w:val="17"/>
                <w:szCs w:val="17"/>
                <w:color w:val="auto"/>
              </w:rPr>
              <w:t>Nine months ended September 30, 2022</w:t>
            </w:r>
          </w:p>
        </w:tc>
        <w:tc>
          <w:tcPr>
            <w:tcW w:w="1420" w:type="dxa"/>
            <w:vAlign w:val="bottom"/>
          </w:tcPr>
          <w:p>
            <w:pPr>
              <w:jc w:val="right"/>
              <w:spacing w:after="0"/>
              <w:rPr>
                <w:sz w:val="20"/>
                <w:szCs w:val="20"/>
                <w:color w:val="auto"/>
              </w:rPr>
            </w:pPr>
            <w:r>
              <w:rPr>
                <w:rFonts w:ascii="Arial" w:cs="Arial" w:eastAsia="Arial" w:hAnsi="Arial"/>
                <w:sz w:val="17"/>
                <w:szCs w:val="17"/>
                <w:color w:val="auto"/>
              </w:rPr>
              <w:t>27,219</w:t>
            </w:r>
          </w:p>
        </w:tc>
        <w:tc>
          <w:tcPr>
            <w:tcW w:w="8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3,191</w:t>
            </w: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117.23</w:t>
            </w:r>
          </w:p>
        </w:tc>
        <w:tc>
          <w:tcPr>
            <w:tcW w:w="0" w:type="dxa"/>
            <w:vAlign w:val="bottom"/>
          </w:tcPr>
          <w:p>
            <w:pPr>
              <w:spacing w:after="0"/>
              <w:rPr>
                <w:sz w:val="1"/>
                <w:szCs w:val="1"/>
                <w:color w:val="auto"/>
              </w:rPr>
            </w:pPr>
          </w:p>
        </w:tc>
      </w:tr>
      <w:tr>
        <w:trPr>
          <w:trHeight w:val="223"/>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Nine months ended September 30, 2021</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25,450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79.18</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firstLine="393"/>
        <w:spacing w:after="0" w:line="227" w:lineRule="auto"/>
        <w:rPr>
          <w:sz w:val="20"/>
          <w:szCs w:val="20"/>
          <w:color w:val="auto"/>
        </w:rPr>
      </w:pPr>
      <w:r>
        <w:rPr>
          <w:rFonts w:ascii="Arial" w:cs="Arial" w:eastAsia="Arial" w:hAnsi="Arial"/>
          <w:sz w:val="22"/>
          <w:szCs w:val="22"/>
          <w:color w:val="auto"/>
          <w:vertAlign w:val="superscript"/>
        </w:rPr>
        <w:t>(1)</w:t>
      </w:r>
      <w:r>
        <w:rPr>
          <w:rFonts w:ascii="Arial" w:cs="Arial" w:eastAsia="Arial" w:hAnsi="Arial"/>
          <w:sz w:val="17"/>
          <w:szCs w:val="17"/>
          <w:color w:val="auto"/>
        </w:rPr>
        <w:t>The weighted average purchase price per share is based on the closing price of the Company’s common stock on the Nasdaq Global Select Market on the trading day prior to the applicable vesting date of the shares of restricted stock.</w:t>
      </w:r>
    </w:p>
    <w:p>
      <w:pPr>
        <w:spacing w:after="0" w:line="212"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On December 16, 2019, the Company’s Board of Directors authorized a $200,000 common stock repurchase program beginning January 1, 2020 through December 31, 2022 (the “2019 Repurchase Program”).</w:t>
      </w:r>
    </w:p>
    <w:p>
      <w:pPr>
        <w:spacing w:after="0" w:line="185"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On October 5, 2021, the Company’s Board of Directors authorized a $300,000 common stock repurchase program beginning January 1, 2022 (the “2022 Repurchase Program”), and terminated the 2019 Repurchase Program on December 31, 2021.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379" w:lineRule="exact"/>
        <w:rPr>
          <w:sz w:val="20"/>
          <w:szCs w:val="20"/>
          <w:color w:val="auto"/>
        </w:rPr>
      </w:pPr>
    </w:p>
    <w:p>
      <w:pPr>
        <w:ind w:right="20" w:firstLine="393"/>
        <w:spacing w:after="0" w:line="273" w:lineRule="auto"/>
        <w:rPr>
          <w:sz w:val="20"/>
          <w:szCs w:val="20"/>
          <w:color w:val="auto"/>
        </w:rPr>
      </w:pPr>
      <w:r>
        <w:rPr>
          <w:rFonts w:ascii="Arial" w:cs="Arial" w:eastAsia="Arial" w:hAnsi="Arial"/>
          <w:sz w:val="17"/>
          <w:szCs w:val="17"/>
          <w:color w:val="auto"/>
        </w:rPr>
        <w:t>Under the 2022 Repurchase Program and 2019 Repurchase Program, shares may be purchased by the Company from time to time from the open market and through private transactions, or otherwise, as determined by the Company’s management as market conditions warrant. Repurchases may be discontinued at any time by the management.</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 purchased shares of its common stock, for a total consideration including commissions, under repurchase programs, as below:</w:t>
      </w:r>
    </w:p>
    <w:p>
      <w:pPr>
        <w:spacing w:after="0" w:line="238"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522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8"/>
              </w:rPr>
              <w:t>Shares</w:t>
            </w:r>
          </w:p>
        </w:tc>
        <w:tc>
          <w:tcPr>
            <w:tcW w:w="120" w:type="dxa"/>
            <w:vAlign w:val="bottom"/>
          </w:tcPr>
          <w:p>
            <w:pPr>
              <w:spacing w:after="0"/>
              <w:rPr>
                <w:sz w:val="16"/>
                <w:szCs w:val="16"/>
                <w:color w:val="auto"/>
              </w:rPr>
            </w:pPr>
          </w:p>
        </w:tc>
        <w:tc>
          <w:tcPr>
            <w:tcW w:w="1740" w:type="dxa"/>
            <w:vAlign w:val="bottom"/>
            <w:gridSpan w:val="2"/>
          </w:tcPr>
          <w:p>
            <w:pPr>
              <w:ind w:left="40"/>
              <w:spacing w:after="0"/>
              <w:rPr>
                <w:sz w:val="20"/>
                <w:szCs w:val="20"/>
                <w:color w:val="auto"/>
              </w:rPr>
            </w:pPr>
            <w:r>
              <w:rPr>
                <w:rFonts w:ascii="Arial" w:cs="Arial" w:eastAsia="Arial" w:hAnsi="Arial"/>
                <w:sz w:val="17"/>
                <w:szCs w:val="17"/>
                <w:b w:val="1"/>
                <w:bCs w:val="1"/>
                <w:color w:val="auto"/>
              </w:rPr>
              <w:t>Total consideration</w:t>
            </w:r>
          </w:p>
        </w:tc>
        <w:tc>
          <w:tcPr>
            <w:tcW w:w="200" w:type="dxa"/>
            <w:vAlign w:val="bottom"/>
          </w:tcPr>
          <w:p>
            <w:pPr>
              <w:spacing w:after="0"/>
              <w:rPr>
                <w:sz w:val="16"/>
                <w:szCs w:val="16"/>
                <w:color w:val="auto"/>
              </w:rPr>
            </w:pPr>
          </w:p>
        </w:tc>
        <w:tc>
          <w:tcPr>
            <w:tcW w:w="1740" w:type="dxa"/>
            <w:vAlign w:val="bottom"/>
          </w:tcPr>
          <w:p>
            <w:pPr>
              <w:jc w:val="right"/>
              <w:ind w:right="213"/>
              <w:spacing w:after="0"/>
              <w:rPr>
                <w:sz w:val="20"/>
                <w:szCs w:val="20"/>
                <w:color w:val="auto"/>
              </w:rPr>
            </w:pPr>
            <w:r>
              <w:rPr>
                <w:rFonts w:ascii="Arial" w:cs="Arial" w:eastAsia="Arial" w:hAnsi="Arial"/>
                <w:sz w:val="17"/>
                <w:szCs w:val="17"/>
                <w:b w:val="1"/>
                <w:bCs w:val="1"/>
                <w:color w:val="auto"/>
                <w:w w:val="97"/>
              </w:rPr>
              <w:t>Weighted average</w:t>
            </w:r>
          </w:p>
        </w:tc>
      </w:tr>
      <w:tr>
        <w:trPr>
          <w:trHeight w:val="232"/>
        </w:trPr>
        <w:tc>
          <w:tcPr>
            <w:tcW w:w="52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0"/>
              </w:rPr>
              <w:t>repurchased</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Arial" w:cs="Arial" w:eastAsia="Arial" w:hAnsi="Arial"/>
                <w:sz w:val="17"/>
                <w:szCs w:val="17"/>
                <w:b w:val="1"/>
                <w:bCs w:val="1"/>
                <w:color w:val="auto"/>
                <w:w w:val="92"/>
              </w:rPr>
              <w:t>purchase price per share</w:t>
            </w:r>
          </w:p>
        </w:tc>
      </w:tr>
      <w:tr>
        <w:trPr>
          <w:trHeight w:val="220"/>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 September 30, 2022</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76,809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150.00</w:t>
            </w:r>
          </w:p>
        </w:tc>
      </w:tr>
      <w:tr>
        <w:trPr>
          <w:trHeight w:val="223"/>
        </w:trPr>
        <w:tc>
          <w:tcPr>
            <w:tcW w:w="5220" w:type="dxa"/>
            <w:vAlign w:val="bottom"/>
          </w:tcPr>
          <w:p>
            <w:pPr>
              <w:ind w:left="20"/>
              <w:spacing w:after="0"/>
              <w:rPr>
                <w:sz w:val="20"/>
                <w:szCs w:val="20"/>
                <w:color w:val="auto"/>
              </w:rPr>
            </w:pPr>
            <w:r>
              <w:rPr>
                <w:rFonts w:ascii="Arial" w:cs="Arial" w:eastAsia="Arial" w:hAnsi="Arial"/>
                <w:sz w:val="17"/>
                <w:szCs w:val="17"/>
                <w:color w:val="auto"/>
              </w:rPr>
              <w:t>Three months ended September 30, 2021</w:t>
            </w:r>
          </w:p>
        </w:tc>
        <w:tc>
          <w:tcPr>
            <w:tcW w:w="1480" w:type="dxa"/>
            <w:vAlign w:val="bottom"/>
          </w:tcPr>
          <w:p>
            <w:pPr>
              <w:jc w:val="right"/>
              <w:spacing w:after="0"/>
              <w:rPr>
                <w:sz w:val="20"/>
                <w:szCs w:val="20"/>
                <w:color w:val="auto"/>
              </w:rPr>
            </w:pPr>
            <w:r>
              <w:rPr>
                <w:rFonts w:ascii="Arial" w:cs="Arial" w:eastAsia="Arial" w:hAnsi="Arial"/>
                <w:sz w:val="17"/>
                <w:szCs w:val="17"/>
                <w:color w:val="auto"/>
              </w:rPr>
              <w:t>244,580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28,196</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115.28</w:t>
            </w:r>
          </w:p>
        </w:tc>
      </w:tr>
      <w:tr>
        <w:trPr>
          <w:trHeight w:val="262"/>
        </w:trPr>
        <w:tc>
          <w:tcPr>
            <w:tcW w:w="5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r>
      <w:tr>
        <w:trPr>
          <w:trHeight w:val="223"/>
        </w:trPr>
        <w:tc>
          <w:tcPr>
            <w:tcW w:w="5220" w:type="dxa"/>
            <w:vAlign w:val="bottom"/>
          </w:tcPr>
          <w:p>
            <w:pPr>
              <w:ind w:left="20"/>
              <w:spacing w:after="0"/>
              <w:rPr>
                <w:sz w:val="20"/>
                <w:szCs w:val="20"/>
                <w:color w:val="auto"/>
              </w:rPr>
            </w:pPr>
            <w:r>
              <w:rPr>
                <w:rFonts w:ascii="Arial" w:cs="Arial" w:eastAsia="Arial" w:hAnsi="Arial"/>
                <w:sz w:val="17"/>
                <w:szCs w:val="17"/>
                <w:color w:val="auto"/>
              </w:rPr>
              <w:t>Nine months ended September 30, 2022</w:t>
            </w:r>
          </w:p>
        </w:tc>
        <w:tc>
          <w:tcPr>
            <w:tcW w:w="1480" w:type="dxa"/>
            <w:vAlign w:val="bottom"/>
          </w:tcPr>
          <w:p>
            <w:pPr>
              <w:jc w:val="right"/>
              <w:spacing w:after="0"/>
              <w:rPr>
                <w:sz w:val="20"/>
                <w:szCs w:val="20"/>
                <w:color w:val="auto"/>
              </w:rPr>
            </w:pPr>
            <w:r>
              <w:rPr>
                <w:rFonts w:ascii="Arial" w:cs="Arial" w:eastAsia="Arial" w:hAnsi="Arial"/>
                <w:sz w:val="17"/>
                <w:szCs w:val="17"/>
                <w:color w:val="auto"/>
              </w:rPr>
              <w:t>503,858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68,521</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135.99</w:t>
            </w: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Nine months ended September 30, 2021</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844,656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83,605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98.98</w:t>
            </w:r>
          </w:p>
        </w:tc>
      </w:tr>
    </w:tbl>
    <w:p>
      <w:pPr>
        <w:spacing w:after="0" w:line="302"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Repurchased shares have been recorded as treasury shares and will be held until the Company’s Board of Directors designates that these shares be retired or used for other purposes.</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Employee Benefit Plans</w:t>
      </w:r>
    </w:p>
    <w:p>
      <w:pPr>
        <w:spacing w:after="0" w:line="243" w:lineRule="exact"/>
        <w:rPr>
          <w:sz w:val="20"/>
          <w:szCs w:val="20"/>
          <w:color w:val="auto"/>
        </w:rPr>
      </w:pPr>
    </w:p>
    <w:p>
      <w:pPr>
        <w:jc w:val="both"/>
        <w:ind w:firstLine="393"/>
        <w:spacing w:after="0" w:line="246" w:lineRule="auto"/>
        <w:rPr>
          <w:sz w:val="20"/>
          <w:szCs w:val="20"/>
          <w:color w:val="auto"/>
        </w:rPr>
      </w:pPr>
      <w:r>
        <w:rPr>
          <w:rFonts w:ascii="Arial" w:cs="Arial" w:eastAsia="Arial" w:hAnsi="Arial"/>
          <w:sz w:val="17"/>
          <w:szCs w:val="17"/>
          <w:color w:val="auto"/>
        </w:rPr>
        <w:t>The Company’s Gratuity Plan in India (the “India Plan”) provides for a lump sum payment to vested employees on retirement or upon termination of employment in an amount based on the respective employee’s salary and years of employment with the Company. 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Liabilities with regard to the India Plan and the Philippines Plan are determined by actuarial valuation using the projected unit credit method. Current service costs for these Plans are accrued in the year to which they relate. Actuarial gains or losses or prior service costs, if any, resulting from amendments to the plans are recognized and amortized over the remaining period of service of the employees.</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Components of net periodic benefit costs and actuarial loss reclassified from AOCI, were as follows:</w:t>
      </w:r>
    </w:p>
    <w:p>
      <w:pPr>
        <w:spacing w:after="0" w:line="135" w:lineRule="exact"/>
        <w:rPr>
          <w:sz w:val="20"/>
          <w:szCs w:val="20"/>
          <w:color w:val="auto"/>
        </w:rPr>
      </w:pPr>
    </w:p>
    <w:tbl>
      <w:tblPr>
        <w:tblLayout w:type="fixed"/>
        <w:tblInd w:w="80" w:type="dxa"/>
        <w:tblCellMar>
          <w:top w:w="0" w:type="dxa"/>
          <w:left w:w="0" w:type="dxa"/>
          <w:bottom w:w="0" w:type="dxa"/>
          <w:right w:w="0" w:type="dxa"/>
        </w:tblCellMar>
      </w:tblPr>
      <w:tr>
        <w:trPr>
          <w:trHeight w:val="183"/>
        </w:trPr>
        <w:tc>
          <w:tcPr>
            <w:tcW w:w="5220" w:type="dxa"/>
            <w:vAlign w:val="bottom"/>
          </w:tcPr>
          <w:p>
            <w:pPr>
              <w:spacing w:after="0"/>
              <w:rPr>
                <w:sz w:val="15"/>
                <w:szCs w:val="15"/>
                <w:color w:val="auto"/>
              </w:rPr>
            </w:pPr>
          </w:p>
        </w:tc>
        <w:tc>
          <w:tcPr>
            <w:tcW w:w="294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5"/>
                <w:szCs w:val="15"/>
                <w:color w:val="auto"/>
              </w:rPr>
            </w:pPr>
          </w:p>
        </w:tc>
        <w:tc>
          <w:tcPr>
            <w:tcW w:w="2520" w:type="dxa"/>
            <w:vAlign w:val="bottom"/>
            <w:gridSpan w:val="4"/>
          </w:tcPr>
          <w:p>
            <w:pPr>
              <w:jc w:val="right"/>
              <w:ind w:right="275"/>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4"/>
        </w:trPr>
        <w:tc>
          <w:tcPr>
            <w:tcW w:w="5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3"/>
        </w:trPr>
        <w:tc>
          <w:tcPr>
            <w:tcW w:w="52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r>
      <w:tr>
        <w:trPr>
          <w:trHeight w:val="223"/>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Service cost</w:t>
            </w: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2,648</w:t>
            </w:r>
          </w:p>
        </w:tc>
      </w:tr>
      <w:tr>
        <w:trPr>
          <w:trHeight w:val="223"/>
        </w:trPr>
        <w:tc>
          <w:tcPr>
            <w:tcW w:w="5220" w:type="dxa"/>
            <w:vAlign w:val="bottom"/>
          </w:tcPr>
          <w:p>
            <w:pPr>
              <w:spacing w:after="0"/>
              <w:rPr>
                <w:sz w:val="20"/>
                <w:szCs w:val="20"/>
                <w:color w:val="auto"/>
              </w:rPr>
            </w:pPr>
            <w:r>
              <w:rPr>
                <w:rFonts w:ascii="Arial" w:cs="Arial" w:eastAsia="Arial" w:hAnsi="Arial"/>
                <w:sz w:val="17"/>
                <w:szCs w:val="17"/>
                <w:color w:val="auto"/>
              </w:rPr>
              <w:t>Interest cost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938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700</w:t>
            </w:r>
          </w:p>
        </w:tc>
      </w:tr>
      <w:tr>
        <w:trPr>
          <w:trHeight w:val="223"/>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r>
      <w:tr>
        <w:trPr>
          <w:trHeight w:val="223"/>
        </w:trPr>
        <w:tc>
          <w:tcPr>
            <w:tcW w:w="52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Amortization of actuarial loss, gross of tax</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533</w:t>
            </w:r>
          </w:p>
        </w:tc>
      </w:tr>
      <w:tr>
        <w:trPr>
          <w:trHeight w:val="241"/>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gratuity cost</w:t>
            </w:r>
          </w:p>
        </w:tc>
        <w:tc>
          <w:tcPr>
            <w:tcW w:w="900" w:type="dxa"/>
            <w:vAlign w:val="bottom"/>
            <w:tcBorders>
              <w:bottom w:val="single" w:sz="8" w:color="auto"/>
            </w:tcBorders>
            <w:shd w:val="clear" w:color="auto" w:fill="CCEEFF"/>
          </w:tcPr>
          <w:p>
            <w:pPr>
              <w:jc w:val="right"/>
              <w:ind w:right="718"/>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1,155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3,594</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5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actuarial loss, gross of tax</w:t>
            </w: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w:t>
            </w:r>
          </w:p>
        </w:tc>
      </w:tr>
      <w:tr>
        <w:trPr>
          <w:trHeight w:val="223"/>
        </w:trPr>
        <w:tc>
          <w:tcPr>
            <w:tcW w:w="52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Income tax effects on amortization of actuarial loss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actuarial loss, net of tax</w:t>
            </w:r>
          </w:p>
        </w:tc>
        <w:tc>
          <w:tcPr>
            <w:tcW w:w="900" w:type="dxa"/>
            <w:vAlign w:val="bottom"/>
            <w:tcBorders>
              <w:bottom w:val="single" w:sz="8" w:color="auto"/>
            </w:tcBorders>
            <w:shd w:val="clear" w:color="auto" w:fill="CCEEFF"/>
          </w:tcPr>
          <w:p>
            <w:pPr>
              <w:jc w:val="right"/>
              <w:ind w:right="718"/>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w:t>
            </w:r>
          </w:p>
        </w:tc>
      </w:tr>
    </w:tbl>
    <w:p>
      <w:pPr>
        <w:spacing w:after="0" w:line="302" w:lineRule="exact"/>
        <w:rPr>
          <w:sz w:val="20"/>
          <w:szCs w:val="20"/>
          <w:color w:val="auto"/>
        </w:rPr>
      </w:pPr>
    </w:p>
    <w:p>
      <w:pPr>
        <w:jc w:val="both"/>
        <w:ind w:firstLine="393"/>
        <w:spacing w:after="0" w:line="252" w:lineRule="auto"/>
        <w:rPr>
          <w:sz w:val="20"/>
          <w:szCs w:val="20"/>
          <w:color w:val="auto"/>
        </w:rPr>
      </w:pPr>
      <w:r>
        <w:rPr>
          <w:rFonts w:ascii="Arial" w:cs="Arial" w:eastAsia="Arial" w:hAnsi="Arial"/>
          <w:sz w:val="17"/>
          <w:szCs w:val="17"/>
          <w:color w:val="auto"/>
        </w:rPr>
        <w:t>The India Plan is partially funded whereas the Philippines plan is unfunded. The Company makes annual contributions to the employees’ gratuity fund of the India Plan established with leading insurance companies. Fund managers manage these funds and calculate the annual contribution required to be made by the Company and manage the India Plan, including any required payouts. These funds are managed on a cash accumulation basis and interest is declared retrospectively on March 31 of</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each year. The Company expects to earn a return of approximately 7.2% per annum on the India Plan for the year ended December 31, 2022.</w:t>
      </w:r>
    </w:p>
    <w:p>
      <w:pPr>
        <w:spacing w:after="0" w:line="376" w:lineRule="exact"/>
        <w:rPr>
          <w:sz w:val="20"/>
          <w:szCs w:val="20"/>
          <w:color w:val="auto"/>
        </w:rPr>
      </w:pPr>
    </w:p>
    <w:tbl>
      <w:tblPr>
        <w:tblLayout w:type="fixed"/>
        <w:tblInd w:w="1020" w:type="dxa"/>
        <w:tblCellMar>
          <w:top w:w="0" w:type="dxa"/>
          <w:left w:w="0" w:type="dxa"/>
          <w:bottom w:w="0" w:type="dxa"/>
          <w:right w:w="0" w:type="dxa"/>
        </w:tblCellMar>
      </w:tblPr>
      <w:tr>
        <w:trPr>
          <w:trHeight w:val="228"/>
        </w:trPr>
        <w:tc>
          <w:tcPr>
            <w:tcW w:w="7620" w:type="dxa"/>
            <w:vAlign w:val="bottom"/>
          </w:tcPr>
          <w:p>
            <w:pPr>
              <w:ind w:left="20"/>
              <w:spacing w:after="0"/>
              <w:rPr>
                <w:sz w:val="20"/>
                <w:szCs w:val="20"/>
                <w:color w:val="auto"/>
              </w:rPr>
            </w:pPr>
            <w:r>
              <w:rPr>
                <w:rFonts w:ascii="Arial" w:cs="Arial" w:eastAsia="Arial" w:hAnsi="Arial"/>
                <w:sz w:val="17"/>
                <w:szCs w:val="17"/>
                <w:b w:val="1"/>
                <w:bCs w:val="1"/>
                <w:color w:val="auto"/>
              </w:rPr>
              <w:t>Change in Plan Assets</w:t>
            </w: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Plan assets as of January 1, 2022</w:t>
            </w:r>
          </w:p>
        </w:tc>
        <w:tc>
          <w:tcPr>
            <w:tcW w:w="56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13,605</w:t>
            </w:r>
          </w:p>
        </w:tc>
      </w:tr>
      <w:tr>
        <w:trPr>
          <w:trHeight w:val="223"/>
        </w:trPr>
        <w:tc>
          <w:tcPr>
            <w:tcW w:w="7620" w:type="dxa"/>
            <w:vAlign w:val="bottom"/>
          </w:tcPr>
          <w:p>
            <w:pPr>
              <w:ind w:left="340"/>
              <w:spacing w:after="0"/>
              <w:rPr>
                <w:sz w:val="20"/>
                <w:szCs w:val="20"/>
                <w:color w:val="auto"/>
              </w:rPr>
            </w:pPr>
            <w:r>
              <w:rPr>
                <w:rFonts w:ascii="Arial" w:cs="Arial" w:eastAsia="Arial" w:hAnsi="Arial"/>
                <w:sz w:val="17"/>
                <w:szCs w:val="17"/>
                <w:color w:val="auto"/>
              </w:rPr>
              <w:t>Actual return</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656</w:t>
            </w:r>
          </w:p>
        </w:tc>
      </w:tr>
      <w:tr>
        <w:trPr>
          <w:trHeight w:val="223"/>
        </w:trPr>
        <w:tc>
          <w:tcPr>
            <w:tcW w:w="7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Employer contribution</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1,431</w:t>
            </w:r>
          </w:p>
        </w:tc>
      </w:tr>
      <w:tr>
        <w:trPr>
          <w:trHeight w:val="223"/>
        </w:trPr>
        <w:tc>
          <w:tcPr>
            <w:tcW w:w="7620" w:type="dxa"/>
            <w:vAlign w:val="bottom"/>
          </w:tcPr>
          <w:p>
            <w:pPr>
              <w:ind w:left="340"/>
              <w:spacing w:after="0"/>
              <w:rPr>
                <w:sz w:val="20"/>
                <w:szCs w:val="20"/>
                <w:color w:val="auto"/>
              </w:rPr>
            </w:pPr>
            <w:r>
              <w:rPr>
                <w:rFonts w:ascii="Arial" w:cs="Arial" w:eastAsia="Arial" w:hAnsi="Arial"/>
                <w:sz w:val="17"/>
                <w:szCs w:val="17"/>
                <w:color w:val="auto"/>
              </w:rPr>
              <w:t>Benefits paid*</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(1,347)</w:t>
            </w:r>
          </w:p>
        </w:tc>
      </w:tr>
      <w:tr>
        <w:trPr>
          <w:trHeight w:val="223"/>
        </w:trPr>
        <w:tc>
          <w:tcPr>
            <w:tcW w:w="7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Effect of exchange rate changes</w:t>
            </w: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(1,206)</w:t>
            </w:r>
          </w:p>
        </w:tc>
      </w:tr>
      <w:tr>
        <w:trPr>
          <w:trHeight w:val="216"/>
        </w:trPr>
        <w:tc>
          <w:tcPr>
            <w:tcW w:w="7620" w:type="dxa"/>
            <w:vAlign w:val="bottom"/>
          </w:tcPr>
          <w:p>
            <w:pPr>
              <w:ind w:left="20"/>
              <w:spacing w:after="0"/>
              <w:rPr>
                <w:sz w:val="20"/>
                <w:szCs w:val="20"/>
                <w:color w:val="auto"/>
              </w:rPr>
            </w:pPr>
            <w:r>
              <w:rPr>
                <w:rFonts w:ascii="Arial" w:cs="Arial" w:eastAsia="Arial" w:hAnsi="Arial"/>
                <w:sz w:val="17"/>
                <w:szCs w:val="17"/>
                <w:color w:val="auto"/>
              </w:rPr>
              <w:t>Plan assets as of September 30, 2022</w:t>
            </w:r>
          </w:p>
        </w:tc>
        <w:tc>
          <w:tcPr>
            <w:tcW w:w="5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13,139</w:t>
            </w:r>
          </w:p>
        </w:tc>
      </w:tr>
      <w:tr>
        <w:trPr>
          <w:trHeight w:val="20"/>
        </w:trPr>
        <w:tc>
          <w:tcPr>
            <w:tcW w:w="7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 xml:space="preserve">* Benefits payments were substantially made through the plan assets during the nine months ended </w:t>
      </w:r>
      <w:r>
        <w:rPr>
          <w:rFonts w:ascii="Arial" w:cs="Arial" w:eastAsia="Arial" w:hAnsi="Arial"/>
          <w:sz w:val="17"/>
          <w:szCs w:val="17"/>
          <w:color w:val="auto"/>
        </w:rPr>
        <w:t>September 30, 2022</w:t>
      </w:r>
      <w:r>
        <w:rPr>
          <w:rFonts w:ascii="Arial" w:cs="Arial" w:eastAsia="Arial" w:hAnsi="Arial"/>
          <w:sz w:val="17"/>
          <w:szCs w:val="17"/>
          <w:i w:val="1"/>
          <w:iCs w:val="1"/>
          <w:color w:val="auto"/>
        </w:rPr>
        <w:t>.</w:t>
      </w:r>
    </w:p>
    <w:p>
      <w:pPr>
        <w:spacing w:after="0" w:line="237" w:lineRule="exact"/>
        <w:rPr>
          <w:sz w:val="20"/>
          <w:szCs w:val="20"/>
          <w:color w:val="auto"/>
        </w:rPr>
      </w:pPr>
    </w:p>
    <w:p>
      <w:pPr>
        <w:jc w:val="both"/>
        <w:ind w:right="20" w:firstLine="472"/>
        <w:spacing w:after="0" w:line="257" w:lineRule="auto"/>
        <w:rPr>
          <w:sz w:val="20"/>
          <w:szCs w:val="20"/>
          <w:color w:val="auto"/>
        </w:rPr>
      </w:pPr>
      <w:r>
        <w:rPr>
          <w:rFonts w:ascii="Arial" w:cs="Arial" w:eastAsia="Arial" w:hAnsi="Arial"/>
          <w:sz w:val="17"/>
          <w:szCs w:val="17"/>
          <w:color w:val="auto"/>
        </w:rPr>
        <w:t>The Company maintains several 401(k) plans (the “401(k) Plans”) under Section 401(k) of the Internal Revenue Code of 1986, as amended (the “Code”), covering all eligible employees, as defined in the Code as a defined social security contribution plan. The Company may make discretionary contributions of up to a maximum of 3.0% of employee compensation within certain limits.</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Company’s accrual for contributions to the 401(k) Plans were as follows:</w:t>
      </w:r>
    </w:p>
    <w:p>
      <w:pPr>
        <w:spacing w:after="0" w:line="249"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2380" w:type="dxa"/>
            <w:vAlign w:val="bottom"/>
            <w:gridSpan w:val="6"/>
          </w:tcPr>
          <w:p>
            <w:pPr>
              <w:jc w:val="right"/>
              <w:ind w:right="160"/>
              <w:spacing w:after="0"/>
              <w:rPr>
                <w:sz w:val="20"/>
                <w:szCs w:val="20"/>
                <w:color w:val="auto"/>
              </w:rPr>
            </w:pPr>
            <w:r>
              <w:rPr>
                <w:rFonts w:ascii="Arial" w:cs="Arial" w:eastAsia="Arial" w:hAnsi="Arial"/>
                <w:sz w:val="16"/>
                <w:szCs w:val="16"/>
                <w:b w:val="1"/>
                <w:bCs w:val="1"/>
                <w:color w:val="auto"/>
                <w:w w:val="89"/>
              </w:rPr>
              <w:t>Three months ended September</w:t>
            </w:r>
          </w:p>
        </w:tc>
        <w:tc>
          <w:tcPr>
            <w:tcW w:w="2220" w:type="dxa"/>
            <w:vAlign w:val="bottom"/>
            <w:gridSpan w:val="5"/>
          </w:tcPr>
          <w:p>
            <w:pPr>
              <w:jc w:val="right"/>
              <w:ind w:right="1"/>
              <w:spacing w:after="0"/>
              <w:rPr>
                <w:sz w:val="20"/>
                <w:szCs w:val="20"/>
                <w:color w:val="auto"/>
              </w:rPr>
            </w:pPr>
            <w:r>
              <w:rPr>
                <w:rFonts w:ascii="Arial" w:cs="Arial" w:eastAsia="Arial" w:hAnsi="Arial"/>
                <w:sz w:val="16"/>
                <w:szCs w:val="16"/>
                <w:b w:val="1"/>
                <w:bCs w:val="1"/>
                <w:color w:val="auto"/>
                <w:w w:val="89"/>
              </w:rPr>
              <w:t>Nine months ended September</w:t>
            </w:r>
          </w:p>
        </w:tc>
      </w:tr>
      <w:tr>
        <w:trPr>
          <w:trHeight w:val="207"/>
        </w:trPr>
        <w:tc>
          <w:tcPr>
            <w:tcW w:w="6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30,</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w w:val="80"/>
              </w:rPr>
              <w:t>30,</w:t>
            </w:r>
          </w:p>
        </w:tc>
        <w:tc>
          <w:tcPr>
            <w:tcW w:w="840" w:type="dxa"/>
            <w:vAlign w:val="bottom"/>
            <w:tcBorders>
              <w:bottom w:val="single" w:sz="8" w:color="auto"/>
            </w:tcBorders>
          </w:tcPr>
          <w:p>
            <w:pPr>
              <w:spacing w:after="0"/>
              <w:rPr>
                <w:sz w:val="18"/>
                <w:szCs w:val="18"/>
                <w:color w:val="auto"/>
              </w:rPr>
            </w:pPr>
          </w:p>
        </w:tc>
      </w:tr>
      <w:tr>
        <w:trPr>
          <w:trHeight w:val="186"/>
        </w:trPr>
        <w:tc>
          <w:tcPr>
            <w:tcW w:w="6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r>
      <w:tr>
        <w:trPr>
          <w:trHeight w:val="243"/>
        </w:trPr>
        <w:tc>
          <w:tcPr>
            <w:tcW w:w="6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Contribution to the 401(k) Plans</w:t>
            </w: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2,841</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ind w:right="140" w:firstLine="472"/>
        <w:spacing w:after="0" w:line="289" w:lineRule="auto"/>
        <w:rPr>
          <w:sz w:val="20"/>
          <w:szCs w:val="20"/>
          <w:color w:val="auto"/>
        </w:rPr>
      </w:pPr>
      <w:r>
        <w:rPr>
          <w:rFonts w:ascii="Arial" w:cs="Arial" w:eastAsia="Arial" w:hAnsi="Arial"/>
          <w:sz w:val="17"/>
          <w:szCs w:val="17"/>
          <w:color w:val="auto"/>
        </w:rPr>
        <w:t>The Company’s contribution for various defined social security contribution plans on behalf of employees in India, the Philippines, the Czech Republic, South Africa, Colombia, Mexico, Australia and Singapore were as follows:</w:t>
      </w:r>
    </w:p>
    <w:p>
      <w:pPr>
        <w:spacing w:after="0" w:line="197"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6"/>
              </w:rPr>
              <w:t>Three months ended</w:t>
            </w:r>
          </w:p>
        </w:tc>
        <w:tc>
          <w:tcPr>
            <w:tcW w:w="2160" w:type="dxa"/>
            <w:vAlign w:val="bottom"/>
            <w:gridSpan w:val="6"/>
          </w:tcPr>
          <w:p>
            <w:pPr>
              <w:jc w:val="center"/>
              <w:spacing w:after="0"/>
              <w:rPr>
                <w:sz w:val="20"/>
                <w:szCs w:val="20"/>
                <w:color w:val="auto"/>
              </w:rPr>
            </w:pPr>
            <w:r>
              <w:rPr>
                <w:rFonts w:ascii="Arial" w:cs="Arial" w:eastAsia="Arial" w:hAnsi="Arial"/>
                <w:sz w:val="16"/>
                <w:szCs w:val="16"/>
                <w:b w:val="1"/>
                <w:bCs w:val="1"/>
                <w:color w:val="auto"/>
                <w:w w:val="87"/>
              </w:rPr>
              <w:t>Nine months ended September</w:t>
            </w:r>
          </w:p>
        </w:tc>
      </w:tr>
      <w:tr>
        <w:trPr>
          <w:trHeight w:val="207"/>
        </w:trPr>
        <w:tc>
          <w:tcPr>
            <w:tcW w:w="6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left="241"/>
              <w:spacing w:after="0"/>
              <w:rPr>
                <w:sz w:val="20"/>
                <w:szCs w:val="20"/>
                <w:color w:val="auto"/>
              </w:rPr>
            </w:pPr>
            <w:r>
              <w:rPr>
                <w:rFonts w:ascii="Arial" w:cs="Arial" w:eastAsia="Arial" w:hAnsi="Arial"/>
                <w:sz w:val="16"/>
                <w:szCs w:val="16"/>
                <w:b w:val="1"/>
                <w:bCs w:val="1"/>
                <w:color w:val="auto"/>
                <w:w w:val="87"/>
              </w:rPr>
              <w:t>September 30,</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w w:val="80"/>
              </w:rPr>
              <w:t>30,</w:t>
            </w:r>
          </w:p>
        </w:tc>
        <w:tc>
          <w:tcPr>
            <w:tcW w:w="780" w:type="dxa"/>
            <w:vAlign w:val="bottom"/>
            <w:tcBorders>
              <w:bottom w:val="single" w:sz="8" w:color="auto"/>
            </w:tcBorders>
          </w:tcPr>
          <w:p>
            <w:pPr>
              <w:spacing w:after="0"/>
              <w:rPr>
                <w:sz w:val="18"/>
                <w:szCs w:val="18"/>
                <w:color w:val="auto"/>
              </w:rPr>
            </w:pPr>
          </w:p>
        </w:tc>
      </w:tr>
      <w:tr>
        <w:trPr>
          <w:trHeight w:val="186"/>
        </w:trPr>
        <w:tc>
          <w:tcPr>
            <w:tcW w:w="6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83"/>
              </w:rPr>
              <w:t>2021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r>
      <w:tr>
        <w:trPr>
          <w:trHeight w:val="243"/>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Contributions to the defined social security contribution plans</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4,660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3,580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13,422</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10,617</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Leases</w:t>
      </w:r>
    </w:p>
    <w:p>
      <w:pPr>
        <w:spacing w:after="0" w:line="256" w:lineRule="exact"/>
        <w:rPr>
          <w:sz w:val="20"/>
          <w:szCs w:val="20"/>
          <w:color w:val="auto"/>
        </w:rPr>
      </w:pPr>
    </w:p>
    <w:p>
      <w:pPr>
        <w:jc w:val="both"/>
        <w:ind w:right="20" w:firstLine="393"/>
        <w:spacing w:after="0" w:line="265" w:lineRule="auto"/>
        <w:rPr>
          <w:sz w:val="20"/>
          <w:szCs w:val="20"/>
          <w:color w:val="auto"/>
        </w:rPr>
      </w:pPr>
      <w:r>
        <w:rPr>
          <w:rFonts w:ascii="Arial" w:cs="Arial" w:eastAsia="Arial" w:hAnsi="Arial"/>
          <w:sz w:val="17"/>
          <w:szCs w:val="17"/>
          <w:color w:val="auto"/>
        </w:rPr>
        <w:t>The Company conducts its operations using facilities leased under operating lease agreements that expire at various dates. The Company finances its use of certain motor vehicles and other equipment under various lease arrangements provided by financial institutions. The lease agreements do not contain any covenants to impose any restrictions except for market-standard practice for similar lease arrangements.</w:t>
      </w:r>
    </w:p>
    <w:p>
      <w:pPr>
        <w:spacing w:after="0" w:line="179" w:lineRule="exact"/>
        <w:rPr>
          <w:sz w:val="20"/>
          <w:szCs w:val="20"/>
          <w:color w:val="auto"/>
        </w:rPr>
      </w:pPr>
    </w:p>
    <w:p>
      <w:pPr>
        <w:jc w:val="both"/>
        <w:ind w:right="20" w:firstLine="393"/>
        <w:spacing w:after="0" w:line="252" w:lineRule="auto"/>
        <w:rPr>
          <w:sz w:val="20"/>
          <w:szCs w:val="20"/>
          <w:color w:val="auto"/>
        </w:rPr>
      </w:pPr>
      <w:r>
        <w:rPr>
          <w:rFonts w:ascii="Arial" w:cs="Arial" w:eastAsia="Arial" w:hAnsi="Arial"/>
          <w:sz w:val="17"/>
          <w:szCs w:val="17"/>
          <w:color w:val="auto"/>
        </w:rPr>
        <w:t xml:space="preserve">The Company had performed an evaluation of its contracts with suppliers in accordance with Topic 842, </w:t>
      </w:r>
      <w:r>
        <w:rPr>
          <w:rFonts w:ascii="Arial" w:cs="Arial" w:eastAsia="Arial" w:hAnsi="Arial"/>
          <w:sz w:val="17"/>
          <w:szCs w:val="17"/>
          <w:i w:val="1"/>
          <w:iCs w:val="1"/>
          <w:color w:val="auto"/>
        </w:rPr>
        <w:t>Leases</w:t>
      </w:r>
      <w:r>
        <w:rPr>
          <w:rFonts w:ascii="Arial" w:cs="Arial" w:eastAsia="Arial" w:hAnsi="Arial"/>
          <w:sz w:val="17"/>
          <w:szCs w:val="17"/>
          <w:color w:val="auto"/>
        </w:rPr>
        <w:t>, and had determined that, except for leases for office facilities, motor vehicles and other equipment as described above, none of the Company’s contracts contain a lease. As part of the Company’s efforts to optimize its existing network of operations centers, the Company continued to evaluate its office facilities to determine where it can exit or consolidate its use of office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Supplemental balance sheet information</w:t>
      </w:r>
    </w:p>
    <w:p>
      <w:pPr>
        <w:spacing w:after="0" w:line="236"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6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6"/>
                <w:szCs w:val="16"/>
                <w:b w:val="1"/>
                <w:bCs w:val="1"/>
                <w:color w:val="auto"/>
              </w:rPr>
              <w:t>As of</w:t>
            </w:r>
          </w:p>
        </w:tc>
        <w:tc>
          <w:tcPr>
            <w:tcW w:w="1660" w:type="dxa"/>
            <w:vAlign w:val="bottom"/>
            <w:tcBorders>
              <w:bottom w:val="single" w:sz="8" w:color="auto"/>
            </w:tcBorders>
          </w:tcPr>
          <w:p>
            <w:pPr>
              <w:spacing w:after="0"/>
              <w:rPr>
                <w:sz w:val="18"/>
                <w:szCs w:val="18"/>
                <w:color w:val="auto"/>
              </w:rPr>
            </w:pPr>
          </w:p>
        </w:tc>
      </w:tr>
      <w:tr>
        <w:trPr>
          <w:trHeight w:val="203"/>
        </w:trPr>
        <w:tc>
          <w:tcPr>
            <w:tcW w:w="6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2022</w:t>
            </w:r>
          </w:p>
        </w:tc>
        <w:tc>
          <w:tcPr>
            <w:tcW w:w="200" w:type="dxa"/>
            <w:vAlign w:val="bottom"/>
          </w:tcPr>
          <w:p>
            <w:pPr>
              <w:spacing w:after="0"/>
              <w:rPr>
                <w:sz w:val="17"/>
                <w:szCs w:val="17"/>
                <w:color w:val="auto"/>
              </w:rPr>
            </w:pPr>
          </w:p>
        </w:tc>
        <w:tc>
          <w:tcPr>
            <w:tcW w:w="1660" w:type="dxa"/>
            <w:vAlign w:val="bottom"/>
          </w:tcPr>
          <w:p>
            <w:pPr>
              <w:jc w:val="right"/>
              <w:ind w:right="221"/>
              <w:spacing w:after="0"/>
              <w:rPr>
                <w:sz w:val="20"/>
                <w:szCs w:val="20"/>
                <w:color w:val="auto"/>
              </w:rPr>
            </w:pPr>
            <w:r>
              <w:rPr>
                <w:rFonts w:ascii="Arial" w:cs="Arial" w:eastAsia="Arial" w:hAnsi="Arial"/>
                <w:sz w:val="16"/>
                <w:szCs w:val="16"/>
                <w:b w:val="1"/>
                <w:bCs w:val="1"/>
                <w:color w:val="auto"/>
                <w:w w:val="92"/>
              </w:rPr>
              <w:t>December 31, 2021</w:t>
            </w:r>
          </w:p>
        </w:tc>
      </w:tr>
      <w:tr>
        <w:trPr>
          <w:trHeight w:val="193"/>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Operating Lease</w:t>
            </w:r>
          </w:p>
        </w:tc>
        <w:tc>
          <w:tcPr>
            <w:tcW w:w="180" w:type="dxa"/>
            <w:vAlign w:val="bottom"/>
            <w:tcBorders>
              <w:top w:val="single" w:sz="8" w:color="auto"/>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r>
      <w:tr>
        <w:trPr>
          <w:trHeight w:val="207"/>
        </w:trPr>
        <w:tc>
          <w:tcPr>
            <w:tcW w:w="6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61,966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76,692</w:t>
            </w:r>
          </w:p>
        </w:tc>
      </w:tr>
      <w:tr>
        <w:trPr>
          <w:trHeight w:val="245"/>
        </w:trPr>
        <w:tc>
          <w:tcPr>
            <w:tcW w:w="6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07"/>
        </w:trPr>
        <w:tc>
          <w:tcPr>
            <w:tcW w:w="6880" w:type="dxa"/>
            <w:vAlign w:val="bottom"/>
          </w:tcPr>
          <w:p>
            <w:pPr>
              <w:spacing w:after="0"/>
              <w:rPr>
                <w:sz w:val="20"/>
                <w:szCs w:val="20"/>
                <w:color w:val="auto"/>
              </w:rPr>
            </w:pPr>
            <w:r>
              <w:rPr>
                <w:rFonts w:ascii="Arial" w:cs="Arial" w:eastAsia="Arial" w:hAnsi="Arial"/>
                <w:sz w:val="16"/>
                <w:szCs w:val="16"/>
                <w:color w:val="auto"/>
              </w:rPr>
              <w:t>Operating lease liabilities - Current</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16,740</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18,487</w:t>
            </w:r>
          </w:p>
        </w:tc>
      </w:tr>
      <w:tr>
        <w:trPr>
          <w:trHeight w:val="213"/>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 - Non-current</w:t>
            </w: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54,174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68,506</w:t>
            </w:r>
          </w:p>
        </w:tc>
      </w:tr>
      <w:tr>
        <w:trPr>
          <w:trHeight w:val="200"/>
        </w:trPr>
        <w:tc>
          <w:tcPr>
            <w:tcW w:w="688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operating lease liabilities</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70,914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86,993</w:t>
            </w:r>
          </w:p>
        </w:tc>
      </w:tr>
      <w:tr>
        <w:trPr>
          <w:trHeight w:val="193"/>
        </w:trPr>
        <w:tc>
          <w:tcPr>
            <w:tcW w:w="6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207"/>
        </w:trPr>
        <w:tc>
          <w:tcPr>
            <w:tcW w:w="6880" w:type="dxa"/>
            <w:vAlign w:val="bottom"/>
          </w:tcPr>
          <w:p>
            <w:pPr>
              <w:spacing w:after="0"/>
              <w:rPr>
                <w:sz w:val="20"/>
                <w:szCs w:val="20"/>
                <w:color w:val="auto"/>
              </w:rPr>
            </w:pPr>
            <w:r>
              <w:rPr>
                <w:rFonts w:ascii="Arial" w:cs="Arial" w:eastAsia="Arial" w:hAnsi="Arial"/>
                <w:sz w:val="16"/>
                <w:szCs w:val="16"/>
                <w:b w:val="1"/>
                <w:bCs w:val="1"/>
                <w:color w:val="auto"/>
              </w:rPr>
              <w:t>Finance Lease</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3"/>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gross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2,685</w:t>
            </w:r>
          </w:p>
        </w:tc>
      </w:tr>
      <w:tr>
        <w:trPr>
          <w:trHeight w:val="207"/>
        </w:trPr>
        <w:tc>
          <w:tcPr>
            <w:tcW w:w="6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depreciation</w:t>
            </w: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(2,339)</w:t>
            </w:r>
          </w:p>
        </w:tc>
      </w:tr>
      <w:tr>
        <w:trPr>
          <w:trHeight w:val="203"/>
        </w:trPr>
        <w:tc>
          <w:tcPr>
            <w:tcW w:w="6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Property and equipment, net</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346</w:t>
            </w:r>
          </w:p>
        </w:tc>
      </w:tr>
      <w:tr>
        <w:trPr>
          <w:trHeight w:val="193"/>
        </w:trPr>
        <w:tc>
          <w:tcPr>
            <w:tcW w:w="6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Finance lease liabilities - Current</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141</w:t>
            </w:r>
          </w:p>
        </w:tc>
      </w:tr>
      <w:tr>
        <w:trPr>
          <w:trHeight w:val="207"/>
        </w:trPr>
        <w:tc>
          <w:tcPr>
            <w:tcW w:w="6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Finance lease liabilities - Non-current</w:t>
            </w: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229</w:t>
            </w:r>
          </w:p>
        </w:tc>
      </w:tr>
      <w:tr>
        <w:trPr>
          <w:trHeight w:val="228"/>
        </w:trPr>
        <w:tc>
          <w:tcPr>
            <w:tcW w:w="6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finance lease liabilities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370</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right="120" w:firstLine="472"/>
        <w:spacing w:after="0" w:line="273" w:lineRule="auto"/>
        <w:rPr>
          <w:sz w:val="20"/>
          <w:szCs w:val="20"/>
          <w:color w:val="auto"/>
        </w:rPr>
      </w:pPr>
      <w:r>
        <w:rPr>
          <w:rFonts w:ascii="Arial" w:cs="Arial" w:eastAsia="Arial" w:hAnsi="Arial"/>
          <w:sz w:val="17"/>
          <w:szCs w:val="17"/>
          <w:color w:val="auto"/>
        </w:rPr>
        <w:t>Finance lease liabilities are presented as a part of “Accrued expenses and other current liabilities” and “Other non-current liabilities,” as applicable, in the Company’s consolidated balance sheets.</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components of lease cost, which are included in the Company’s unaudited consolidated statements of income, are as follows:</w:t>
      </w:r>
    </w:p>
    <w:p>
      <w:pPr>
        <w:spacing w:after="0" w:line="269" w:lineRule="exact"/>
        <w:rPr>
          <w:sz w:val="20"/>
          <w:szCs w:val="20"/>
          <w:color w:val="auto"/>
        </w:rPr>
      </w:pPr>
    </w:p>
    <w:tbl>
      <w:tblPr>
        <w:tblLayout w:type="fixed"/>
        <w:tblInd w:w="480" w:type="dxa"/>
        <w:tblCellMar>
          <w:top w:w="0" w:type="dxa"/>
          <w:left w:w="0" w:type="dxa"/>
          <w:bottom w:w="0" w:type="dxa"/>
          <w:right w:w="0" w:type="dxa"/>
        </w:tblCellMar>
      </w:tblPr>
      <w:tr>
        <w:trPr>
          <w:trHeight w:val="22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Lease cost</w:t>
            </w:r>
          </w:p>
        </w:tc>
        <w:tc>
          <w:tcPr>
            <w:tcW w:w="240" w:type="dxa"/>
            <w:vAlign w:val="bottom"/>
            <w:tcBorders>
              <w:top w:val="single" w:sz="8" w:color="auto"/>
              <w:bottom w:val="single" w:sz="8" w:color="auto"/>
            </w:tcBorders>
          </w:tcPr>
          <w:p>
            <w:pPr>
              <w:spacing w:after="0"/>
              <w:rPr>
                <w:sz w:val="19"/>
                <w:szCs w:val="19"/>
                <w:color w:val="auto"/>
              </w:rPr>
            </w:pPr>
          </w:p>
        </w:tc>
        <w:tc>
          <w:tcPr>
            <w:tcW w:w="2900" w:type="dxa"/>
            <w:vAlign w:val="bottom"/>
            <w:tcBorders>
              <w:top w:val="single" w:sz="8" w:color="auto"/>
              <w:bottom w:val="single" w:sz="8" w:color="auto"/>
            </w:tcBorders>
            <w:gridSpan w:val="4"/>
          </w:tcPr>
          <w:p>
            <w:pPr>
              <w:jc w:val="right"/>
              <w:ind w:right="301"/>
              <w:spacing w:after="0"/>
              <w:rPr>
                <w:sz w:val="20"/>
                <w:szCs w:val="20"/>
                <w:color w:val="auto"/>
              </w:rPr>
            </w:pPr>
            <w:r>
              <w:rPr>
                <w:rFonts w:ascii="Arial" w:cs="Arial" w:eastAsia="Arial" w:hAnsi="Arial"/>
                <w:sz w:val="16"/>
                <w:szCs w:val="16"/>
                <w:b w:val="1"/>
                <w:bCs w:val="1"/>
                <w:color w:val="auto"/>
                <w:w w:val="92"/>
              </w:rPr>
              <w:t>Three months ended September 30,</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760" w:type="dxa"/>
            <w:vAlign w:val="bottom"/>
            <w:tcBorders>
              <w:top w:val="single" w:sz="8" w:color="auto"/>
              <w:bottom w:val="single" w:sz="8" w:color="auto"/>
            </w:tcBorders>
            <w:gridSpan w:val="4"/>
          </w:tcPr>
          <w:p>
            <w:pPr>
              <w:jc w:val="right"/>
              <w:ind w:right="221"/>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03"/>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Finance lease:</w:t>
            </w: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521"/>
              <w:spacing w:after="0"/>
              <w:rPr>
                <w:sz w:val="20"/>
                <w:szCs w:val="20"/>
                <w:color w:val="auto"/>
              </w:rPr>
            </w:pPr>
            <w:r>
              <w:rPr>
                <w:rFonts w:ascii="Arial" w:cs="Arial" w:eastAsia="Arial" w:hAnsi="Arial"/>
                <w:sz w:val="16"/>
                <w:szCs w:val="16"/>
                <w:b w:val="1"/>
                <w:bCs w:val="1"/>
                <w:color w:val="auto"/>
              </w:rPr>
              <w:t>2022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521"/>
              <w:spacing w:after="0"/>
              <w:rPr>
                <w:sz w:val="20"/>
                <w:szCs w:val="20"/>
                <w:color w:val="auto"/>
              </w:rPr>
            </w:pPr>
            <w:r>
              <w:rPr>
                <w:rFonts w:ascii="Arial" w:cs="Arial" w:eastAsia="Arial" w:hAnsi="Arial"/>
                <w:sz w:val="16"/>
                <w:szCs w:val="16"/>
                <w:b w:val="1"/>
                <w:bCs w:val="1"/>
                <w:color w:val="auto"/>
              </w:rPr>
              <w:t>2021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541"/>
              <w:spacing w:after="0"/>
              <w:rPr>
                <w:sz w:val="20"/>
                <w:szCs w:val="20"/>
                <w:color w:val="auto"/>
              </w:rPr>
            </w:pPr>
            <w:r>
              <w:rPr>
                <w:rFonts w:ascii="Arial" w:cs="Arial" w:eastAsia="Arial" w:hAnsi="Arial"/>
                <w:sz w:val="16"/>
                <w:szCs w:val="16"/>
                <w:b w:val="1"/>
                <w:bCs w:val="1"/>
                <w:color w:val="auto"/>
              </w:rPr>
              <w:t>2022</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16"/>
                <w:szCs w:val="16"/>
                <w:b w:val="1"/>
                <w:bCs w:val="1"/>
                <w:color w:val="auto"/>
              </w:rPr>
              <w:t>2021</w:t>
            </w:r>
          </w:p>
        </w:tc>
      </w:tr>
      <w:tr>
        <w:trPr>
          <w:trHeight w:val="200"/>
        </w:trPr>
        <w:tc>
          <w:tcPr>
            <w:tcW w:w="4620" w:type="dxa"/>
            <w:vAlign w:val="bottom"/>
          </w:tcPr>
          <w:p>
            <w:pPr>
              <w:ind w:left="320"/>
              <w:spacing w:after="0"/>
              <w:rPr>
                <w:sz w:val="20"/>
                <w:szCs w:val="20"/>
                <w:color w:val="auto"/>
              </w:rPr>
            </w:pPr>
            <w:r>
              <w:rPr>
                <w:rFonts w:ascii="Arial" w:cs="Arial" w:eastAsia="Arial" w:hAnsi="Arial"/>
                <w:sz w:val="16"/>
                <w:szCs w:val="16"/>
                <w:color w:val="auto"/>
              </w:rPr>
              <w:t>Amortization of right-of-use assets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116</w:t>
            </w:r>
          </w:p>
        </w:tc>
        <w:tc>
          <w:tcPr>
            <w:tcW w:w="80" w:type="dxa"/>
            <w:vAlign w:val="bottom"/>
          </w:tcPr>
          <w:p>
            <w:pPr>
              <w:spacing w:after="0"/>
              <w:rPr>
                <w:sz w:val="17"/>
                <w:szCs w:val="17"/>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4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on lease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3"/>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158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3"/>
        </w:trPr>
        <w:tc>
          <w:tcPr>
            <w:tcW w:w="462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b w:val="1"/>
                <w:bCs w:val="1"/>
                <w:color w:val="auto"/>
              </w:rPr>
              <w:t>Operating lease</w:t>
            </w:r>
            <w:r>
              <w:rPr>
                <w:rFonts w:ascii="Arial" w:cs="Arial" w:eastAsia="Arial" w:hAnsi="Arial"/>
                <w:sz w:val="20"/>
                <w:szCs w:val="20"/>
                <w:b w:val="1"/>
                <w:bCs w:val="1"/>
                <w:color w:val="auto"/>
                <w:vertAlign w:val="superscript"/>
              </w:rPr>
              <w:t>(a)</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17,365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w:t>
            </w:r>
          </w:p>
        </w:tc>
      </w:tr>
      <w:tr>
        <w:trPr>
          <w:trHeight w:val="207"/>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Variable lease costs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1,298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3,827</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w:t>
            </w:r>
          </w:p>
        </w:tc>
      </w:tr>
      <w:tr>
        <w:trPr>
          <w:trHeight w:val="231"/>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lease cost</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6,700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21,350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25,88</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Includes short-term leases, which are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Supplemental cash flow and other information related to leases are as follows:</w:t>
      </w:r>
    </w:p>
    <w:p>
      <w:pPr>
        <w:spacing w:after="0" w:line="144"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7060" w:type="dxa"/>
            <w:vAlign w:val="bottom"/>
          </w:tcPr>
          <w:p>
            <w:pPr>
              <w:spacing w:after="0"/>
              <w:rPr>
                <w:sz w:val="18"/>
                <w:szCs w:val="18"/>
                <w:color w:val="auto"/>
              </w:rPr>
            </w:pPr>
          </w:p>
        </w:tc>
        <w:tc>
          <w:tcPr>
            <w:tcW w:w="328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6"/>
                <w:szCs w:val="16"/>
                <w:b w:val="1"/>
                <w:bCs w:val="1"/>
                <w:color w:val="auto"/>
              </w:rPr>
              <w:t>Nine months ended September 30,</w:t>
            </w:r>
          </w:p>
        </w:tc>
      </w:tr>
      <w:tr>
        <w:trPr>
          <w:trHeight w:val="201"/>
        </w:trPr>
        <w:tc>
          <w:tcPr>
            <w:tcW w:w="706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2021</w:t>
            </w:r>
          </w:p>
        </w:tc>
      </w:tr>
      <w:tr>
        <w:trPr>
          <w:trHeight w:val="192"/>
        </w:trPr>
        <w:tc>
          <w:tcPr>
            <w:tcW w:w="7060" w:type="dxa"/>
            <w:vAlign w:val="bottom"/>
          </w:tcPr>
          <w:p>
            <w:pPr>
              <w:ind w:left="20"/>
              <w:spacing w:after="0"/>
              <w:rPr>
                <w:sz w:val="20"/>
                <w:szCs w:val="20"/>
                <w:color w:val="auto"/>
              </w:rPr>
            </w:pPr>
            <w:r>
              <w:rPr>
                <w:rFonts w:ascii="Arial" w:cs="Arial" w:eastAsia="Arial" w:hAnsi="Arial"/>
                <w:sz w:val="16"/>
                <w:szCs w:val="16"/>
                <w:color w:val="auto"/>
              </w:rPr>
              <w:t>Cash payments for amounts included in the measurement of lease liabilities :</w:t>
            </w: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3"/>
        </w:trPr>
        <w:tc>
          <w:tcPr>
            <w:tcW w:w="7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cash outflows for operating leases</w:t>
            </w:r>
          </w:p>
        </w:tc>
        <w:tc>
          <w:tcPr>
            <w:tcW w:w="1060" w:type="dxa"/>
            <w:vAlign w:val="bottom"/>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3"/>
              </w:rPr>
              <w:t>17,831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19,654</w:t>
            </w:r>
          </w:p>
        </w:tc>
      </w:tr>
      <w:tr>
        <w:trPr>
          <w:trHeight w:val="207"/>
        </w:trPr>
        <w:tc>
          <w:tcPr>
            <w:tcW w:w="7060" w:type="dxa"/>
            <w:vAlign w:val="bottom"/>
          </w:tcPr>
          <w:p>
            <w:pPr>
              <w:ind w:left="340"/>
              <w:spacing w:after="0"/>
              <w:rPr>
                <w:sz w:val="20"/>
                <w:szCs w:val="20"/>
                <w:color w:val="auto"/>
              </w:rPr>
            </w:pPr>
            <w:r>
              <w:rPr>
                <w:rFonts w:ascii="Arial" w:cs="Arial" w:eastAsia="Arial" w:hAnsi="Arial"/>
                <w:sz w:val="16"/>
                <w:szCs w:val="16"/>
                <w:color w:val="auto"/>
              </w:rPr>
              <w:t>Operating cash outflows for finance leases</w:t>
            </w:r>
          </w:p>
        </w:tc>
        <w:tc>
          <w:tcPr>
            <w:tcW w:w="1060" w:type="dxa"/>
            <w:vAlign w:val="bottom"/>
          </w:tcPr>
          <w:p>
            <w:pPr>
              <w:jc w:val="right"/>
              <w:ind w:right="90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49</w:t>
            </w:r>
          </w:p>
        </w:tc>
      </w:tr>
      <w:tr>
        <w:trPr>
          <w:trHeight w:val="213"/>
        </w:trPr>
        <w:tc>
          <w:tcPr>
            <w:tcW w:w="7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Financing cash outflows for finance leases</w:t>
            </w:r>
          </w:p>
        </w:tc>
        <w:tc>
          <w:tcPr>
            <w:tcW w:w="1060" w:type="dxa"/>
            <w:vAlign w:val="bottom"/>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157</w:t>
            </w:r>
          </w:p>
        </w:tc>
      </w:tr>
      <w:tr>
        <w:trPr>
          <w:trHeight w:val="207"/>
        </w:trPr>
        <w:tc>
          <w:tcPr>
            <w:tcW w:w="706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new operating lease liabilities</w:t>
            </w:r>
          </w:p>
        </w:tc>
        <w:tc>
          <w:tcPr>
            <w:tcW w:w="1060" w:type="dxa"/>
            <w:vAlign w:val="bottom"/>
          </w:tcPr>
          <w:p>
            <w:pPr>
              <w:jc w:val="right"/>
              <w:ind w:right="90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3,519</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4,647</w:t>
            </w:r>
          </w:p>
        </w:tc>
      </w:tr>
      <w:tr>
        <w:trPr>
          <w:trHeight w:val="213"/>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obtained in exchange for new finance lease liabilities</w:t>
            </w:r>
          </w:p>
        </w:tc>
        <w:tc>
          <w:tcPr>
            <w:tcW w:w="1060" w:type="dxa"/>
            <w:vAlign w:val="bottom"/>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79</w:t>
            </w:r>
          </w:p>
        </w:tc>
      </w:tr>
      <w:tr>
        <w:trPr>
          <w:trHeight w:val="207"/>
        </w:trPr>
        <w:tc>
          <w:tcPr>
            <w:tcW w:w="7060" w:type="dxa"/>
            <w:vAlign w:val="bottom"/>
          </w:tcPr>
          <w:p>
            <w:pPr>
              <w:ind w:left="20"/>
              <w:spacing w:after="0"/>
              <w:rPr>
                <w:sz w:val="20"/>
                <w:szCs w:val="20"/>
                <w:color w:val="auto"/>
              </w:rPr>
            </w:pPr>
            <w:r>
              <w:rPr>
                <w:rFonts w:ascii="Arial" w:cs="Arial" w:eastAsia="Arial" w:hAnsi="Arial"/>
                <w:sz w:val="16"/>
                <w:szCs w:val="16"/>
                <w:color w:val="auto"/>
              </w:rPr>
              <w:t>Weighted-average remaining lease term (in years)</w:t>
            </w: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6"/>
        </w:trPr>
        <w:tc>
          <w:tcPr>
            <w:tcW w:w="7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Finance lease</w:t>
            </w:r>
          </w:p>
        </w:tc>
        <w:tc>
          <w:tcPr>
            <w:tcW w:w="10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2.7 years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 years</w:t>
            </w:r>
          </w:p>
        </w:tc>
      </w:tr>
      <w:tr>
        <w:trPr>
          <w:trHeight w:val="223"/>
        </w:trPr>
        <w:tc>
          <w:tcPr>
            <w:tcW w:w="7060" w:type="dxa"/>
            <w:vAlign w:val="bottom"/>
          </w:tcPr>
          <w:p>
            <w:pPr>
              <w:ind w:left="340"/>
              <w:spacing w:after="0"/>
              <w:rPr>
                <w:sz w:val="20"/>
                <w:szCs w:val="20"/>
                <w:color w:val="auto"/>
              </w:rPr>
            </w:pPr>
            <w:r>
              <w:rPr>
                <w:rFonts w:ascii="Arial" w:cs="Arial" w:eastAsia="Arial" w:hAnsi="Arial"/>
                <w:sz w:val="16"/>
                <w:szCs w:val="16"/>
                <w:color w:val="auto"/>
              </w:rPr>
              <w:t>Operating lease</w:t>
            </w:r>
          </w:p>
        </w:tc>
        <w:tc>
          <w:tcPr>
            <w:tcW w:w="1060" w:type="dxa"/>
            <w:vAlign w:val="bottom"/>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Arial" w:cs="Arial" w:eastAsia="Arial" w:hAnsi="Arial"/>
                <w:sz w:val="17"/>
                <w:szCs w:val="17"/>
                <w:color w:val="auto"/>
              </w:rPr>
              <w:t>5.5 years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5.9 years</w:t>
            </w:r>
          </w:p>
        </w:tc>
      </w:tr>
      <w:tr>
        <w:trPr>
          <w:trHeight w:val="210"/>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discount rate</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7"/>
        </w:trPr>
        <w:tc>
          <w:tcPr>
            <w:tcW w:w="7060" w:type="dxa"/>
            <w:vAlign w:val="bottom"/>
          </w:tcPr>
          <w:p>
            <w:pPr>
              <w:ind w:left="340"/>
              <w:spacing w:after="0"/>
              <w:rPr>
                <w:sz w:val="20"/>
                <w:szCs w:val="20"/>
                <w:color w:val="auto"/>
              </w:rPr>
            </w:pPr>
            <w:r>
              <w:rPr>
                <w:rFonts w:ascii="Arial" w:cs="Arial" w:eastAsia="Arial" w:hAnsi="Arial"/>
                <w:sz w:val="16"/>
                <w:szCs w:val="16"/>
                <w:color w:val="auto"/>
              </w:rPr>
              <w:t>Finance lease</w:t>
            </w:r>
          </w:p>
        </w:tc>
        <w:tc>
          <w:tcPr>
            <w:tcW w:w="10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14.4 %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14.3 %</w:t>
            </w:r>
          </w:p>
        </w:tc>
      </w:tr>
      <w:tr>
        <w:trPr>
          <w:trHeight w:val="213"/>
        </w:trPr>
        <w:tc>
          <w:tcPr>
            <w:tcW w:w="7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7.3 %</w:t>
            </w:r>
          </w:p>
        </w:tc>
      </w:tr>
    </w:tbl>
    <w:p>
      <w:pPr>
        <w:spacing w:after="0" w:line="145"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The Company modified certain of its operating leases, resulting in an increase of its lease liabilities by $209 and a decrease of its lease liabilities by $1,022 during the nine months ended September 30, 2022 and 2021, respectively, with a corresponding adjustment to ROU assets.</w:t>
      </w:r>
    </w:p>
    <w:p>
      <w:pPr>
        <w:spacing w:after="0" w:line="185"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As of September 30, 2022 and December 31, 2021, the Company did not have any significant leases that have not yet commenced but that create significant rights and obligations for the Company.</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Maturities of lease liabilities as of September 30, 2022 were as follows:</w:t>
      </w:r>
    </w:p>
    <w:p>
      <w:pPr>
        <w:spacing w:after="0" w:line="58"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6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ind w:left="80"/>
              <w:spacing w:after="0"/>
              <w:rPr>
                <w:sz w:val="20"/>
                <w:szCs w:val="20"/>
                <w:color w:val="auto"/>
              </w:rPr>
            </w:pPr>
            <w:r>
              <w:rPr>
                <w:rFonts w:ascii="Arial" w:cs="Arial" w:eastAsia="Arial" w:hAnsi="Arial"/>
                <w:sz w:val="16"/>
                <w:szCs w:val="16"/>
                <w:b w:val="1"/>
                <w:bCs w:val="1"/>
                <w:color w:val="auto"/>
              </w:rPr>
              <w:t>Operating Leases</w:t>
            </w:r>
          </w:p>
        </w:tc>
        <w:tc>
          <w:tcPr>
            <w:tcW w:w="220" w:type="dxa"/>
            <w:vAlign w:val="bottom"/>
          </w:tcPr>
          <w:p>
            <w:pPr>
              <w:spacing w:after="0"/>
              <w:rPr>
                <w:sz w:val="18"/>
                <w:szCs w:val="18"/>
                <w:color w:val="auto"/>
              </w:rPr>
            </w:pPr>
          </w:p>
        </w:tc>
        <w:tc>
          <w:tcPr>
            <w:tcW w:w="1520" w:type="dxa"/>
            <w:vAlign w:val="bottom"/>
          </w:tcPr>
          <w:p>
            <w:pPr>
              <w:jc w:val="right"/>
              <w:ind w:right="280"/>
              <w:spacing w:after="0"/>
              <w:rPr>
                <w:sz w:val="20"/>
                <w:szCs w:val="20"/>
                <w:color w:val="auto"/>
              </w:rPr>
            </w:pPr>
            <w:r>
              <w:rPr>
                <w:rFonts w:ascii="Arial" w:cs="Arial" w:eastAsia="Arial" w:hAnsi="Arial"/>
                <w:sz w:val="16"/>
                <w:szCs w:val="16"/>
                <w:b w:val="1"/>
                <w:bCs w:val="1"/>
                <w:color w:val="auto"/>
                <w:w w:val="95"/>
              </w:rPr>
              <w:t>Finance Leases</w:t>
            </w:r>
          </w:p>
        </w:tc>
      </w:tr>
      <w:tr>
        <w:trPr>
          <w:trHeight w:val="206"/>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 (October 1 - December 31)</w:t>
            </w: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5,347</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07"/>
        </w:trPr>
        <w:tc>
          <w:tcPr>
            <w:tcW w:w="6720" w:type="dxa"/>
            <w:vAlign w:val="bottom"/>
          </w:tcPr>
          <w:p>
            <w:pPr>
              <w:ind w:left="20"/>
              <w:spacing w:after="0"/>
              <w:rPr>
                <w:sz w:val="20"/>
                <w:szCs w:val="20"/>
                <w:color w:val="auto"/>
              </w:rPr>
            </w:pPr>
            <w:r>
              <w:rPr>
                <w:rFonts w:ascii="Arial" w:cs="Arial" w:eastAsia="Arial" w:hAnsi="Arial"/>
                <w:sz w:val="16"/>
                <w:szCs w:val="16"/>
                <w:color w:val="auto"/>
              </w:rPr>
              <w:t>2023</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20,723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1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07"/>
        </w:trPr>
        <w:tc>
          <w:tcPr>
            <w:tcW w:w="6720" w:type="dxa"/>
            <w:vAlign w:val="bottom"/>
          </w:tcPr>
          <w:p>
            <w:pPr>
              <w:ind w:left="20"/>
              <w:spacing w:after="0"/>
              <w:rPr>
                <w:sz w:val="20"/>
                <w:szCs w:val="20"/>
                <w:color w:val="auto"/>
              </w:rPr>
            </w:pPr>
            <w:r>
              <w:rPr>
                <w:rFonts w:ascii="Arial" w:cs="Arial" w:eastAsia="Arial" w:hAnsi="Arial"/>
                <w:sz w:val="16"/>
                <w:szCs w:val="16"/>
                <w:color w:val="auto"/>
              </w:rPr>
              <w:t>2025</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11,153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07"/>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2027 and thereafter</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24,087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206"/>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87,662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r>
      <w:tr>
        <w:trPr>
          <w:trHeight w:val="22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16,748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w:t>
            </w:r>
          </w:p>
        </w:tc>
      </w:tr>
      <w:tr>
        <w:trPr>
          <w:trHeight w:val="225"/>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lease liabilities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70,914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Maturities of lease liabilities as of December 31, 2021 were as follows: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6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6"/>
                <w:szCs w:val="16"/>
                <w:b w:val="1"/>
                <w:bCs w:val="1"/>
                <w:color w:val="auto"/>
              </w:rPr>
              <w:t>Operating Leases</w:t>
            </w:r>
          </w:p>
        </w:tc>
        <w:tc>
          <w:tcPr>
            <w:tcW w:w="240" w:type="dxa"/>
            <w:vAlign w:val="bottom"/>
          </w:tcPr>
          <w:p>
            <w:pPr>
              <w:spacing w:after="0"/>
              <w:rPr>
                <w:sz w:val="18"/>
                <w:szCs w:val="18"/>
                <w:color w:val="auto"/>
              </w:rPr>
            </w:pPr>
          </w:p>
        </w:tc>
        <w:tc>
          <w:tcPr>
            <w:tcW w:w="1540" w:type="dxa"/>
            <w:vAlign w:val="bottom"/>
          </w:tcPr>
          <w:p>
            <w:pPr>
              <w:jc w:val="right"/>
              <w:ind w:right="301"/>
              <w:spacing w:after="0"/>
              <w:rPr>
                <w:sz w:val="20"/>
                <w:szCs w:val="20"/>
                <w:color w:val="auto"/>
              </w:rPr>
            </w:pPr>
            <w:r>
              <w:rPr>
                <w:rFonts w:ascii="Arial" w:cs="Arial" w:eastAsia="Arial" w:hAnsi="Arial"/>
                <w:sz w:val="16"/>
                <w:szCs w:val="16"/>
                <w:b w:val="1"/>
                <w:bCs w:val="1"/>
                <w:color w:val="auto"/>
                <w:w w:val="95"/>
              </w:rPr>
              <w:t>Finance Leases</w:t>
            </w:r>
          </w:p>
        </w:tc>
      </w:tr>
      <w:tr>
        <w:trPr>
          <w:trHeight w:val="206"/>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24,020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185</w:t>
            </w:r>
          </w:p>
        </w:tc>
      </w:tr>
      <w:tr>
        <w:trPr>
          <w:trHeight w:val="207"/>
        </w:trPr>
        <w:tc>
          <w:tcPr>
            <w:tcW w:w="6480" w:type="dxa"/>
            <w:vAlign w:val="bottom"/>
          </w:tcPr>
          <w:p>
            <w:pPr>
              <w:ind w:left="20"/>
              <w:spacing w:after="0"/>
              <w:rPr>
                <w:sz w:val="20"/>
                <w:szCs w:val="20"/>
                <w:color w:val="auto"/>
              </w:rPr>
            </w:pPr>
            <w:r>
              <w:rPr>
                <w:rFonts w:ascii="Arial" w:cs="Arial" w:eastAsia="Arial" w:hAnsi="Arial"/>
                <w:sz w:val="16"/>
                <w:szCs w:val="16"/>
                <w:color w:val="auto"/>
              </w:rPr>
              <w:t>2023</w:t>
            </w: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22,666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147</w:t>
            </w:r>
          </w:p>
        </w:tc>
      </w:tr>
      <w:tr>
        <w:trPr>
          <w:trHeight w:val="213"/>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w:t>
            </w:r>
          </w:p>
        </w:tc>
      </w:tr>
      <w:tr>
        <w:trPr>
          <w:trHeight w:val="207"/>
        </w:trPr>
        <w:tc>
          <w:tcPr>
            <w:tcW w:w="6480" w:type="dxa"/>
            <w:vAlign w:val="bottom"/>
          </w:tcPr>
          <w:p>
            <w:pPr>
              <w:ind w:left="20"/>
              <w:spacing w:after="0"/>
              <w:rPr>
                <w:sz w:val="20"/>
                <w:szCs w:val="20"/>
                <w:color w:val="auto"/>
              </w:rPr>
            </w:pPr>
            <w:r>
              <w:rPr>
                <w:rFonts w:ascii="Arial" w:cs="Arial" w:eastAsia="Arial" w:hAnsi="Arial"/>
                <w:sz w:val="16"/>
                <w:szCs w:val="16"/>
                <w:color w:val="auto"/>
              </w:rPr>
              <w:t>2025</w:t>
            </w: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10,741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34</w:t>
            </w:r>
          </w:p>
        </w:tc>
      </w:tr>
      <w:tr>
        <w:trPr>
          <w:trHeight w:val="213"/>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r>
      <w:tr>
        <w:trPr>
          <w:trHeight w:val="207"/>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2027 and thereafter</w:t>
            </w: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25,198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r>
      <w:tr>
        <w:trPr>
          <w:trHeight w:val="20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108,765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455</w:t>
            </w:r>
          </w:p>
        </w:tc>
      </w:tr>
      <w:tr>
        <w:trPr>
          <w:trHeight w:val="207"/>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21,772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85</w:t>
            </w:r>
          </w:p>
        </w:tc>
      </w:tr>
      <w:tr>
        <w:trPr>
          <w:trHeight w:val="22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lease liabilities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86,993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Income Taxes</w:t>
      </w:r>
    </w:p>
    <w:p>
      <w:pPr>
        <w:spacing w:after="0" w:line="243"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The Company determines the tax provision for interim periods using an estimate of its annual effective tax rate. Each quarter, the Company updates its estimate of annual effective tax rate, and if its estimated tax rate changes, the Company makes a cumulative adjustment. The continued impact of COVID-19 on the economic environment is uncertain and may change the annual effective tax rate, which could impact tax expense.</w:t>
      </w:r>
    </w:p>
    <w:p>
      <w:pPr>
        <w:spacing w:after="0" w:line="198"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7"/>
          <w:szCs w:val="17"/>
          <w:color w:val="auto"/>
        </w:rPr>
        <w:t>The Company’s effective tax rate increased from 13.7% during the three months ended September 30, 2021 to 24.2% during the three months ended September 30, 2022. The Company recorded income tax expense of $12,447 and $4,196 for the three months ended September 30, 2022 and 2021, respectively. The increase in income tax expense was primarily as a result of higher profit during the three months ended September 30, 2022, compared to the three months ended September 30, 2021, the recording of a one-time deferred tax benefit of $2,400 on settlement of the Notes during the three months ended September 30, 2021, and higher excess tax benefits during the three months ended September 30, 2021.</w:t>
      </w:r>
    </w:p>
    <w:p>
      <w:pPr>
        <w:spacing w:after="0" w:line="206" w:lineRule="exact"/>
        <w:rPr>
          <w:sz w:val="20"/>
          <w:szCs w:val="20"/>
          <w:color w:val="auto"/>
        </w:rPr>
      </w:pPr>
    </w:p>
    <w:p>
      <w:pPr>
        <w:jc w:val="both"/>
        <w:ind w:firstLine="433"/>
        <w:spacing w:after="0" w:line="244" w:lineRule="auto"/>
        <w:rPr>
          <w:sz w:val="20"/>
          <w:szCs w:val="20"/>
          <w:color w:val="auto"/>
        </w:rPr>
      </w:pPr>
      <w:r>
        <w:rPr>
          <w:rFonts w:ascii="Arial" w:cs="Arial" w:eastAsia="Arial" w:hAnsi="Arial"/>
          <w:sz w:val="17"/>
          <w:szCs w:val="17"/>
          <w:color w:val="auto"/>
        </w:rPr>
        <w:t>The Company’s effective tax rate increased from 20.3% during the nine months ended September 30, 2021 to 23.9% during the nine months ended September 30, 2022. The Company recorded income tax expense of $34,774 and $22,019 for the nine months ended September 30, 2022 and 2021, respectively. The increase in income tax expense was primarily as a result of higher profit during the nine months ended September 30, 2022, compared to the nine months ended September 30, 2021, the recording of a one-time deferred tax benefit of $2,400 on settlement of the Notes during the nine months ended September 30, 2021, and an increase in non-deductible expenses, partially offset by higher excess tax benefits during the nine months ended September 30, 2022.</w:t>
      </w:r>
    </w:p>
    <w:p>
      <w:pPr>
        <w:spacing w:after="0" w:line="211" w:lineRule="exact"/>
        <w:rPr>
          <w:sz w:val="20"/>
          <w:szCs w:val="20"/>
          <w:color w:val="auto"/>
        </w:rPr>
      </w:pPr>
    </w:p>
    <w:p>
      <w:pPr>
        <w:jc w:val="both"/>
        <w:ind w:firstLine="433"/>
        <w:spacing w:after="0" w:line="247" w:lineRule="auto"/>
        <w:rPr>
          <w:sz w:val="20"/>
          <w:szCs w:val="20"/>
          <w:color w:val="auto"/>
        </w:rPr>
      </w:pPr>
      <w:r>
        <w:rPr>
          <w:rFonts w:ascii="Arial" w:cs="Arial" w:eastAsia="Arial" w:hAnsi="Arial"/>
          <w:sz w:val="17"/>
          <w:szCs w:val="17"/>
          <w:color w:val="auto"/>
        </w:rPr>
        <w:t xml:space="preserve">Effective for taxable years beginning after December 31, 2021, Internal Revenue Code Section 174, </w:t>
      </w:r>
      <w:r>
        <w:rPr>
          <w:rFonts w:ascii="Arial" w:cs="Arial" w:eastAsia="Arial" w:hAnsi="Arial"/>
          <w:sz w:val="17"/>
          <w:szCs w:val="17"/>
          <w:i w:val="1"/>
          <w:iCs w:val="1"/>
          <w:color w:val="auto"/>
        </w:rPr>
        <w:t>Amortization of Research and Experimental</w:t>
      </w:r>
      <w:r>
        <w:rPr>
          <w:rFonts w:ascii="Arial" w:cs="Arial" w:eastAsia="Arial" w:hAnsi="Arial"/>
          <w:sz w:val="17"/>
          <w:szCs w:val="17"/>
          <w:color w:val="auto"/>
        </w:rPr>
        <w:t xml:space="preserve"> </w:t>
      </w:r>
      <w:r>
        <w:rPr>
          <w:rFonts w:ascii="Arial" w:cs="Arial" w:eastAsia="Arial" w:hAnsi="Arial"/>
          <w:sz w:val="17"/>
          <w:szCs w:val="17"/>
          <w:i w:val="1"/>
          <w:iCs w:val="1"/>
          <w:color w:val="auto"/>
        </w:rPr>
        <w:t>Expenditures</w:t>
      </w:r>
      <w:r>
        <w:rPr>
          <w:rFonts w:ascii="Arial" w:cs="Arial" w:eastAsia="Arial" w:hAnsi="Arial"/>
          <w:sz w:val="17"/>
          <w:szCs w:val="17"/>
          <w:color w:val="auto"/>
        </w:rPr>
        <w:t>, provides that research and experimentation expenses can no longer be currently deducted, instead such expenses are required to be capitalized.</w:t>
      </w:r>
      <w:r>
        <w:rPr>
          <w:rFonts w:ascii="Arial" w:cs="Arial" w:eastAsia="Arial" w:hAnsi="Arial"/>
          <w:sz w:val="17"/>
          <w:szCs w:val="17"/>
          <w:i w:val="1"/>
          <w:iCs w:val="1"/>
          <w:color w:val="auto"/>
        </w:rPr>
        <w:t xml:space="preserve"> </w:t>
      </w:r>
      <w:r>
        <w:rPr>
          <w:rFonts w:ascii="Arial" w:cs="Arial" w:eastAsia="Arial" w:hAnsi="Arial"/>
          <w:sz w:val="17"/>
          <w:szCs w:val="17"/>
          <w:color w:val="auto"/>
        </w:rPr>
        <w:t>Such capitalized expenses are to be amortized over a period of five and fifteen years for the U.S. and foreign research, respectively. Although this change has no impact on the income statement due to offsetting current tax expense with corresponding deferred tax benefit, the change has resulted in an aggregate increase of $17,640 in the current tax liability and deferred tax asset balances, presented under “Income taxes payable, net” and “Deferred tax assets, net,” respectively, in the unaudited consolidated balance sheets as of September 30, 2022.</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Income tax (deferred) recognized in AOCI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40" w:type="dxa"/>
            <w:vAlign w:val="bottom"/>
            <w:shd w:val="clear" w:color="auto" w:fill="CCEEFF"/>
          </w:tcPr>
          <w:p>
            <w:pPr>
              <w:spacing w:after="0"/>
              <w:rPr>
                <w:sz w:val="18"/>
                <w:szCs w:val="18"/>
                <w:color w:val="auto"/>
              </w:rPr>
            </w:pPr>
          </w:p>
        </w:tc>
        <w:tc>
          <w:tcPr>
            <w:tcW w:w="3240" w:type="dxa"/>
            <w:vAlign w:val="bottom"/>
            <w:gridSpan w:val="6"/>
            <w:shd w:val="clear" w:color="auto" w:fill="CCEEFF"/>
          </w:tcPr>
          <w:p>
            <w:pPr>
              <w:ind w:left="38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shd w:val="clear" w:color="auto" w:fill="CCEEFF"/>
          </w:tcPr>
          <w:p>
            <w:pPr>
              <w:spacing w:after="0"/>
              <w:rPr>
                <w:sz w:val="18"/>
                <w:szCs w:val="18"/>
                <w:color w:val="auto"/>
              </w:rPr>
            </w:pPr>
          </w:p>
        </w:tc>
        <w:tc>
          <w:tcPr>
            <w:tcW w:w="3040" w:type="dxa"/>
            <w:vAlign w:val="bottom"/>
            <w:gridSpan w:val="4"/>
            <w:shd w:val="clear" w:color="auto" w:fill="CCEEFF"/>
          </w:tcPr>
          <w:p>
            <w:pPr>
              <w:jc w:val="right"/>
              <w:ind w:right="454"/>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00"/>
        </w:trPr>
        <w:tc>
          <w:tcPr>
            <w:tcW w:w="464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2021</w:t>
            </w:r>
          </w:p>
        </w:tc>
      </w:tr>
      <w:tr>
        <w:trPr>
          <w:trHeight w:val="206"/>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taxes benefit / (expense) recognized on:</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7"/>
                <w:szCs w:val="17"/>
                <w:color w:val="auto"/>
              </w:rPr>
              <w:t>Unrealized gain/(loss) on cash flow hedges</w:t>
            </w:r>
          </w:p>
        </w:tc>
        <w:tc>
          <w:tcPr>
            <w:tcW w:w="900" w:type="dxa"/>
            <w:vAlign w:val="bottom"/>
          </w:tcPr>
          <w:p>
            <w:pPr>
              <w:jc w:val="right"/>
              <w:ind w:right="717"/>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2,348</w:t>
            </w:r>
          </w:p>
        </w:tc>
        <w:tc>
          <w:tcPr>
            <w:tcW w:w="10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(980)</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5,146</w:t>
            </w:r>
          </w:p>
        </w:tc>
        <w:tc>
          <w:tcPr>
            <w:tcW w:w="8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(1,201)</w:t>
            </w: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Reclassification adjustment for cash flow hedges</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1,186</w:t>
            </w:r>
          </w:p>
        </w:tc>
      </w:tr>
      <w:tr>
        <w:trPr>
          <w:trHeight w:val="223"/>
        </w:trPr>
        <w:tc>
          <w:tcPr>
            <w:tcW w:w="4640" w:type="dxa"/>
            <w:vAlign w:val="bottom"/>
          </w:tcPr>
          <w:p>
            <w:pPr>
              <w:ind w:left="20"/>
              <w:spacing w:after="0"/>
              <w:rPr>
                <w:sz w:val="20"/>
                <w:szCs w:val="20"/>
                <w:color w:val="auto"/>
              </w:rPr>
            </w:pPr>
            <w:r>
              <w:rPr>
                <w:rFonts w:ascii="Arial" w:cs="Arial" w:eastAsia="Arial" w:hAnsi="Arial"/>
                <w:sz w:val="17"/>
                <w:szCs w:val="17"/>
                <w:color w:val="auto"/>
              </w:rPr>
              <w:t>Reclassification adjustment for retirement benefits</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(154)</w:t>
            </w: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translation loss</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8,898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1,859</w:t>
            </w:r>
          </w:p>
        </w:tc>
      </w:tr>
      <w:tr>
        <w:trPr>
          <w:trHeight w:val="216"/>
        </w:trPr>
        <w:tc>
          <w:tcPr>
            <w:tcW w:w="4640" w:type="dxa"/>
            <w:vAlign w:val="bottom"/>
          </w:tcPr>
          <w:p>
            <w:pPr>
              <w:ind w:left="20"/>
              <w:spacing w:after="0"/>
              <w:rPr>
                <w:sz w:val="20"/>
                <w:szCs w:val="20"/>
                <w:color w:val="auto"/>
              </w:rPr>
            </w:pPr>
            <w:r>
              <w:rPr>
                <w:rFonts w:ascii="Arial" w:cs="Arial" w:eastAsia="Arial" w:hAnsi="Arial"/>
                <w:sz w:val="17"/>
                <w:szCs w:val="17"/>
                <w:b w:val="1"/>
                <w:bCs w:val="1"/>
                <w:color w:val="auto"/>
              </w:rPr>
              <w:t>Total income tax benefit / (expense) recognized in AOCI</w:t>
            </w:r>
          </w:p>
        </w:tc>
        <w:tc>
          <w:tcPr>
            <w:tcW w:w="900" w:type="dxa"/>
            <w:vAlign w:val="bottom"/>
            <w:tcBorders>
              <w:bottom w:val="single" w:sz="8" w:color="auto"/>
            </w:tcBorders>
          </w:tcPr>
          <w:p>
            <w:pPr>
              <w:jc w:val="right"/>
              <w:ind w:right="717"/>
              <w:spacing w:after="0"/>
              <w:rPr>
                <w:sz w:val="20"/>
                <w:szCs w:val="20"/>
                <w:color w:val="auto"/>
              </w:rPr>
            </w:pPr>
            <w:r>
              <w:rPr>
                <w:rFonts w:ascii="Arial" w:cs="Arial" w:eastAsia="Arial" w:hAnsi="Arial"/>
                <w:sz w:val="17"/>
                <w:szCs w:val="17"/>
                <w:b w:val="1"/>
                <w:bCs w:val="1"/>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10,090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14,710</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1,690</w:t>
            </w:r>
          </w:p>
        </w:tc>
      </w:tr>
      <w:tr>
        <w:trPr>
          <w:trHeight w:val="20"/>
        </w:trPr>
        <w:tc>
          <w:tcPr>
            <w:tcW w:w="4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871"/>
        </w:trPr>
        <w:tc>
          <w:tcPr>
            <w:tcW w:w="4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jc w:val="right"/>
              <w:ind w:right="293"/>
              <w:spacing w:after="0"/>
              <w:rPr>
                <w:sz w:val="20"/>
                <w:szCs w:val="20"/>
                <w:color w:val="auto"/>
              </w:rPr>
            </w:pPr>
            <w:r>
              <w:rPr>
                <w:rFonts w:ascii="Arial" w:cs="Arial" w:eastAsia="Arial" w:hAnsi="Arial"/>
                <w:sz w:val="17"/>
                <w:szCs w:val="17"/>
                <w:color w:val="auto"/>
                <w:w w:val="84"/>
              </w:rPr>
              <w:t>38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2"/>
        </w:trPr>
        <w:tc>
          <w:tcPr>
            <w:tcW w:w="46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Stock-Based Compensation</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costs related to the Company’s stock-based compensation plan are included in the unaudited consolidated statements of income:</w:t>
      </w:r>
    </w:p>
    <w:p>
      <w:pPr>
        <w:spacing w:after="0" w:line="122" w:lineRule="exact"/>
        <w:rPr>
          <w:sz w:val="20"/>
          <w:szCs w:val="20"/>
          <w:color w:val="auto"/>
        </w:rPr>
      </w:pPr>
    </w:p>
    <w:tbl>
      <w:tblPr>
        <w:tblLayout w:type="fixed"/>
        <w:tblInd w:w="400" w:type="dxa"/>
        <w:tblCellMar>
          <w:top w:w="0" w:type="dxa"/>
          <w:left w:w="0" w:type="dxa"/>
          <w:bottom w:w="0" w:type="dxa"/>
          <w:right w:w="0" w:type="dxa"/>
        </w:tblCellMar>
      </w:tblPr>
      <w:tr>
        <w:trPr>
          <w:trHeight w:val="183"/>
        </w:trPr>
        <w:tc>
          <w:tcPr>
            <w:tcW w:w="5420" w:type="dxa"/>
            <w:vAlign w:val="bottom"/>
          </w:tcPr>
          <w:p>
            <w:pPr>
              <w:spacing w:after="0"/>
              <w:rPr>
                <w:sz w:val="15"/>
                <w:szCs w:val="15"/>
                <w:color w:val="auto"/>
              </w:rPr>
            </w:pPr>
          </w:p>
        </w:tc>
        <w:tc>
          <w:tcPr>
            <w:tcW w:w="290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5"/>
                <w:szCs w:val="15"/>
                <w:color w:val="auto"/>
              </w:rPr>
            </w:pPr>
          </w:p>
        </w:tc>
        <w:tc>
          <w:tcPr>
            <w:tcW w:w="240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4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revenues</w:t>
            </w:r>
          </w:p>
        </w:tc>
        <w:tc>
          <w:tcPr>
            <w:tcW w:w="840" w:type="dxa"/>
            <w:vAlign w:val="bottom"/>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5,588</w:t>
            </w: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5,237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4,431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14,937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12,337</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and marketing expenses</w:t>
            </w: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10,871</w:t>
            </w: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Arial" w:cs="Arial" w:eastAsia="Arial" w:hAnsi="Arial"/>
                <w:sz w:val="17"/>
                <w:szCs w:val="17"/>
                <w:color w:val="auto"/>
              </w:rPr>
              <w:t>Total</w:t>
            </w:r>
          </w:p>
        </w:tc>
        <w:tc>
          <w:tcPr>
            <w:tcW w:w="840" w:type="dxa"/>
            <w:vAlign w:val="bottom"/>
            <w:tcBorders>
              <w:bottom w:val="single" w:sz="8" w:color="auto"/>
            </w:tcBorders>
          </w:tcPr>
          <w:p>
            <w:pPr>
              <w:jc w:val="right"/>
              <w:ind w:right="640"/>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12,186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10,894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36,750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28,796</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4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5420" w:type="dxa"/>
            <w:vAlign w:val="bottom"/>
          </w:tcPr>
          <w:p>
            <w:pPr>
              <w:ind w:left="20"/>
              <w:spacing w:after="0" w:line="164" w:lineRule="exact"/>
              <w:rPr>
                <w:sz w:val="20"/>
                <w:szCs w:val="20"/>
                <w:color w:val="auto"/>
              </w:rPr>
            </w:pPr>
            <w:r>
              <w:rPr>
                <w:rFonts w:ascii="Arial" w:cs="Arial" w:eastAsia="Arial" w:hAnsi="Arial"/>
                <w:sz w:val="17"/>
                <w:szCs w:val="17"/>
                <w:color w:val="auto"/>
                <w:w w:val="96"/>
              </w:rPr>
              <w:t>Income tax benefit related to share-based compensation, including excess</w:t>
            </w:r>
          </w:p>
        </w:tc>
        <w:tc>
          <w:tcPr>
            <w:tcW w:w="840" w:type="dxa"/>
            <w:vAlign w:val="bottom"/>
            <w:vMerge w:val="restart"/>
          </w:tcPr>
          <w:p>
            <w:pPr>
              <w:jc w:val="right"/>
              <w:ind w:right="640"/>
              <w:spacing w:after="0"/>
              <w:rPr>
                <w:sz w:val="20"/>
                <w:szCs w:val="20"/>
                <w:color w:val="auto"/>
              </w:rPr>
            </w:pPr>
            <w:r>
              <w:rPr>
                <w:rFonts w:ascii="Arial" w:cs="Arial" w:eastAsia="Arial" w:hAnsi="Arial"/>
                <w:sz w:val="17"/>
                <w:szCs w:val="17"/>
                <w:color w:val="auto"/>
              </w:rPr>
              <w:t>$</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2,833</w:t>
            </w:r>
          </w:p>
        </w:tc>
        <w:tc>
          <w:tcPr>
            <w:tcW w:w="100" w:type="dxa"/>
            <w:vAlign w:val="bottom"/>
          </w:tcPr>
          <w:p>
            <w:pPr>
              <w:spacing w:after="0"/>
              <w:rPr>
                <w:sz w:val="14"/>
                <w:szCs w:val="14"/>
                <w:color w:val="auto"/>
              </w:rPr>
            </w:pPr>
          </w:p>
        </w:tc>
        <w:tc>
          <w:tcPr>
            <w:tcW w:w="320" w:type="dxa"/>
            <w:vAlign w:val="bottom"/>
            <w:vMerge w:val="restart"/>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2,697</w:t>
            </w:r>
          </w:p>
        </w:tc>
        <w:tc>
          <w:tcPr>
            <w:tcW w:w="100" w:type="dxa"/>
            <w:vAlign w:val="bottom"/>
          </w:tcPr>
          <w:p>
            <w:pPr>
              <w:spacing w:after="0"/>
              <w:rPr>
                <w:sz w:val="14"/>
                <w:szCs w:val="14"/>
                <w:color w:val="auto"/>
              </w:rPr>
            </w:pPr>
          </w:p>
        </w:tc>
        <w:tc>
          <w:tcPr>
            <w:tcW w:w="220" w:type="dxa"/>
            <w:vAlign w:val="bottom"/>
            <w:vMerge w:val="restart"/>
          </w:tcPr>
          <w:p>
            <w:pPr>
              <w:jc w:val="right"/>
              <w:ind w:right="33"/>
              <w:spacing w:after="0"/>
              <w:rPr>
                <w:sz w:val="20"/>
                <w:szCs w:val="20"/>
                <w:color w:val="auto"/>
              </w:rPr>
            </w:pPr>
            <w:r>
              <w:rPr>
                <w:rFonts w:ascii="Arial" w:cs="Arial" w:eastAsia="Arial" w:hAnsi="Arial"/>
                <w:sz w:val="17"/>
                <w:szCs w:val="17"/>
                <w:color w:val="auto"/>
                <w:w w:val="84"/>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8,855</w:t>
            </w:r>
          </w:p>
        </w:tc>
        <w:tc>
          <w:tcPr>
            <w:tcW w:w="100" w:type="dxa"/>
            <w:vAlign w:val="bottom"/>
          </w:tcPr>
          <w:p>
            <w:pPr>
              <w:spacing w:after="0"/>
              <w:rPr>
                <w:sz w:val="14"/>
                <w:szCs w:val="14"/>
                <w:color w:val="auto"/>
              </w:rPr>
            </w:pPr>
          </w:p>
        </w:tc>
        <w:tc>
          <w:tcPr>
            <w:tcW w:w="300" w:type="dxa"/>
            <w:vAlign w:val="bottom"/>
            <w:vMerge w:val="restart"/>
          </w:tcPr>
          <w:p>
            <w:pPr>
              <w:jc w:val="right"/>
              <w:ind w:right="113"/>
              <w:spacing w:after="0"/>
              <w:rPr>
                <w:sz w:val="20"/>
                <w:szCs w:val="20"/>
                <w:color w:val="auto"/>
              </w:rPr>
            </w:pPr>
            <w:r>
              <w:rPr>
                <w:rFonts w:ascii="Arial" w:cs="Arial" w:eastAsia="Arial" w:hAnsi="Arial"/>
                <w:sz w:val="17"/>
                <w:szCs w:val="17"/>
                <w:color w:val="auto"/>
                <w:w w:val="84"/>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7,129</w:t>
            </w:r>
          </w:p>
        </w:tc>
        <w:tc>
          <w:tcPr>
            <w:tcW w:w="0" w:type="dxa"/>
            <w:vAlign w:val="bottom"/>
          </w:tcPr>
          <w:p>
            <w:pPr>
              <w:spacing w:after="0"/>
              <w:rPr>
                <w:sz w:val="1"/>
                <w:szCs w:val="1"/>
                <w:color w:val="auto"/>
              </w:rPr>
            </w:pPr>
          </w:p>
        </w:tc>
      </w:tr>
      <w:tr>
        <w:trPr>
          <w:trHeight w:val="201"/>
        </w:trPr>
        <w:tc>
          <w:tcPr>
            <w:tcW w:w="5420" w:type="dxa"/>
            <w:vAlign w:val="bottom"/>
          </w:tcPr>
          <w:p>
            <w:pPr>
              <w:ind w:left="20"/>
              <w:spacing w:after="0"/>
              <w:rPr>
                <w:sz w:val="20"/>
                <w:szCs w:val="20"/>
                <w:color w:val="auto"/>
              </w:rPr>
            </w:pPr>
            <w:r>
              <w:rPr>
                <w:rFonts w:ascii="Arial" w:cs="Arial" w:eastAsia="Arial" w:hAnsi="Arial"/>
                <w:sz w:val="17"/>
                <w:szCs w:val="17"/>
                <w:color w:val="auto"/>
              </w:rPr>
              <w:t>tax benefits</w:t>
            </w:r>
          </w:p>
        </w:tc>
        <w:tc>
          <w:tcPr>
            <w:tcW w:w="84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September 30, 2022, the Company had 1,308,384 shares available for grant under the 2018 Omnibus Incentive Plan.</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Stock option activity under the Company’s stock-based compensation plans is shown below:</w:t>
      </w:r>
    </w:p>
    <w:p>
      <w:pPr>
        <w:spacing w:after="0" w:line="22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Weighted-Average</w:t>
            </w:r>
          </w:p>
        </w:tc>
        <w:tc>
          <w:tcPr>
            <w:tcW w:w="220" w:type="dxa"/>
            <w:vAlign w:val="bottom"/>
          </w:tcPr>
          <w:p>
            <w:pPr>
              <w:spacing w:after="0"/>
              <w:rPr>
                <w:sz w:val="14"/>
                <w:szCs w:val="14"/>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Aggregate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Weighted-Average</w:t>
            </w:r>
          </w:p>
        </w:tc>
        <w:tc>
          <w:tcPr>
            <w:tcW w:w="0" w:type="dxa"/>
            <w:vAlign w:val="bottom"/>
          </w:tcPr>
          <w:p>
            <w:pPr>
              <w:spacing w:after="0"/>
              <w:rPr>
                <w:sz w:val="1"/>
                <w:szCs w:val="1"/>
                <w:color w:val="auto"/>
              </w:rPr>
            </w:pPr>
          </w:p>
        </w:tc>
      </w:tr>
      <w:tr>
        <w:trPr>
          <w:trHeight w:val="66"/>
        </w:trPr>
        <w:tc>
          <w:tcPr>
            <w:tcW w:w="4840" w:type="dxa"/>
            <w:vAlign w:val="bottom"/>
          </w:tcPr>
          <w:p>
            <w:pPr>
              <w:spacing w:after="0"/>
              <w:rPr>
                <w:sz w:val="5"/>
                <w:szCs w:val="5"/>
                <w:color w:val="auto"/>
              </w:rPr>
            </w:pPr>
          </w:p>
        </w:tc>
        <w:tc>
          <w:tcPr>
            <w:tcW w:w="1360" w:type="dxa"/>
            <w:vAlign w:val="bottom"/>
            <w:gridSpan w:val="2"/>
            <w:vMerge w:val="restart"/>
          </w:tcPr>
          <w:p>
            <w:pPr>
              <w:jc w:val="center"/>
              <w:ind w:right="100"/>
              <w:spacing w:after="0" w:line="145" w:lineRule="exact"/>
              <w:rPr>
                <w:sz w:val="20"/>
                <w:szCs w:val="20"/>
                <w:color w:val="auto"/>
              </w:rPr>
            </w:pPr>
            <w:r>
              <w:rPr>
                <w:rFonts w:ascii="Arial" w:cs="Arial" w:eastAsia="Arial" w:hAnsi="Arial"/>
                <w:sz w:val="14"/>
                <w:szCs w:val="14"/>
                <w:b w:val="1"/>
                <w:bCs w:val="1"/>
                <w:color w:val="auto"/>
                <w:w w:val="94"/>
              </w:rPr>
              <w:t>Number of</w:t>
            </w:r>
          </w:p>
        </w:tc>
        <w:tc>
          <w:tcPr>
            <w:tcW w:w="14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8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79"/>
        </w:trPr>
        <w:tc>
          <w:tcPr>
            <w:tcW w:w="484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jc w:val="center"/>
              <w:ind w:right="340"/>
              <w:spacing w:after="0" w:line="135" w:lineRule="exact"/>
              <w:rPr>
                <w:sz w:val="20"/>
                <w:szCs w:val="20"/>
                <w:color w:val="auto"/>
              </w:rPr>
            </w:pPr>
            <w:r>
              <w:rPr>
                <w:rFonts w:ascii="Arial" w:cs="Arial" w:eastAsia="Arial" w:hAnsi="Arial"/>
                <w:sz w:val="14"/>
                <w:szCs w:val="14"/>
                <w:b w:val="1"/>
                <w:bCs w:val="1"/>
                <w:color w:val="auto"/>
                <w:w w:val="86"/>
              </w:rPr>
              <w:t>Exercise</w:t>
            </w:r>
          </w:p>
        </w:tc>
        <w:tc>
          <w:tcPr>
            <w:tcW w:w="220" w:type="dxa"/>
            <w:vAlign w:val="bottom"/>
          </w:tcPr>
          <w:p>
            <w:pPr>
              <w:spacing w:after="0"/>
              <w:rPr>
                <w:sz w:val="6"/>
                <w:szCs w:val="6"/>
                <w:color w:val="auto"/>
              </w:rPr>
            </w:pPr>
          </w:p>
        </w:tc>
        <w:tc>
          <w:tcPr>
            <w:tcW w:w="1160" w:type="dxa"/>
            <w:vAlign w:val="bottom"/>
            <w:gridSpan w:val="2"/>
            <w:vMerge w:val="restart"/>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Intrinsic</w:t>
            </w: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4840" w:type="dxa"/>
            <w:vAlign w:val="bottom"/>
          </w:tcPr>
          <w:p>
            <w:pPr>
              <w:spacing w:after="0"/>
              <w:rPr>
                <w:sz w:val="4"/>
                <w:szCs w:val="4"/>
                <w:color w:val="auto"/>
              </w:rPr>
            </w:pPr>
          </w:p>
        </w:tc>
        <w:tc>
          <w:tcPr>
            <w:tcW w:w="136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8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2"/>
              </w:rPr>
              <w:t>Contractual</w:t>
            </w:r>
          </w:p>
        </w:tc>
        <w:tc>
          <w:tcPr>
            <w:tcW w:w="0" w:type="dxa"/>
            <w:vAlign w:val="bottom"/>
          </w:tcPr>
          <w:p>
            <w:pPr>
              <w:spacing w:after="0"/>
              <w:rPr>
                <w:sz w:val="1"/>
                <w:szCs w:val="1"/>
                <w:color w:val="auto"/>
              </w:rPr>
            </w:pPr>
          </w:p>
        </w:tc>
      </w:tr>
      <w:tr>
        <w:trPr>
          <w:trHeight w:val="79"/>
        </w:trPr>
        <w:tc>
          <w:tcPr>
            <w:tcW w:w="484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6"/>
                <w:szCs w:val="6"/>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48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Life (Years)</w:t>
            </w:r>
          </w:p>
        </w:tc>
        <w:tc>
          <w:tcPr>
            <w:tcW w:w="0" w:type="dxa"/>
            <w:vAlign w:val="bottom"/>
          </w:tcPr>
          <w:p>
            <w:pPr>
              <w:spacing w:after="0"/>
              <w:rPr>
                <w:sz w:val="1"/>
                <w:szCs w:val="1"/>
                <w:color w:val="auto"/>
              </w:rPr>
            </w:pPr>
          </w:p>
        </w:tc>
      </w:tr>
      <w:tr>
        <w:trPr>
          <w:trHeight w:val="79"/>
        </w:trPr>
        <w:tc>
          <w:tcPr>
            <w:tcW w:w="48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48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as of December 31, 2021</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ind w:left="1040"/>
              <w:spacing w:after="0"/>
              <w:rPr>
                <w:sz w:val="20"/>
                <w:szCs w:val="20"/>
                <w:color w:val="auto"/>
              </w:rPr>
            </w:pPr>
            <w:r>
              <w:rPr>
                <w:rFonts w:ascii="Arial" w:cs="Arial" w:eastAsia="Arial" w:hAnsi="Arial"/>
                <w:sz w:val="17"/>
                <w:szCs w:val="17"/>
                <w:color w:val="auto"/>
                <w:w w:val="92"/>
              </w:rPr>
              <w:t>2.0</w:t>
            </w:r>
          </w:p>
        </w:tc>
        <w:tc>
          <w:tcPr>
            <w:tcW w:w="0" w:type="dxa"/>
            <w:vAlign w:val="bottom"/>
          </w:tcPr>
          <w:p>
            <w:pPr>
              <w:spacing w:after="0"/>
              <w:rPr>
                <w:sz w:val="1"/>
                <w:szCs w:val="1"/>
                <w:color w:val="auto"/>
              </w:rPr>
            </w:pPr>
          </w:p>
        </w:tc>
      </w:tr>
      <w:tr>
        <w:trPr>
          <w:trHeight w:val="223"/>
        </w:trPr>
        <w:tc>
          <w:tcPr>
            <w:tcW w:w="4840" w:type="dxa"/>
            <w:vAlign w:val="bottom"/>
          </w:tcPr>
          <w:p>
            <w:pPr>
              <w:ind w:left="420"/>
              <w:spacing w:after="0"/>
              <w:rPr>
                <w:sz w:val="20"/>
                <w:szCs w:val="20"/>
                <w:color w:val="auto"/>
              </w:rPr>
            </w:pPr>
            <w:r>
              <w:rPr>
                <w:rFonts w:ascii="Arial" w:cs="Arial" w:eastAsia="Arial" w:hAnsi="Arial"/>
                <w:sz w:val="17"/>
                <w:szCs w:val="17"/>
                <w:color w:val="auto"/>
              </w:rPr>
              <w:t>Granted</w:t>
            </w: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80" w:type="dxa"/>
            <w:vAlign w:val="bottom"/>
          </w:tcPr>
          <w:p>
            <w:pPr>
              <w:ind w:left="10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Exercised</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840" w:type="dxa"/>
            <w:vAlign w:val="bottom"/>
          </w:tcPr>
          <w:p>
            <w:pPr>
              <w:ind w:left="420"/>
              <w:spacing w:after="0"/>
              <w:rPr>
                <w:sz w:val="20"/>
                <w:szCs w:val="20"/>
                <w:color w:val="auto"/>
              </w:rPr>
            </w:pPr>
            <w:r>
              <w:rPr>
                <w:rFonts w:ascii="Arial" w:cs="Arial" w:eastAsia="Arial" w:hAnsi="Arial"/>
                <w:sz w:val="17"/>
                <w:szCs w:val="17"/>
                <w:color w:val="auto"/>
              </w:rPr>
              <w:t>Forfeited</w:t>
            </w: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80" w:type="dxa"/>
            <w:vAlign w:val="bottom"/>
          </w:tcPr>
          <w:p>
            <w:pPr>
              <w:ind w:left="10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as of September 30, 2022</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7"/>
                <w:szCs w:val="17"/>
                <w:color w:val="auto"/>
                <w:w w:val="92"/>
              </w:rPr>
              <w:t>1.3</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Vested and exercisable as of September 30, 2022</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vMerge w:val="continue"/>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3,093</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27.62</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370</w:t>
            </w: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7"/>
                <w:szCs w:val="17"/>
                <w:b w:val="1"/>
                <w:bCs w:val="1"/>
                <w:color w:val="auto"/>
                <w:w w:val="92"/>
              </w:rPr>
              <w:t>1.3</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Matching Program</w:t>
      </w:r>
    </w:p>
    <w:p>
      <w:pPr>
        <w:spacing w:after="0" w:line="125" w:lineRule="exact"/>
        <w:rPr>
          <w:sz w:val="20"/>
          <w:szCs w:val="20"/>
          <w:color w:val="auto"/>
        </w:rPr>
      </w:pPr>
    </w:p>
    <w:p>
      <w:pPr>
        <w:jc w:val="both"/>
        <w:ind w:right="100" w:firstLine="433"/>
        <w:spacing w:after="0" w:line="252" w:lineRule="auto"/>
        <w:rPr>
          <w:sz w:val="20"/>
          <w:szCs w:val="20"/>
          <w:color w:val="auto"/>
        </w:rPr>
      </w:pPr>
      <w:r>
        <w:rPr>
          <w:rFonts w:ascii="Arial" w:cs="Arial" w:eastAsia="Arial" w:hAnsi="Arial"/>
          <w:sz w:val="17"/>
          <w:szCs w:val="17"/>
          <w:color w:val="auto"/>
        </w:rPr>
        <w:t>Under the Company’s 2018 Omnibus Incentive Plan (the “2018 Plan”), the Company established a share matching program (“SMP”) for executive officers and other specified employees. Under the SMP, the Company agreed to issue a number of restricted stock units equal to the number of newly acquired shares of the Company's common stock. For purposes of the match, “newly acquired shares” includes the employee’s first quarter 2022 open market purchase of the common stock, and</w:t>
      </w:r>
    </w:p>
    <w:p>
      <w:pPr>
        <w:sectPr>
          <w:pgSz w:w="11900" w:h="16838" w:orient="portrait"/>
          <w:cols w:equalWidth="0" w:num="1">
            <w:col w:w="11340"/>
          </w:cols>
          <w:pgMar w:left="320" w:top="121" w:right="2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crediting of equity awards vesting under any existing stock award plan of the Company as having been purchased by such employees, in an amount between $100 to $500 per such employee.</w:t>
      </w:r>
    </w:p>
    <w:p>
      <w:pPr>
        <w:spacing w:after="0" w:line="80" w:lineRule="exact"/>
        <w:rPr>
          <w:sz w:val="20"/>
          <w:szCs w:val="20"/>
          <w:color w:val="auto"/>
        </w:rPr>
      </w:pPr>
    </w:p>
    <w:p>
      <w:pPr>
        <w:jc w:val="both"/>
        <w:ind w:firstLine="393"/>
        <w:spacing w:after="0" w:line="267" w:lineRule="auto"/>
        <w:rPr>
          <w:sz w:val="20"/>
          <w:szCs w:val="20"/>
          <w:color w:val="auto"/>
        </w:rPr>
      </w:pPr>
      <w:r>
        <w:rPr>
          <w:rFonts w:ascii="Arial" w:cs="Arial" w:eastAsia="Arial" w:hAnsi="Arial"/>
          <w:sz w:val="16"/>
          <w:szCs w:val="16"/>
          <w:color w:val="auto"/>
        </w:rPr>
        <w:t>The matching restricted stock units granted under the SMP will vest in two installments, with one-third to vest on the second anniversary of the grant date and the remaining two-thirds to vest on the third anniversary of the grant date; the newly acquired shares for which the matching restricted stock units were granted must also be held by the employee until such vesting dates. The Company’s underlying common stock issued pursuant to the vesting of the matching restricted stock units will not be marketable or transferable for a period of two years following the vesting date. Certain forfeiture and other conditions apply.</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During the nine months ended September 30, 2022, the Company granted 52,636 matching restricted stock units under the SMP.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 Units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Restricted stock unit activity under the Company’s stock-based compensation plans is shown below:</w:t>
      </w:r>
    </w:p>
    <w:p>
      <w:pPr>
        <w:spacing w:after="0" w:line="122" w:lineRule="exact"/>
        <w:rPr>
          <w:sz w:val="20"/>
          <w:szCs w:val="20"/>
          <w:color w:val="auto"/>
        </w:rPr>
      </w:pPr>
    </w:p>
    <w:tbl>
      <w:tblPr>
        <w:tblLayout w:type="fixed"/>
        <w:tblInd w:w="400" w:type="dxa"/>
        <w:tblCellMar>
          <w:top w:w="0" w:type="dxa"/>
          <w:left w:w="0" w:type="dxa"/>
          <w:bottom w:w="0" w:type="dxa"/>
          <w:right w:w="0" w:type="dxa"/>
        </w:tblCellMar>
      </w:tblPr>
      <w:tr>
        <w:trPr>
          <w:trHeight w:val="183"/>
        </w:trPr>
        <w:tc>
          <w:tcPr>
            <w:tcW w:w="4500" w:type="dxa"/>
            <w:vAlign w:val="bottom"/>
          </w:tcPr>
          <w:p>
            <w:pPr>
              <w:spacing w:after="0"/>
              <w:rPr>
                <w:sz w:val="15"/>
                <w:szCs w:val="15"/>
                <w:color w:val="auto"/>
              </w:rPr>
            </w:pPr>
          </w:p>
        </w:tc>
        <w:tc>
          <w:tcPr>
            <w:tcW w:w="30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Restricted Stock Units (Others)</w:t>
            </w:r>
          </w:p>
        </w:tc>
        <w:tc>
          <w:tcPr>
            <w:tcW w:w="2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Restricted Stock Units (SMP)</w:t>
            </w:r>
          </w:p>
        </w:tc>
        <w:tc>
          <w:tcPr>
            <w:tcW w:w="0" w:type="dxa"/>
            <w:vAlign w:val="bottom"/>
          </w:tcPr>
          <w:p>
            <w:pPr>
              <w:spacing w:after="0"/>
              <w:rPr>
                <w:sz w:val="1"/>
                <w:szCs w:val="1"/>
                <w:color w:val="auto"/>
              </w:rPr>
            </w:pPr>
          </w:p>
        </w:tc>
      </w:tr>
      <w:tr>
        <w:trPr>
          <w:trHeight w:val="24"/>
        </w:trPr>
        <w:tc>
          <w:tcPr>
            <w:tcW w:w="4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500" w:type="dxa"/>
            <w:vAlign w:val="bottom"/>
          </w:tcPr>
          <w:p>
            <w:pPr>
              <w:spacing w:after="0"/>
              <w:rPr>
                <w:sz w:val="11"/>
                <w:szCs w:val="11"/>
                <w:color w:val="auto"/>
              </w:rPr>
            </w:pPr>
          </w:p>
        </w:tc>
        <w:tc>
          <w:tcPr>
            <w:tcW w:w="1420" w:type="dxa"/>
            <w:vAlign w:val="bottom"/>
            <w:tcBorders>
              <w:top w:val="single" w:sz="8" w:color="auto"/>
            </w:tcBorders>
            <w:gridSpan w:val="2"/>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118"/>
              <w:spacing w:after="0" w:line="128" w:lineRule="exact"/>
              <w:rPr>
                <w:sz w:val="20"/>
                <w:szCs w:val="20"/>
                <w:color w:val="auto"/>
              </w:rPr>
            </w:pPr>
            <w:r>
              <w:rPr>
                <w:rFonts w:ascii="Arial" w:cs="Arial" w:eastAsia="Arial" w:hAnsi="Arial"/>
                <w:sz w:val="14"/>
                <w:szCs w:val="14"/>
                <w:b w:val="1"/>
                <w:bCs w:val="1"/>
                <w:color w:val="auto"/>
                <w:w w:val="91"/>
              </w:rPr>
              <w:t>Weighted-Average</w:t>
            </w:r>
          </w:p>
        </w:tc>
        <w:tc>
          <w:tcPr>
            <w:tcW w:w="100" w:type="dxa"/>
            <w:vAlign w:val="bottom"/>
          </w:tcPr>
          <w:p>
            <w:pPr>
              <w:spacing w:after="0"/>
              <w:rPr>
                <w:sz w:val="11"/>
                <w:szCs w:val="11"/>
                <w:color w:val="auto"/>
              </w:rPr>
            </w:pPr>
          </w:p>
        </w:tc>
        <w:tc>
          <w:tcPr>
            <w:tcW w:w="1400" w:type="dxa"/>
            <w:vAlign w:val="bottom"/>
            <w:tcBorders>
              <w:top w:val="single" w:sz="8" w:color="auto"/>
            </w:tcBorders>
            <w:gridSpan w:val="2"/>
            <w:vMerge w:val="restart"/>
          </w:tcPr>
          <w:p>
            <w:pPr>
              <w:ind w:left="400"/>
              <w:spacing w:after="0"/>
              <w:rPr>
                <w:sz w:val="20"/>
                <w:szCs w:val="20"/>
                <w:color w:val="auto"/>
              </w:rPr>
            </w:pPr>
            <w:r>
              <w:rPr>
                <w:rFonts w:ascii="Arial" w:cs="Arial" w:eastAsia="Arial" w:hAnsi="Arial"/>
                <w:sz w:val="14"/>
                <w:szCs w:val="14"/>
                <w:b w:val="1"/>
                <w:bCs w:val="1"/>
                <w:color w:val="auto"/>
              </w:rPr>
              <w:t>Number</w:t>
            </w:r>
          </w:p>
        </w:tc>
        <w:tc>
          <w:tcPr>
            <w:tcW w:w="1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right"/>
              <w:ind w:right="138"/>
              <w:spacing w:after="0" w:line="128"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04"/>
        </w:trPr>
        <w:tc>
          <w:tcPr>
            <w:tcW w:w="450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vMerge w:val="restart"/>
          </w:tcPr>
          <w:p>
            <w:pPr>
              <w:jc w:val="right"/>
              <w:ind w:right="33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vMerge w:val="restart"/>
          </w:tcPr>
          <w:p>
            <w:pPr>
              <w:jc w:val="right"/>
              <w:ind w:right="37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84"/>
        </w:trPr>
        <w:tc>
          <w:tcPr>
            <w:tcW w:w="4500" w:type="dxa"/>
            <w:vAlign w:val="bottom"/>
            <w:tcBorders>
              <w:bottom w:val="single" w:sz="8" w:color="CCEEFF"/>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as of December 31, 2021*</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982,187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81.61</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500" w:type="dxa"/>
            <w:vAlign w:val="bottom"/>
          </w:tcPr>
          <w:p>
            <w:pPr>
              <w:ind w:left="420"/>
              <w:spacing w:after="0"/>
              <w:rPr>
                <w:sz w:val="20"/>
                <w:szCs w:val="20"/>
                <w:color w:val="auto"/>
              </w:rPr>
            </w:pPr>
            <w:r>
              <w:rPr>
                <w:rFonts w:ascii="Arial" w:cs="Arial" w:eastAsia="Arial" w:hAnsi="Arial"/>
                <w:sz w:val="17"/>
                <w:szCs w:val="17"/>
                <w:color w:val="auto"/>
              </w:rPr>
              <w:t>Granted</w:t>
            </w:r>
          </w:p>
        </w:tc>
        <w:tc>
          <w:tcPr>
            <w:tcW w:w="1320" w:type="dxa"/>
            <w:vAlign w:val="bottom"/>
          </w:tcPr>
          <w:p>
            <w:pPr>
              <w:jc w:val="right"/>
              <w:spacing w:after="0"/>
              <w:rPr>
                <w:sz w:val="20"/>
                <w:szCs w:val="20"/>
                <w:color w:val="auto"/>
              </w:rPr>
            </w:pPr>
            <w:r>
              <w:rPr>
                <w:rFonts w:ascii="Arial" w:cs="Arial" w:eastAsia="Arial" w:hAnsi="Arial"/>
                <w:sz w:val="17"/>
                <w:szCs w:val="17"/>
                <w:color w:val="auto"/>
              </w:rPr>
              <w:t>356,983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121.15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52,636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124.76</w:t>
            </w: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(302,625)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73.86</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(77,894)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94.48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(4,177)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124.76</w:t>
            </w:r>
          </w:p>
        </w:tc>
        <w:tc>
          <w:tcPr>
            <w:tcW w:w="0" w:type="dxa"/>
            <w:vAlign w:val="bottom"/>
          </w:tcPr>
          <w:p>
            <w:pPr>
              <w:spacing w:after="0"/>
              <w:rPr>
                <w:sz w:val="1"/>
                <w:szCs w:val="1"/>
                <w:color w:val="auto"/>
              </w:rPr>
            </w:pPr>
          </w:p>
        </w:tc>
      </w:tr>
      <w:tr>
        <w:trPr>
          <w:trHeight w:val="241"/>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as of September 30,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958,651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97.74</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48,459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124.76</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firstLine="398"/>
        <w:spacing w:after="0" w:line="273" w:lineRule="auto"/>
        <w:tabs>
          <w:tab w:leader="none" w:pos="534"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As of September 30, 2022 and December 31, 2021 restricted stock units vested for which the underlying common stock is yet to be issued are 174,490 and 162,481 respectively.</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September 30, 2022, unrecognized compensation cost of $73,569 is expected to be expensed over a weighted average period of 2.5 years.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Based Stock Awards</w:t>
      </w:r>
    </w:p>
    <w:p>
      <w:pPr>
        <w:spacing w:after="0" w:line="243" w:lineRule="exact"/>
        <w:rPr>
          <w:sz w:val="20"/>
          <w:szCs w:val="20"/>
          <w:color w:val="auto"/>
        </w:rPr>
      </w:pPr>
    </w:p>
    <w:p>
      <w:pPr>
        <w:jc w:val="both"/>
        <w:ind w:firstLine="393"/>
        <w:spacing w:after="0" w:line="244" w:lineRule="auto"/>
        <w:rPr>
          <w:sz w:val="20"/>
          <w:szCs w:val="20"/>
          <w:color w:val="auto"/>
        </w:rPr>
      </w:pPr>
      <w:r>
        <w:rPr>
          <w:rFonts w:ascii="Arial" w:cs="Arial" w:eastAsia="Arial" w:hAnsi="Arial"/>
          <w:sz w:val="17"/>
          <w:szCs w:val="17"/>
          <w:color w:val="auto"/>
        </w:rPr>
        <w:t>Under the 2018 Plan, the Company grants performance-based restricted stock units (“PRSUs”) to executive officers and other specified employees. During the nine months ended September 30, 2022, the Company granted 40% of each award recipient’s equity grants in the form of PRSUs that cliff vest at the end of a three-year period based on an aggregated revenue target for a three year period. The remaining 60% of each award recipient’s equity grants are PRSUs that are based on a market condition that is contingent on the Company’s meeting the total shareholder return relative to a group of peer companies specified under the program measured over a three-year performance period. However, the features of the equity incentive compensation program are subject to change by the Compensation Committee of our Board of Directors. The award recipient may earn up to two hundred percent (200%) of the PRSUs granted based on the actual achievement of targets.</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Performance restricted stock unit activity under the Company’s stock plans is shown below:</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600" w:type="dxa"/>
        <w:tblCellMar>
          <w:top w:w="0" w:type="dxa"/>
          <w:left w:w="0" w:type="dxa"/>
          <w:bottom w:w="0" w:type="dxa"/>
          <w:right w:w="0" w:type="dxa"/>
        </w:tblCellMar>
      </w:tblPr>
      <w:tr>
        <w:trPr>
          <w:trHeight w:val="183"/>
        </w:trPr>
        <w:tc>
          <w:tcPr>
            <w:tcW w:w="4840" w:type="dxa"/>
            <w:vAlign w:val="bottom"/>
          </w:tcPr>
          <w:p>
            <w:pPr>
              <w:spacing w:after="0"/>
              <w:rPr>
                <w:sz w:val="15"/>
                <w:szCs w:val="15"/>
                <w:color w:val="auto"/>
              </w:rPr>
            </w:pPr>
          </w:p>
        </w:tc>
        <w:tc>
          <w:tcPr>
            <w:tcW w:w="2860" w:type="dxa"/>
            <w:vAlign w:val="bottom"/>
            <w:gridSpan w:val="5"/>
          </w:tcPr>
          <w:p>
            <w:pPr>
              <w:ind w:left="700"/>
              <w:spacing w:after="0"/>
              <w:rPr>
                <w:sz w:val="20"/>
                <w:szCs w:val="20"/>
                <w:color w:val="auto"/>
              </w:rPr>
            </w:pPr>
            <w:r>
              <w:rPr>
                <w:rFonts w:ascii="Arial" w:cs="Arial" w:eastAsia="Arial" w:hAnsi="Arial"/>
                <w:sz w:val="14"/>
                <w:szCs w:val="14"/>
                <w:b w:val="1"/>
                <w:bCs w:val="1"/>
                <w:color w:val="auto"/>
              </w:rPr>
              <w:t>Revenue Based PRSUs</w:t>
            </w:r>
          </w:p>
        </w:tc>
        <w:tc>
          <w:tcPr>
            <w:tcW w:w="2740" w:type="dxa"/>
            <w:vAlign w:val="bottom"/>
            <w:gridSpan w:val="4"/>
          </w:tcPr>
          <w:p>
            <w:pPr>
              <w:ind w:left="400"/>
              <w:spacing w:after="0"/>
              <w:rPr>
                <w:sz w:val="20"/>
                <w:szCs w:val="20"/>
                <w:color w:val="auto"/>
              </w:rPr>
            </w:pPr>
            <w:r>
              <w:rPr>
                <w:rFonts w:ascii="Arial" w:cs="Arial" w:eastAsia="Arial" w:hAnsi="Arial"/>
                <w:sz w:val="14"/>
                <w:szCs w:val="14"/>
                <w:b w:val="1"/>
                <w:bCs w:val="1"/>
                <w:color w:val="auto"/>
              </w:rPr>
              <w:t>Market Condition Based PRSUs</w:t>
            </w:r>
          </w:p>
        </w:tc>
        <w:tc>
          <w:tcPr>
            <w:tcW w:w="0" w:type="dxa"/>
            <w:vAlign w:val="bottom"/>
          </w:tcPr>
          <w:p>
            <w:pPr>
              <w:spacing w:after="0"/>
              <w:rPr>
                <w:sz w:val="1"/>
                <w:szCs w:val="1"/>
                <w:color w:val="auto"/>
              </w:rPr>
            </w:pPr>
          </w:p>
        </w:tc>
      </w:tr>
      <w:tr>
        <w:trPr>
          <w:trHeight w:val="24"/>
        </w:trPr>
        <w:tc>
          <w:tcPr>
            <w:tcW w:w="4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840" w:type="dxa"/>
            <w:vAlign w:val="bottom"/>
          </w:tcPr>
          <w:p>
            <w:pPr>
              <w:spacing w:after="0"/>
              <w:rPr>
                <w:sz w:val="10"/>
                <w:szCs w:val="10"/>
                <w:color w:val="auto"/>
              </w:rPr>
            </w:pPr>
          </w:p>
        </w:tc>
        <w:tc>
          <w:tcPr>
            <w:tcW w:w="1420" w:type="dxa"/>
            <w:vAlign w:val="bottom"/>
            <w:tcBorders>
              <w:top w:val="single" w:sz="8" w:color="auto"/>
            </w:tcBorders>
            <w:gridSpan w:val="2"/>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38"/>
              <w:spacing w:after="0" w:line="125" w:lineRule="exact"/>
              <w:rPr>
                <w:sz w:val="20"/>
                <w:szCs w:val="20"/>
                <w:color w:val="auto"/>
              </w:rPr>
            </w:pPr>
            <w:r>
              <w:rPr>
                <w:rFonts w:ascii="Arial" w:cs="Arial" w:eastAsia="Arial" w:hAnsi="Arial"/>
                <w:sz w:val="14"/>
                <w:szCs w:val="14"/>
                <w:b w:val="1"/>
                <w:bCs w:val="1"/>
                <w:color w:val="auto"/>
                <w:w w:val="88"/>
              </w:rPr>
              <w:t>Weighted Average</w:t>
            </w:r>
          </w:p>
        </w:tc>
        <w:tc>
          <w:tcPr>
            <w:tcW w:w="120" w:type="dxa"/>
            <w:vAlign w:val="bottom"/>
          </w:tcPr>
          <w:p>
            <w:pPr>
              <w:spacing w:after="0"/>
              <w:rPr>
                <w:sz w:val="10"/>
                <w:szCs w:val="10"/>
                <w:color w:val="auto"/>
              </w:rPr>
            </w:pPr>
          </w:p>
        </w:tc>
        <w:tc>
          <w:tcPr>
            <w:tcW w:w="1400" w:type="dxa"/>
            <w:vAlign w:val="bottom"/>
            <w:tcBorders>
              <w:top w:val="single" w:sz="8" w:color="auto"/>
            </w:tcBorders>
            <w:gridSpan w:val="2"/>
            <w:vMerge w:val="restart"/>
          </w:tcPr>
          <w:p>
            <w:pPr>
              <w:ind w:left="400"/>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ind w:right="38"/>
              <w:spacing w:after="0" w:line="125" w:lineRule="exact"/>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08"/>
        </w:trPr>
        <w:tc>
          <w:tcPr>
            <w:tcW w:w="484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Fair Value</w:t>
            </w:r>
          </w:p>
        </w:tc>
        <w:tc>
          <w:tcPr>
            <w:tcW w:w="14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82"/>
        </w:trPr>
        <w:tc>
          <w:tcPr>
            <w:tcW w:w="48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as of December 31, 2021</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58,864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78.29</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172,042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113.74</w:t>
            </w:r>
          </w:p>
        </w:tc>
        <w:tc>
          <w:tcPr>
            <w:tcW w:w="0" w:type="dxa"/>
            <w:vAlign w:val="bottom"/>
          </w:tcPr>
          <w:p>
            <w:pPr>
              <w:spacing w:after="0"/>
              <w:rPr>
                <w:sz w:val="1"/>
                <w:szCs w:val="1"/>
                <w:color w:val="auto"/>
              </w:rPr>
            </w:pPr>
          </w:p>
        </w:tc>
      </w:tr>
      <w:tr>
        <w:trPr>
          <w:trHeight w:val="223"/>
        </w:trPr>
        <w:tc>
          <w:tcPr>
            <w:tcW w:w="4840" w:type="dxa"/>
            <w:vAlign w:val="bottom"/>
          </w:tcPr>
          <w:p>
            <w:pPr>
              <w:ind w:left="220"/>
              <w:spacing w:after="0"/>
              <w:rPr>
                <w:sz w:val="20"/>
                <w:szCs w:val="20"/>
                <w:color w:val="auto"/>
              </w:rPr>
            </w:pPr>
            <w:r>
              <w:rPr>
                <w:rFonts w:ascii="Arial" w:cs="Arial" w:eastAsia="Arial" w:hAnsi="Arial"/>
                <w:sz w:val="17"/>
                <w:szCs w:val="17"/>
                <w:color w:val="auto"/>
              </w:rPr>
              <w:t>Granted</w:t>
            </w:r>
          </w:p>
        </w:tc>
        <w:tc>
          <w:tcPr>
            <w:tcW w:w="1320" w:type="dxa"/>
            <w:vAlign w:val="bottom"/>
          </w:tcPr>
          <w:p>
            <w:pPr>
              <w:jc w:val="right"/>
              <w:spacing w:after="0"/>
              <w:rPr>
                <w:sz w:val="20"/>
                <w:szCs w:val="20"/>
                <w:color w:val="auto"/>
              </w:rPr>
            </w:pPr>
            <w:r>
              <w:rPr>
                <w:rFonts w:ascii="Arial" w:cs="Arial" w:eastAsia="Arial" w:hAnsi="Arial"/>
                <w:sz w:val="17"/>
                <w:szCs w:val="17"/>
                <w:color w:val="auto"/>
              </w:rPr>
              <w:t>53,122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119.98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79,631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155.67</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Vested</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(6,113)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97.62</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(14,940)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126.10</w:t>
            </w:r>
          </w:p>
        </w:tc>
        <w:tc>
          <w:tcPr>
            <w:tcW w:w="0" w:type="dxa"/>
            <w:vAlign w:val="bottom"/>
          </w:tcPr>
          <w:p>
            <w:pPr>
              <w:spacing w:after="0"/>
              <w:rPr>
                <w:sz w:val="1"/>
                <w:szCs w:val="1"/>
                <w:color w:val="auto"/>
              </w:rPr>
            </w:pPr>
          </w:p>
        </w:tc>
      </w:tr>
      <w:tr>
        <w:trPr>
          <w:trHeight w:val="241"/>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as of September 30,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105,873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98.09</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236,733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127.07</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760" w:firstLine="433"/>
        <w:spacing w:after="0" w:line="418" w:lineRule="auto"/>
        <w:rPr>
          <w:sz w:val="20"/>
          <w:szCs w:val="20"/>
          <w:color w:val="auto"/>
        </w:rPr>
      </w:pPr>
      <w:r>
        <w:rPr>
          <w:rFonts w:ascii="Arial" w:cs="Arial" w:eastAsia="Arial" w:hAnsi="Arial"/>
          <w:sz w:val="17"/>
          <w:szCs w:val="17"/>
          <w:color w:val="auto"/>
        </w:rPr>
        <w:t xml:space="preserve">As of September 30, 2022, unrecognized compensation cost of $24,273 is expected to be expensed over a weighted average period of 2.0 years. </w:t>
      </w:r>
      <w:r>
        <w:rPr>
          <w:rFonts w:ascii="Arial" w:cs="Arial" w:eastAsia="Arial" w:hAnsi="Arial"/>
          <w:sz w:val="17"/>
          <w:szCs w:val="17"/>
          <w:b w:val="1"/>
          <w:bCs w:val="1"/>
          <w:color w:val="auto"/>
        </w:rPr>
        <w:t>Employee Stock Purchase Plan</w:t>
      </w:r>
    </w:p>
    <w:p>
      <w:pPr>
        <w:spacing w:after="0" w:line="67"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On June 21, 2022, at the annual meeting of stockholders of the Company, the Company’s stockholders approved the ExlService Holdings, Inc. 2022 Employee Stock Purchase Plan (the “2022 ESPP”).</w:t>
      </w:r>
    </w:p>
    <w:p>
      <w:pPr>
        <w:spacing w:after="0" w:line="185"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6"/>
          <w:szCs w:val="16"/>
          <w:color w:val="auto"/>
        </w:rPr>
        <w:t>The 2022 ESPP allows eligible employees to purchase the Company’s shares of common stock through payroll deductions at a pre-specified discount to the lower of closing price of the Company’s common shares on the date of offering or the last business day of each purchase interval. The dollar amount of shares of common stock that can be purchased under the 2022 ESPP must not exceed 15% of the participating employee’s compensation during the offering period, subject to a cap of $25 per employee per calendar year. The first offering period under the 2022 ESPP commenced on October 1, 2022 with a term of three months. The Company has registered 800,000 shares of common stock to be reserved for issuance over the term of the 2022 ESPP.</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24. Related Party Disclosures</w:t>
      </w:r>
    </w:p>
    <w:p>
      <w:pPr>
        <w:spacing w:after="0" w:line="256" w:lineRule="exact"/>
        <w:rPr>
          <w:sz w:val="20"/>
          <w:szCs w:val="20"/>
          <w:color w:val="auto"/>
        </w:rPr>
      </w:pPr>
    </w:p>
    <w:p>
      <w:pPr>
        <w:jc w:val="both"/>
        <w:ind w:firstLine="433"/>
        <w:spacing w:after="0" w:line="257" w:lineRule="auto"/>
        <w:rPr>
          <w:sz w:val="20"/>
          <w:szCs w:val="20"/>
          <w:color w:val="auto"/>
        </w:rPr>
      </w:pPr>
      <w:r>
        <w:rPr>
          <w:rFonts w:ascii="Arial" w:cs="Arial" w:eastAsia="Arial" w:hAnsi="Arial"/>
          <w:sz w:val="17"/>
          <w:szCs w:val="17"/>
          <w:color w:val="auto"/>
        </w:rPr>
        <w:t>In April 2022, the Company entered into a service contract for providing analytics services to The Vanguard Group Inc., which beneficially owns more than 10% of the Company’s common stock as of September 30, 2022. During the three and nine months ended September 30, 2022, the Company recognized revenues, net of $814 and $1,388, respectively related to this service contract. The Company had outstanding accounts receivable, net of $804 related to this service contract as of September 30, 2022.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Commitments</w:t>
      </w:r>
    </w:p>
    <w:p>
      <w:pPr>
        <w:spacing w:after="0" w:line="237" w:lineRule="exact"/>
        <w:rPr>
          <w:sz w:val="20"/>
          <w:szCs w:val="20"/>
          <w:color w:val="auto"/>
        </w:rPr>
      </w:pPr>
    </w:p>
    <w:p>
      <w:pPr>
        <w:jc w:val="both"/>
        <w:ind w:firstLine="433"/>
        <w:spacing w:after="0" w:line="257" w:lineRule="auto"/>
        <w:rPr>
          <w:sz w:val="20"/>
          <w:szCs w:val="20"/>
          <w:color w:val="auto"/>
        </w:rPr>
      </w:pPr>
      <w:r>
        <w:rPr>
          <w:rFonts w:ascii="Arial" w:cs="Arial" w:eastAsia="Arial" w:hAnsi="Arial"/>
          <w:sz w:val="17"/>
          <w:szCs w:val="17"/>
          <w:color w:val="auto"/>
        </w:rPr>
        <w:t>As of September 30, 2022, the Company had committed to spend approximately $6,200 under agreements to purchase property and equipment. This amount is net of capital advances paid which are recognized in the unaudited consolidated balance sheets as “Capital work in progress” under “Property and equipment, net.”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Commitments</w:t>
      </w:r>
    </w:p>
    <w:p>
      <w:pPr>
        <w:spacing w:after="0" w:line="237"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6"/>
          <w:szCs w:val="16"/>
          <w:color w:val="auto"/>
        </w:rPr>
        <w:t>Certain units of the Company’s Indian subsidiaries were established as 100% Export-Oriented units or under the Software Technology Parks of India or Special Economic Zone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 believes, however, that these units have in the past satisfied and will continue to satisfy the required conditions.</w:t>
      </w:r>
    </w:p>
    <w:p>
      <w:pPr>
        <w:spacing w:after="0" w:line="192"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The Company’s operations centers in the Philippines are registered with the Philippine Economic Zone Authority. The registration provides the Company with certain fiscal incentives on the import of capital goods and local purchase of services and materials and requires ExlService Philippines, Inc. to meet certain performance investment criteria and certain other</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criteria, including but not limited to work-from-office norms, etc. The Company believes that these centers have in the past complied with the requirements.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250"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6"/>
          <w:szCs w:val="16"/>
          <w:color w:val="auto"/>
        </w:rPr>
        <w:t>Transfer pricing regulations generally require that any controlled intercompany transactions involving related entities be at an arm’s-length price. Accordingly, the Company determines the appropriate transfer prices for transactions among its related entities on the basis of a detailed functional and economic analysis involving benchmarking against transactions among unrelated entities. Tax authorities have jurisdiction to review transfer pricing results, and in the event that they determine that the transfer price applied was not appropriate, the Company may incur additional tax, interest and penalties. The Company is currently involved in transfer pricing disputes with Indian tax authorities regarding transactions with some of its related entities. In addition, the Company and a U.S. subsidiary are engaged in tax litigation with Indian tax authorities regarding a permanent establishment matter.</w:t>
      </w:r>
    </w:p>
    <w:p>
      <w:pPr>
        <w:spacing w:after="0" w:line="174" w:lineRule="exact"/>
        <w:rPr>
          <w:sz w:val="20"/>
          <w:szCs w:val="20"/>
          <w:color w:val="auto"/>
        </w:rPr>
      </w:pPr>
    </w:p>
    <w:p>
      <w:pPr>
        <w:jc w:val="both"/>
        <w:ind w:firstLine="393"/>
        <w:spacing w:after="0" w:line="287" w:lineRule="auto"/>
        <w:rPr>
          <w:sz w:val="20"/>
          <w:szCs w:val="20"/>
          <w:color w:val="auto"/>
        </w:rPr>
      </w:pPr>
      <w:r>
        <w:rPr>
          <w:rFonts w:ascii="Arial" w:cs="Arial" w:eastAsia="Arial" w:hAnsi="Arial"/>
          <w:sz w:val="15"/>
          <w:szCs w:val="15"/>
          <w:color w:val="auto"/>
        </w:rPr>
        <w:t>The aggregate amount demanded by Indian tax authorities (net of advance payments) from the Company related to its transfer pricing and other corporate tax issues for tax years 2003 to 2019 and its permanent establishment issues for tax years 2003 to 2006 as of September 30, 2022 and December 31, 2021 is $37,717 and $34,276, respectively. The Company has made payments and/or provided bank guarantees against these demands in the amounts of $7,659 and $7,954, respectively. Amounts paid as deposits in respect of such assessments aggregating to $6,030 and $6,172 as of September 30, 2022 and December 31, 2021, respectively, are included in “Other assets” and amounts deposited for bank guarantees aggregating to $1,629 and $1,782 as of September 30, 2022 and December 31, 2021, respectively, are included in “Restricted cash” in the non-current assets section of the Company’s consolidated balance sheets.</w:t>
      </w:r>
    </w:p>
    <w:p>
      <w:pPr>
        <w:spacing w:after="0" w:line="166"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7"/>
          <w:szCs w:val="17"/>
          <w:color w:val="auto"/>
        </w:rPr>
        <w:t>Based on the facts underlying the Company’s position and its experience with these types of assessments, the Company believes that its position will more likely than not be sustained upon final examination by the tax authorities based on its technical merits as of the reporting date and accordingly has not accrued any amount with respect to these matters in its consolidated financial statements.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219"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7"/>
          <w:szCs w:val="17"/>
          <w:color w:val="auto"/>
        </w:rPr>
        <w:t>India’s Value Added Tax (“VAT”) regime ended in June 2017 and was replaced by the current Goods and Service Tax (“GST”) regime. Pursuant to reviewing the Company’s annual VAT filings, the Indian tax authorities raised aggregate VAT tax demands for tax years 2015 and 2017 in an amount of $5,619 and $6,387 as of September 30, 2022 and December 31, 2021, respectively. Beginning in the first quarter of 2020, the GST authorities rejected the Company’s refunds claims in an amount of $3,548 and $3,322 as of September 30, 2022 and December 31, 2021, respectively. The Company has filed appeals against these matters and believes that it is more likely than not that upon final examination its position will be sustained based on its technical merits. Accordingly, no provision was recognized as of September 30, 2022 and December 31, 2021.</w:t>
      </w:r>
    </w:p>
    <w:p>
      <w:pPr>
        <w:spacing w:after="0" w:line="192"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6"/>
          <w:szCs w:val="16"/>
          <w:color w:val="auto"/>
        </w:rPr>
        <w:t>One of the Company’s subsidiaries in India has undergone an assessment with the statutory authority with respect to defined social security contribution plan. Except for some components of the assessment for which the Company has recognized a provision in the financial statements, the Company believes that the amount demanded by such authority is not a meaningful indicator of the potential liabilities of the Company, and that the matter is without merit. The Company is defending against the assessment order and has accordingly instituted an appeal against the order before the relevant tribunal while also making a payment under protest of the amount demanded, being a prerequisite for the appeal to be admitted. As of the reporting date, the Company’s management does not believe that the ultimate assessment will have a material adverse effect on the Company’s consolidated financial condition, results of operations or cash flows. The Company will continue to monitor and evaluate its position based on future events and developments in this matter.</w:t>
      </w:r>
    </w:p>
    <w:p>
      <w:pPr>
        <w:spacing w:after="0" w:line="183" w:lineRule="exact"/>
        <w:rPr>
          <w:sz w:val="20"/>
          <w:szCs w:val="20"/>
          <w:color w:val="auto"/>
        </w:rPr>
      </w:pPr>
    </w:p>
    <w:p>
      <w:pPr>
        <w:jc w:val="both"/>
        <w:ind w:firstLine="393"/>
        <w:spacing w:after="0" w:line="247" w:lineRule="auto"/>
        <w:rPr>
          <w:sz w:val="20"/>
          <w:szCs w:val="20"/>
          <w:color w:val="auto"/>
        </w:rPr>
      </w:pPr>
      <w:r>
        <w:rPr>
          <w:rFonts w:ascii="Arial" w:cs="Arial" w:eastAsia="Arial" w:hAnsi="Arial"/>
          <w:sz w:val="17"/>
          <w:szCs w:val="17"/>
          <w:color w:val="auto"/>
        </w:rPr>
        <w:t>In September 2020, the Indian Parliament passed various consolidating labor codes, including the Code on Social Security, 2020 (the “Indian Social Security Code”) which aims to rationalize labor laws. The Indian Social Security Code has implications on defined social security contribution plans, provision of certain benefits or facilities to employees at employer’s costs and post-retirement benefits. Most specifically, it broadens the definition of an employee and wages and liberalizes the definition of “continuous period” for the purpose of determining employee benefits, amongst others. However, the rules for the Indian Social Security Code are yet to be published and the effective date from which these changes are applicable is yet to be notified. The Company will complete its evaluation once the subject rules are notified and will give appropriate impact in the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3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financial statements in the period in which, the Indian Social Security Code becomes effective and the related rules to determine the financial impact are published.</w:t>
      </w:r>
    </w:p>
    <w:p>
      <w:pPr>
        <w:spacing w:after="0" w:line="185"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7"/>
          <w:szCs w:val="17"/>
          <w:color w:val="auto"/>
        </w:rPr>
        <w:t>From time to time, the Company, its subsidiaries, and/or their present officers or directors, on individual basis,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amounts claimed in such cases are not meaningful indicators of the potential liabilities of the Company, that these matters are without merit, and that the Company intends to vigorously defend each of them.</w:t>
      </w:r>
    </w:p>
    <w:p>
      <w:pPr>
        <w:spacing w:after="0" w:line="192" w:lineRule="exact"/>
        <w:rPr>
          <w:sz w:val="20"/>
          <w:szCs w:val="20"/>
          <w:color w:val="auto"/>
        </w:rPr>
      </w:pPr>
    </w:p>
    <w:p>
      <w:pPr>
        <w:jc w:val="both"/>
        <w:ind w:firstLine="393"/>
        <w:spacing w:after="0" w:line="247" w:lineRule="auto"/>
        <w:rPr>
          <w:sz w:val="20"/>
          <w:szCs w:val="20"/>
          <w:color w:val="auto"/>
        </w:rPr>
      </w:pPr>
      <w:r>
        <w:rPr>
          <w:rFonts w:ascii="Arial" w:cs="Arial" w:eastAsia="Arial" w:hAnsi="Arial"/>
          <w:sz w:val="17"/>
          <w:szCs w:val="17"/>
          <w:color w:val="auto"/>
        </w:rPr>
        <w:t>The outcomes of legal actions are unpredictable and subject to significant uncertainties, and thus it is inherently difficult to determine the likelihood of the Company incurring a material loss or quantification of any such loss. With respect to pending litigation matters as of the reporting date, based on information currently available, including the Company’s assessment of the facts underlying each matter and advice of counsel, the amount or range of reasonably possible losses, if any, cannot be reasonably estimated.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393"/>
        <w:spacing w:after="0" w:line="298" w:lineRule="auto"/>
        <w:rPr>
          <w:sz w:val="20"/>
          <w:szCs w:val="20"/>
          <w:color w:val="auto"/>
        </w:rPr>
      </w:pPr>
      <w:r>
        <w:rPr>
          <w:rFonts w:ascii="Arial" w:cs="Arial" w:eastAsia="Arial" w:hAnsi="Arial"/>
          <w:sz w:val="16"/>
          <w:szCs w:val="16"/>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2021. Some of the statements in the following discussion are forward looking statements.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56"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5"/>
          <w:szCs w:val="15"/>
          <w:color w:val="auto"/>
        </w:rPr>
        <w:t>This Quarterly Report on Form 10-Q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229" w:lineRule="exact"/>
        <w:rPr>
          <w:sz w:val="20"/>
          <w:szCs w:val="20"/>
          <w:color w:val="auto"/>
        </w:rPr>
      </w:pPr>
    </w:p>
    <w:p>
      <w:pPr>
        <w:ind w:left="640" w:right="680" w:hanging="320"/>
        <w:spacing w:after="0" w:line="289"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impact of COVID-19 and related response measures on our business, results of operations and financial condition, including the impact of governmental lockdowns and other restrictions on our operations and processes and those of our clients and suppliers;</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dependence on a limited number of clients in a limited number of industries and our ability to withstand the loss of a significant client;</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negative public reaction in the U.S. or elsewhere to offshore outsourcing;</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fluctuations in our earnings;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attract and retain clients including in a timely manner;</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successfully consummate or integrate strategic acquisitions;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accurately estimate and/or manage the costs;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restrictions on immigration;</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hire and retain enough sufficiently trained employees to support our operations;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grow our business or effectively manage growth and international operations;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changes in the senior management team;</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increasing competition in our industry;</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telecommunications or technology disruptions or breaches, natural or other disasters, medical epidemics or pandemics, or acts of violence or war;</w:t>
      </w:r>
    </w:p>
    <w:p>
      <w:pPr>
        <w:spacing w:after="0" w:line="78" w:lineRule="exact"/>
        <w:rPr>
          <w:rFonts w:ascii="Arial" w:cs="Arial" w:eastAsia="Arial" w:hAnsi="Arial"/>
          <w:sz w:val="16"/>
          <w:szCs w:val="16"/>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realize the entire book value of goodwill and other intangible assets from acquisitions;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make accurate estimates and assumptions in connection with the preparation of our consolidated financial statements;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to protect our intellectual property;</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regulatory, legislative and judicial developments, including changes to or the withdrawal of governmental fiscal incentives;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tax laws or decisions regarding repatriation of funds held abroad;</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ability to service debt or obtain additional financing on favorable terms;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credit risk fluctuations in the market values of our investment and derivatives portfolios;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legal liability arising out of customer contracts;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technological innovation;</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meet our environmental, social and governance-related goals and targets;</w:t>
      </w:r>
    </w:p>
    <w:p>
      <w:pPr>
        <w:spacing w:after="0" w:line="66" w:lineRule="exact"/>
        <w:rPr>
          <w:rFonts w:ascii="Arial" w:cs="Arial" w:eastAsia="Arial" w:hAnsi="Arial"/>
          <w:sz w:val="17"/>
          <w:szCs w:val="17"/>
          <w:color w:val="auto"/>
        </w:rPr>
      </w:pPr>
    </w:p>
    <w:p>
      <w:pPr>
        <w:ind w:left="640" w:right="500" w:hanging="320"/>
        <w:spacing w:after="0" w:line="289"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effects of political and economic conditions globally, particularly in the geographies where we operate, including potential effects of the Russian invasion of Ukraine;</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operational and information security failures arising as a result of remote work solutions adopted due to COVID-19;</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cyber security incidents, data breaches, or other unauthorized disclosure of sensitive or confidential client and employee data; and</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adverse outcome of our disputes with the tax authorities, in the geographies where we operate.</w:t>
      </w:r>
    </w:p>
    <w:p>
      <w:pPr>
        <w:spacing w:after="0" w:line="355"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These and other factors are more fully discussed in our Annual Report on Form 10-K for the fiscal year ended December 31, 2021 and under “Risk Factors” in Part II, Item 1A of this Quarterly Report on Form 10-Q. These and other risks could cause actual results to differ materially from those implied by forward-looking statements in this Quarterly Report on Form 10-Q.</w:t>
      </w:r>
    </w:p>
    <w:p>
      <w:pPr>
        <w:spacing w:after="0" w:line="198"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The forward-looking statements made by us in this Quarterly Report on Form 10-Q, or elsewhere, speak only as of the date on which they were made. New risks and uncertainties come up from time to time, and it is impossible for us to predict those events or how they may affect us. We have no obligation to update any forward-looking statements in this Quarterly Report on Form 10-Q after the date of this Quarterly Report on Form 10-Q, except as required by federal securities laws.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Overview</w:t>
      </w:r>
    </w:p>
    <w:p>
      <w:pPr>
        <w:spacing w:after="0" w:line="243" w:lineRule="exact"/>
        <w:rPr>
          <w:sz w:val="20"/>
          <w:szCs w:val="20"/>
          <w:color w:val="auto"/>
        </w:rPr>
      </w:pPr>
    </w:p>
    <w:p>
      <w:pPr>
        <w:jc w:val="both"/>
        <w:ind w:firstLine="393"/>
        <w:spacing w:after="0" w:line="281" w:lineRule="auto"/>
        <w:rPr>
          <w:sz w:val="20"/>
          <w:szCs w:val="20"/>
          <w:color w:val="auto"/>
        </w:rPr>
      </w:pPr>
      <w:r>
        <w:rPr>
          <w:rFonts w:ascii="Arial" w:cs="Arial" w:eastAsia="Arial" w:hAnsi="Arial"/>
          <w:sz w:val="16"/>
          <w:szCs w:val="16"/>
          <w:color w:val="auto"/>
        </w:rPr>
        <w:t>We are a leading data analytics and digital operations and solutions company that partners with clients to improve business outcomes and unlock growth. By bringing together deep domain expertise with robust data, powerful analytics, cloud, AI and ML, we create agile, scalable solutions and execute complex operations for the world’s leading corporations in industries including insurance, healthcare, banking and financial services, media, and retail, among others.</w:t>
      </w:r>
    </w:p>
    <w:p>
      <w:pPr>
        <w:spacing w:after="0" w:line="193" w:lineRule="exact"/>
        <w:rPr>
          <w:sz w:val="20"/>
          <w:szCs w:val="20"/>
          <w:color w:val="auto"/>
        </w:rPr>
      </w:pPr>
    </w:p>
    <w:p>
      <w:pPr>
        <w:jc w:val="both"/>
        <w:ind w:firstLine="393"/>
        <w:spacing w:after="0" w:line="298" w:lineRule="auto"/>
        <w:rPr>
          <w:sz w:val="20"/>
          <w:szCs w:val="20"/>
          <w:color w:val="auto"/>
        </w:rPr>
      </w:pPr>
      <w:r>
        <w:rPr>
          <w:rFonts w:ascii="Arial" w:cs="Arial" w:eastAsia="Arial" w:hAnsi="Arial"/>
          <w:sz w:val="16"/>
          <w:szCs w:val="16"/>
          <w:color w:val="auto"/>
        </w:rPr>
        <w:t>We deliver data analytics and digital operations and solutions to our clients, driving enterprise-scale business transformation initiatives that leverage our deep expertise in advanced analytics, AI, ML and cloud. We manage and report financial information through our four strategic business units: Insurance, Healthcare, Analytics and Emerging Business, which reflects how management reviews financial information and makes operating decisions.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reportable segments are as follows:</w:t>
      </w:r>
    </w:p>
    <w:p>
      <w:pPr>
        <w:spacing w:after="0" w:line="250" w:lineRule="exact"/>
        <w:rPr>
          <w:sz w:val="20"/>
          <w:szCs w:val="20"/>
          <w:color w:val="auto"/>
        </w:rPr>
      </w:pPr>
    </w:p>
    <w:p>
      <w:pPr>
        <w:ind w:left="620" w:hanging="14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Insurance,</w:t>
      </w:r>
    </w:p>
    <w:p>
      <w:pPr>
        <w:spacing w:after="0" w:line="250" w:lineRule="exact"/>
        <w:rPr>
          <w:rFonts w:ascii="Arial" w:cs="Arial" w:eastAsia="Arial" w:hAnsi="Arial"/>
          <w:sz w:val="17"/>
          <w:szCs w:val="17"/>
          <w:color w:val="auto"/>
        </w:rPr>
      </w:pPr>
    </w:p>
    <w:p>
      <w:pPr>
        <w:ind w:left="620" w:hanging="14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Healthcare,</w:t>
      </w:r>
    </w:p>
    <w:p>
      <w:pPr>
        <w:spacing w:after="0" w:line="250" w:lineRule="exact"/>
        <w:rPr>
          <w:rFonts w:ascii="Arial" w:cs="Arial" w:eastAsia="Arial" w:hAnsi="Arial"/>
          <w:sz w:val="17"/>
          <w:szCs w:val="17"/>
          <w:color w:val="auto"/>
        </w:rPr>
      </w:pPr>
    </w:p>
    <w:p>
      <w:pPr>
        <w:ind w:left="620" w:hanging="14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Analytics, and</w:t>
      </w:r>
    </w:p>
    <w:p>
      <w:pPr>
        <w:spacing w:after="0" w:line="250" w:lineRule="exact"/>
        <w:rPr>
          <w:rFonts w:ascii="Arial" w:cs="Arial" w:eastAsia="Arial" w:hAnsi="Arial"/>
          <w:sz w:val="17"/>
          <w:szCs w:val="17"/>
          <w:color w:val="auto"/>
        </w:rPr>
      </w:pPr>
    </w:p>
    <w:p>
      <w:pPr>
        <w:ind w:left="620" w:hanging="14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Emerging Business.</w:t>
      </w:r>
    </w:p>
    <w:p>
      <w:pPr>
        <w:spacing w:after="0" w:line="250"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Our global delivery network, which includes highly trained industry and process specialists across the United States, Latin America, South Africa, Europe and Asia (primarily India and the Philippines), is a key asset. We have operations centers in India, the United States, the United Kingdom, the Philippines, Bulgaria, Colombia, South Africa, Romania and the Czech Republic.</w:t>
      </w:r>
    </w:p>
    <w:p>
      <w:pPr>
        <w:spacing w:after="0" w:line="198" w:lineRule="exact"/>
        <w:rPr>
          <w:sz w:val="20"/>
          <w:szCs w:val="20"/>
          <w:color w:val="auto"/>
        </w:rPr>
      </w:pPr>
    </w:p>
    <w:p>
      <w:pPr>
        <w:jc w:val="both"/>
        <w:ind w:firstLine="393"/>
        <w:spacing w:after="0" w:line="252" w:lineRule="auto"/>
        <w:rPr>
          <w:sz w:val="20"/>
          <w:szCs w:val="20"/>
          <w:color w:val="auto"/>
        </w:rPr>
      </w:pPr>
      <w:r>
        <w:rPr>
          <w:rFonts w:ascii="Arial" w:cs="Arial" w:eastAsia="Arial" w:hAnsi="Arial"/>
          <w:sz w:val="17"/>
          <w:szCs w:val="17"/>
          <w:color w:val="auto"/>
        </w:rPr>
        <w:t>On December 16, 2021, we completed the acquisition of Clairvoyant, a global data, AI, ML, and cloud services firm that helps organizations in their business transformation by maximizing the value of data through actionable insights. It provides data engineering, analytics, AI, ML, product engineering, and cloud-based solutions. The acquisition strengthens our Analytics capabilities by adding additional expertise in data engineering and cloud enablement, further supporting our clients in the insurance, healthcare, banking and financial services, and retail industries.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firstLine="393"/>
        <w:spacing w:after="0" w:line="252" w:lineRule="auto"/>
        <w:rPr>
          <w:sz w:val="20"/>
          <w:szCs w:val="20"/>
          <w:color w:val="auto"/>
        </w:rPr>
      </w:pPr>
      <w:r>
        <w:rPr>
          <w:rFonts w:ascii="Arial" w:cs="Arial" w:eastAsia="Arial" w:hAnsi="Arial"/>
          <w:sz w:val="17"/>
          <w:szCs w:val="17"/>
          <w:color w:val="auto"/>
        </w:rPr>
        <w:t>On June 10, 2022, the Company, through its wholly owned subsidiary ExlService.com, LLC, entered into an Asset Purchase Agreement to acquire certain assets of Inbound, a digital marketing business focused primarily on lead generation in the insurance space. The acquisition expands our digital direct-to-consumer marketing services by adding proven performance marketing, lead generation and customer engagement capabilities to our suite of end-to-end marketing solutions, proprietary data sets and robust consumer analytics.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Continued Impact of COVID-19 on Our Business</w:t>
      </w:r>
    </w:p>
    <w:p>
      <w:pPr>
        <w:spacing w:after="0" w:line="243" w:lineRule="exact"/>
        <w:rPr>
          <w:sz w:val="20"/>
          <w:szCs w:val="20"/>
          <w:color w:val="auto"/>
        </w:rPr>
      </w:pPr>
    </w:p>
    <w:p>
      <w:pPr>
        <w:jc w:val="both"/>
        <w:ind w:firstLine="393"/>
        <w:spacing w:after="0" w:line="246" w:lineRule="auto"/>
        <w:rPr>
          <w:sz w:val="20"/>
          <w:szCs w:val="20"/>
          <w:color w:val="auto"/>
        </w:rPr>
      </w:pPr>
      <w:r>
        <w:rPr>
          <w:rFonts w:ascii="Arial" w:cs="Arial" w:eastAsia="Arial" w:hAnsi="Arial"/>
          <w:sz w:val="17"/>
          <w:szCs w:val="17"/>
          <w:color w:val="auto"/>
        </w:rPr>
        <w:t>During 2022, we continued to recover from the COVID-19 pandemic. As the global economy continued to adapt to the impact of COVID-19, our clients are focused on receiving personalized customer experiences, optimizing costs and supporting resilient operating models. We remain committed to helping our clients adapt and thrive through the ongoing uncertainties caused by COVID-19 and, going forward, to the shifting business environment, which has led to increased demand for digital capabilities.</w:t>
      </w:r>
    </w:p>
    <w:p>
      <w:pPr>
        <w:spacing w:after="0" w:line="208"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6"/>
          <w:szCs w:val="16"/>
          <w:color w:val="auto"/>
        </w:rPr>
        <w:t>In 2022, we implemented a new work standard under which employees in many of our locations, where permitted by local laws and regulations, and where the role and client requirements permit, have the opportunity to choose between different work arrangements. Subject to local rules and regulations, these work arrangements include working in a hybrid arrangement or a fully remote arrangement, with occasional work from the office when warranted. We have begun to re-open our operation centers and offices globally with a focus on safety and consistency with applicable local regulations.</w:t>
      </w:r>
    </w:p>
    <w:p>
      <w:pPr>
        <w:spacing w:after="0" w:line="186"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7"/>
          <w:szCs w:val="17"/>
          <w:color w:val="auto"/>
        </w:rPr>
        <w:t>We continue to focus on effectively managing the unprecedented challenges and uncertainties of the pandemic on a global basis. Management has prioritized the health and safety of our employees and their families: we have adopted numerous safety procedures at our global facilities, including hygiene and disinfection protocols, testing and contact tracing, social distancing and wearing personal protective equipment. We share best practices throughout our facilities globally in order to standardize effective safety guidelines and procedures across our operations. Our safety guidelines and procedures are updated on a regular basis.</w:t>
      </w:r>
    </w:p>
    <w:p>
      <w:pPr>
        <w:spacing w:after="0" w:line="206"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While many of the COVID-19 related restrictions have been lifted in the geographies in which we operate, there have been periodic resurgences of COVID-19 as a result of new strains and variants, which has led us to monitor our work model and / or implement additional safety procedures.</w:t>
      </w:r>
    </w:p>
    <w:p>
      <w:pPr>
        <w:spacing w:after="0" w:line="185"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7"/>
          <w:szCs w:val="17"/>
          <w:color w:val="auto"/>
        </w:rPr>
        <w:t>We believe our actions have been successful and that the pandemic has not significantly affected our business, results of operations, financial position and cash flow during the first nine months of 2022, however the impact of the pandemic for the period beyond the first nine months of 2022 will depend on many evolving and uncertain factors that are not within our control.</w:t>
      </w:r>
    </w:p>
    <w:p>
      <w:pPr>
        <w:spacing w:after="0" w:line="218"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For additional information and risks related to COVID-19, see Part I, Item 1A, “Risk Factors” in our Annual Report on Form 10-K for the fiscal year ended December 31, 2021.</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56"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For the three months ended September 30, 2022, we had revenues of $361.4 million compared to revenues of $290.3 million for the three months ended September 30, 2021, an increase of $71.1 million, or 24.5%. For the nine months ended September 30, 2022, we had revenues of $1,037.3 million compared to revenues of $826.8 million for the nine months ended September 30, 2021, an increase of $210.5 million, or 25.5%.</w:t>
      </w:r>
    </w:p>
    <w:p>
      <w:pPr>
        <w:spacing w:after="0" w:line="192"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We serve clients mainly in the United States and the United Kingdom, which generated 86.0% and 9.4%, respectively, of our total revenues for the three months ended September 30, 2022 and 2021. These two regions generated 85.9% and 9.5%, respectively, of our total revenues for the nine months ended September 30, 2022 and 85.8% and 9.5%, respectively, of our total revenues for the nine months ended September 30, 2021.</w:t>
      </w:r>
    </w:p>
    <w:p>
      <w:pPr>
        <w:spacing w:after="0" w:line="192"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For the three months ended September 30, 2022 and 2021, our total revenues from our top ten clients accounted for 34.2% and 38.7% of our total revenues, respectively. For the nine months ended September 30, 2022 and 2021, our total revenues from our top ten clients accounted for 33.7% and 38.6% of our total revenues, respectively. Although we continue to develop relationships with new clients to diversify our client base, we believe that the loss of any of our top ten clients could have a material adverse effect on our financial performance.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w:t>
      </w:r>
    </w:p>
    <w:p>
      <w:pPr>
        <w:spacing w:after="0" w:line="256"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We provide data analytics and digital operations and solutions to our clients. We market our services to our existing and prospective clients through our sales and client management teams, which are aligned by key industry verticals and cross-industry domains such as finance and accounting. Our sales and client management teams operate primarily from the United States, Europe and Australia.</w:t>
      </w:r>
    </w:p>
    <w:p>
      <w:pPr>
        <w:spacing w:after="0" w:line="198" w:lineRule="exact"/>
        <w:rPr>
          <w:sz w:val="20"/>
          <w:szCs w:val="20"/>
          <w:color w:val="auto"/>
        </w:rPr>
      </w:pPr>
    </w:p>
    <w:p>
      <w:pPr>
        <w:jc w:val="both"/>
        <w:ind w:firstLine="393"/>
        <w:spacing w:after="0" w:line="279" w:lineRule="auto"/>
        <w:rPr>
          <w:sz w:val="20"/>
          <w:szCs w:val="20"/>
          <w:color w:val="auto"/>
        </w:rPr>
      </w:pPr>
      <w:r>
        <w:rPr>
          <w:rFonts w:ascii="Arial" w:cs="Arial" w:eastAsia="Arial" w:hAnsi="Arial"/>
          <w:sz w:val="16"/>
          <w:szCs w:val="16"/>
          <w:i w:val="1"/>
          <w:iCs w:val="1"/>
          <w:color w:val="auto"/>
        </w:rPr>
        <w:t xml:space="preserve">Digital Operations and Solutions: </w:t>
      </w:r>
      <w:r>
        <w:rPr>
          <w:rFonts w:ascii="Arial" w:cs="Arial" w:eastAsia="Arial" w:hAnsi="Arial"/>
          <w:sz w:val="16"/>
          <w:szCs w:val="16"/>
          <w:color w:val="auto"/>
        </w:rPr>
        <w:t>We provide our clients with a range of digital operations and solutions from our Insurance, Healthcare and Emerging</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strategic business units, which are focused on solving complex industry problems such as the insurance claims lifecycle and financial transactions processing, and typically involve the use of agile delivery models to implement digital technologies and interventions like hyper-automation, customer experience transformation, advanced automation, robotics, enterprise architecture, end-to-end business function management and transformations. We either administer and manage these functions on an ongoing basis via longer-term arrangements or project work. For a portion of our digital operations and solutions,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 We also provide consulting services related to digital operations and solutions that include industry-specific digital transformational services as well as cross-industry finance and accounting services as part of the Emerging Business strategic business unit.</w:t>
      </w:r>
    </w:p>
    <w:p>
      <w:pPr>
        <w:spacing w:after="0" w:line="199"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6"/>
          <w:szCs w:val="16"/>
          <w:color w:val="auto"/>
        </w:rPr>
        <w:t>We provide our services under contracts with our clients, which typically have terms of three or more years, with some being rolling contracts with no end dates. Typically, our clients can terminate these contracts with or without cause and with short notice periods. These contracts provide us with a relatively predictable revenue base for a substantial portion of our digital operations and solutions business. However,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187" w:lineRule="exact"/>
        <w:rPr>
          <w:sz w:val="20"/>
          <w:szCs w:val="20"/>
          <w:color w:val="auto"/>
        </w:rPr>
      </w:pPr>
    </w:p>
    <w:p>
      <w:pPr>
        <w:jc w:val="both"/>
        <w:ind w:firstLine="393"/>
        <w:spacing w:after="0" w:line="252" w:lineRule="auto"/>
        <w:rPr>
          <w:sz w:val="20"/>
          <w:szCs w:val="20"/>
          <w:color w:val="auto"/>
        </w:rPr>
      </w:pPr>
      <w:r>
        <w:rPr>
          <w:rFonts w:ascii="Arial" w:cs="Arial" w:eastAsia="Arial" w:hAnsi="Arial"/>
          <w:sz w:val="17"/>
          <w:szCs w:val="17"/>
          <w:color w:val="auto"/>
        </w:rPr>
        <w:t>We charge for our services using various pricing models like time-and-material pricing, full-time-equivalent pricing, transaction-based pricing, outcome-based pricing, subscription-based pricing and other alternative pricing models. Outcome-based pricing arrangements are examples of non-linear pricing models where clients link revenues from platforms and solutions and the services we provide to usage or savings rather than the efforts deployed to provide these services. We continue to observe a shift in the industry pricing models toward transaction-based pricing, outcome-based pricing and other alternative pricing models. We believe this trend will continue and we use such alternative pricing models with some of our current clients and are seeking to move certain other clients from a full-time-equivalent pricing model to a transaction-based or other alternative pricing model. These alternative pricing models place the focus on operating efficiency in order to maintain or improve our gross margins.</w:t>
      </w:r>
    </w:p>
    <w:p>
      <w:pPr>
        <w:spacing w:after="0" w:line="189"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6"/>
          <w:szCs w:val="16"/>
          <w:color w:val="auto"/>
        </w:rPr>
        <w:t>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spacing w:after="0" w:line="192" w:lineRule="exact"/>
        <w:rPr>
          <w:sz w:val="20"/>
          <w:szCs w:val="20"/>
          <w:color w:val="auto"/>
        </w:rPr>
      </w:pPr>
    </w:p>
    <w:p>
      <w:pPr>
        <w:jc w:val="both"/>
        <w:ind w:firstLine="393"/>
        <w:spacing w:after="0" w:line="243" w:lineRule="auto"/>
        <w:rPr>
          <w:sz w:val="20"/>
          <w:szCs w:val="20"/>
          <w:color w:val="auto"/>
        </w:rPr>
      </w:pPr>
      <w:r>
        <w:rPr>
          <w:rFonts w:ascii="Arial" w:cs="Arial" w:eastAsia="Arial" w:hAnsi="Arial"/>
          <w:sz w:val="17"/>
          <w:szCs w:val="17"/>
          <w:i w:val="1"/>
          <w:iCs w:val="1"/>
          <w:color w:val="auto"/>
        </w:rPr>
        <w:t xml:space="preserve">Analytics: </w:t>
      </w:r>
      <w:r>
        <w:rPr>
          <w:rFonts w:ascii="Arial" w:cs="Arial" w:eastAsia="Arial" w:hAnsi="Arial"/>
          <w:sz w:val="17"/>
          <w:szCs w:val="17"/>
          <w:color w:val="auto"/>
        </w:rPr>
        <w:t>Our analytics services focus on driving improved business outcomes for our clients by unlocking deep insights from data and create data driven</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across all parts of our clients’ business. We also provide care optimization and reimbursement optimization services, for our clients through our healthcare analytics solutions and services. We also offer integrated solutions to help our clients in cost containment by leveraging technology platforms, customizable and configurable analytics and expertise in healthcare reimbursements to help clients enhance their claim payment accuracy. Our teams deliver predictive and prescriptive analytics in the areas of customer acquisition and lifecycle management, risk underwriting and pricing, operational effectiveness, credit and operational risk monitoring and governance, regulatory reporting, payment integrity and care management and data management. We enhance, modernize and enrich structured and unstructured data and use a spectrum of advanced analytical tools and techniques, including our in-house ML and AI capabilities to create insights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and improve decision making for our clients. Our acquisition of Clairvoyant in December 2021 strengthens our analytics capabilities by adding additional expertise in data engineering and cloud enablement, further supporting our clients in the insurance, healthcare, banking and financial services, and retail industries. We actively cross-sell and, where appropriate, integrate our analytics services with other digital operations and solutions as part of a comprehensive offering for our clients. Our projects-based analytics services are cyclical and can be significantly affected by variations in business cycles. In addition, our projects-based analytics services are documented in contracts with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fluctuations and uncertainties in the revenues generated from providing analytics services.</w:t>
      </w:r>
    </w:p>
    <w:p>
      <w:pPr>
        <w:spacing w:after="0" w:line="179"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We anticipate that revenues from our analytics services will grow as we expand our service offerings and client base, both organically and through acquisitions.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56"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There have been no significant changes in our critical accounting policies and estimates during the three and nine months ended September 30, 2022, as compared to the critical accounting policies and estimates referred in Part II, Item 7, “Management’s Discussion and Analysis of Financial Condition and Results of Operations” under “Critical Accounting Policies and Estimates” and Note 2 - Summary of Significant Accounting Policies to our consolidated financial statements included in our Annual Report on Form 10-K for the fiscal year ended December 31, 2021.</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our results of operations: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520" w:type="dxa"/>
            <w:vAlign w:val="bottom"/>
          </w:tcPr>
          <w:p>
            <w:pPr>
              <w:spacing w:after="0"/>
              <w:rPr>
                <w:sz w:val="15"/>
                <w:szCs w:val="15"/>
                <w:color w:val="auto"/>
              </w:rPr>
            </w:pPr>
          </w:p>
        </w:tc>
        <w:tc>
          <w:tcPr>
            <w:tcW w:w="288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5"/>
                <w:szCs w:val="15"/>
                <w:color w:val="auto"/>
              </w:rPr>
            </w:pPr>
          </w:p>
        </w:tc>
        <w:tc>
          <w:tcPr>
            <w:tcW w:w="258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4"/>
        </w:trPr>
        <w:tc>
          <w:tcPr>
            <w:tcW w:w="55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3"/>
        </w:trPr>
        <w:tc>
          <w:tcPr>
            <w:tcW w:w="55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89"/>
              </w:rPr>
              <w:t>2021</w:t>
            </w:r>
          </w:p>
        </w:tc>
      </w:tr>
      <w:tr>
        <w:trPr>
          <w:trHeight w:val="190"/>
        </w:trPr>
        <w:tc>
          <w:tcPr>
            <w:tcW w:w="5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80" w:type="dxa"/>
            <w:vAlign w:val="bottom"/>
            <w:gridSpan w:val="3"/>
          </w:tcPr>
          <w:p>
            <w:pPr>
              <w:jc w:val="right"/>
              <w:ind w:right="218"/>
              <w:spacing w:after="0"/>
              <w:rPr>
                <w:sz w:val="20"/>
                <w:szCs w:val="20"/>
                <w:color w:val="auto"/>
              </w:rPr>
            </w:pPr>
            <w:r>
              <w:rPr>
                <w:rFonts w:ascii="Arial" w:cs="Arial" w:eastAsia="Arial" w:hAnsi="Arial"/>
                <w:sz w:val="14"/>
                <w:szCs w:val="14"/>
                <w:b w:val="1"/>
                <w:bCs w:val="1"/>
                <w:color w:val="auto"/>
                <w:w w:val="90"/>
              </w:rPr>
              <w:t>(dollars in millions)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840" w:type="dxa"/>
            <w:vAlign w:val="bottom"/>
          </w:tcPr>
          <w:p>
            <w:pPr>
              <w:spacing w:after="0"/>
              <w:rPr>
                <w:sz w:val="16"/>
                <w:szCs w:val="16"/>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net</w:t>
            </w:r>
          </w:p>
        </w:tc>
        <w:tc>
          <w:tcPr>
            <w:tcW w:w="800" w:type="dxa"/>
            <w:vAlign w:val="bottom"/>
            <w:shd w:val="clear" w:color="auto" w:fill="CCEEFF"/>
          </w:tcPr>
          <w:p>
            <w:pPr>
              <w:jc w:val="right"/>
              <w:ind w:right="621"/>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361.4</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78"/>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290.3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1,037.3</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826.8</w:t>
            </w:r>
          </w:p>
        </w:tc>
      </w:tr>
      <w:tr>
        <w:trPr>
          <w:trHeight w:val="223"/>
        </w:trPr>
        <w:tc>
          <w:tcPr>
            <w:tcW w:w="552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230.5</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177.7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659.2</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507.2</w:t>
            </w:r>
          </w:p>
        </w:tc>
      </w:tr>
      <w:tr>
        <w:trPr>
          <w:trHeight w:val="216"/>
        </w:trPr>
        <w:tc>
          <w:tcPr>
            <w:tcW w:w="552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b w:val="1"/>
                <w:bCs w:val="1"/>
                <w:color w:val="auto"/>
              </w:rPr>
              <w:t>Gross profit</w:t>
            </w:r>
            <w:r>
              <w:rPr>
                <w:rFonts w:ascii="Arial" w:cs="Arial" w:eastAsia="Arial" w:hAnsi="Arial"/>
                <w:sz w:val="22"/>
                <w:szCs w:val="22"/>
                <w:b w:val="1"/>
                <w:bCs w:val="1"/>
                <w:color w:val="auto"/>
                <w:vertAlign w:val="superscript"/>
              </w:rPr>
              <w:t>(1)</w:t>
            </w:r>
          </w:p>
        </w:tc>
        <w:tc>
          <w:tcPr>
            <w:tcW w:w="8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130.9</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112.6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378.1</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319.6</w:t>
            </w:r>
          </w:p>
        </w:tc>
      </w:tr>
      <w:tr>
        <w:trPr>
          <w:trHeight w:val="203"/>
        </w:trPr>
        <w:tc>
          <w:tcPr>
            <w:tcW w:w="552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w:t>
            </w:r>
          </w:p>
        </w:tc>
      </w:tr>
      <w:tr>
        <w:trPr>
          <w:trHeight w:val="223"/>
        </w:trPr>
        <w:tc>
          <w:tcPr>
            <w:tcW w:w="5520" w:type="dxa"/>
            <w:vAlign w:val="bottom"/>
          </w:tcPr>
          <w:p>
            <w:pPr>
              <w:ind w:left="20"/>
              <w:spacing w:after="0"/>
              <w:rPr>
                <w:sz w:val="20"/>
                <w:szCs w:val="20"/>
                <w:color w:val="auto"/>
              </w:rPr>
            </w:pPr>
            <w:r>
              <w:rPr>
                <w:rFonts w:ascii="Arial" w:cs="Arial" w:eastAsia="Arial" w:hAnsi="Arial"/>
                <w:sz w:val="17"/>
                <w:szCs w:val="17"/>
                <w:color w:val="auto"/>
              </w:rPr>
              <w:t>Selling and marketing expenses</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23.9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72.0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59.7</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 expense</w:t>
            </w: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w:t>
            </w:r>
          </w:p>
        </w:tc>
      </w:tr>
      <w:tr>
        <w:trPr>
          <w:trHeight w:val="216"/>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80.8</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237.0</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199.8</w:t>
            </w: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from operations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141.1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119.8</w:t>
            </w:r>
          </w:p>
        </w:tc>
      </w:tr>
      <w:tr>
        <w:trPr>
          <w:trHeight w:val="223"/>
        </w:trPr>
        <w:tc>
          <w:tcPr>
            <w:tcW w:w="5520" w:type="dxa"/>
            <w:vAlign w:val="bottom"/>
          </w:tcPr>
          <w:p>
            <w:pPr>
              <w:ind w:left="20"/>
              <w:spacing w:after="0"/>
              <w:rPr>
                <w:sz w:val="20"/>
                <w:szCs w:val="20"/>
                <w:color w:val="auto"/>
              </w:rPr>
            </w:pPr>
            <w:r>
              <w:rPr>
                <w:rFonts w:ascii="Arial" w:cs="Arial" w:eastAsia="Arial" w:hAnsi="Arial"/>
                <w:sz w:val="17"/>
                <w:szCs w:val="17"/>
                <w:color w:val="auto"/>
              </w:rPr>
              <w:t>Foreign exchange gain, net</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23"/>
        </w:trPr>
        <w:tc>
          <w:tcPr>
            <w:tcW w:w="5520" w:type="dxa"/>
            <w:vAlign w:val="bottom"/>
          </w:tcPr>
          <w:p>
            <w:pPr>
              <w:ind w:left="20"/>
              <w:spacing w:after="0"/>
              <w:rPr>
                <w:sz w:val="20"/>
                <w:szCs w:val="20"/>
                <w:color w:val="auto"/>
              </w:rPr>
            </w:pPr>
            <w:r>
              <w:rPr>
                <w:rFonts w:ascii="Arial" w:cs="Arial" w:eastAsia="Arial" w:hAnsi="Arial"/>
                <w:sz w:val="17"/>
                <w:szCs w:val="17"/>
                <w:color w:val="auto"/>
              </w:rPr>
              <w:t>Other income, net</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on settlement of convertible notes</w:t>
            </w:r>
          </w:p>
        </w:tc>
        <w:tc>
          <w:tcPr>
            <w:tcW w:w="8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r>
      <w:tr>
        <w:trPr>
          <w:trHeight w:val="216"/>
        </w:trPr>
        <w:tc>
          <w:tcPr>
            <w:tcW w:w="5520" w:type="dxa"/>
            <w:vAlign w:val="bottom"/>
          </w:tcPr>
          <w:p>
            <w:pPr>
              <w:ind w:left="20"/>
              <w:spacing w:after="0"/>
              <w:rPr>
                <w:sz w:val="20"/>
                <w:szCs w:val="20"/>
                <w:color w:val="auto"/>
              </w:rPr>
            </w:pPr>
            <w:r>
              <w:rPr>
                <w:rFonts w:ascii="Arial" w:cs="Arial" w:eastAsia="Arial" w:hAnsi="Arial"/>
                <w:sz w:val="17"/>
                <w:szCs w:val="17"/>
                <w:b w:val="1"/>
                <w:bCs w:val="1"/>
                <w:color w:val="auto"/>
                <w:w w:val="97"/>
              </w:rPr>
              <w:t>Income before income tax expense and earnings from equity affiliates</w:t>
            </w:r>
          </w:p>
        </w:tc>
        <w:tc>
          <w:tcPr>
            <w:tcW w:w="8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51.5</w:t>
            </w: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30.7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145.5</w:t>
            </w: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108.5</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w:t>
            </w:r>
          </w:p>
        </w:tc>
      </w:tr>
      <w:tr>
        <w:trPr>
          <w:trHeight w:val="216"/>
        </w:trPr>
        <w:tc>
          <w:tcPr>
            <w:tcW w:w="5520" w:type="dxa"/>
            <w:vAlign w:val="bottom"/>
          </w:tcPr>
          <w:p>
            <w:pPr>
              <w:ind w:left="20"/>
              <w:spacing w:after="0"/>
              <w:rPr>
                <w:sz w:val="20"/>
                <w:szCs w:val="20"/>
                <w:color w:val="auto"/>
              </w:rPr>
            </w:pPr>
            <w:r>
              <w:rPr>
                <w:rFonts w:ascii="Arial" w:cs="Arial" w:eastAsia="Arial" w:hAnsi="Arial"/>
                <w:sz w:val="17"/>
                <w:szCs w:val="17"/>
                <w:b w:val="1"/>
                <w:bCs w:val="1"/>
                <w:color w:val="auto"/>
              </w:rPr>
              <w:t>Income before earnings from equity affiliates</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39.0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26.5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110.7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86.4</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from equity-method investment</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5520" w:type="dxa"/>
            <w:vAlign w:val="bottom"/>
          </w:tcPr>
          <w:p>
            <w:pPr>
              <w:ind w:left="20"/>
              <w:spacing w:after="0"/>
              <w:rPr>
                <w:sz w:val="20"/>
                <w:szCs w:val="20"/>
                <w:color w:val="auto"/>
              </w:rPr>
            </w:pPr>
            <w:r>
              <w:rPr>
                <w:rFonts w:ascii="Arial" w:cs="Arial" w:eastAsia="Arial" w:hAnsi="Arial"/>
                <w:sz w:val="17"/>
                <w:szCs w:val="17"/>
                <w:b w:val="1"/>
                <w:bCs w:val="1"/>
                <w:color w:val="auto"/>
              </w:rPr>
              <w:t>Net income attributable to ExlService Holdings, Inc. stockholders</w:t>
            </w:r>
          </w:p>
        </w:tc>
        <w:tc>
          <w:tcPr>
            <w:tcW w:w="800" w:type="dxa"/>
            <w:vAlign w:val="bottom"/>
            <w:tcBorders>
              <w:top w:val="single" w:sz="8" w:color="auto"/>
              <w:bottom w:val="single" w:sz="8" w:color="auto"/>
            </w:tcBorders>
          </w:tcPr>
          <w:p>
            <w:pPr>
              <w:jc w:val="right"/>
              <w:ind w:right="621"/>
              <w:spacing w:after="0"/>
              <w:rPr>
                <w:sz w:val="20"/>
                <w:szCs w:val="20"/>
                <w:color w:val="auto"/>
              </w:rPr>
            </w:pPr>
            <w:r>
              <w:rPr>
                <w:rFonts w:ascii="Arial" w:cs="Arial" w:eastAsia="Arial" w:hAnsi="Arial"/>
                <w:sz w:val="17"/>
                <w:szCs w:val="17"/>
                <w:b w:val="1"/>
                <w:bCs w:val="1"/>
                <w:color w:val="auto"/>
                <w:w w:val="8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39.1</w:t>
            </w:r>
          </w:p>
        </w:tc>
        <w:tc>
          <w:tcPr>
            <w:tcW w:w="1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78"/>
              <w:spacing w:after="0"/>
              <w:rPr>
                <w:sz w:val="20"/>
                <w:szCs w:val="20"/>
                <w:color w:val="auto"/>
              </w:rPr>
            </w:pPr>
            <w:r>
              <w:rPr>
                <w:rFonts w:ascii="Arial" w:cs="Arial" w:eastAsia="Arial" w:hAnsi="Arial"/>
                <w:sz w:val="17"/>
                <w:szCs w:val="17"/>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111.1</w:t>
            </w: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86.4</w:t>
            </w:r>
          </w:p>
        </w:tc>
      </w:tr>
      <w:tr>
        <w:trPr>
          <w:trHeight w:val="20"/>
        </w:trPr>
        <w:tc>
          <w:tcPr>
            <w:tcW w:w="5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(1) Exclusive of depreciation and amortization expense.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firstLine="393"/>
        <w:spacing w:after="0" w:line="260" w:lineRule="auto"/>
        <w:rPr>
          <w:sz w:val="20"/>
          <w:szCs w:val="20"/>
          <w:color w:val="auto"/>
        </w:rPr>
      </w:pPr>
      <w:r>
        <w:rPr>
          <w:rFonts w:ascii="Arial" w:cs="Arial" w:eastAsia="Arial" w:hAnsi="Arial"/>
          <w:sz w:val="16"/>
          <w:szCs w:val="16"/>
          <w:i w:val="1"/>
          <w:iCs w:val="1"/>
          <w:color w:val="auto"/>
        </w:rPr>
        <w:t>Due to rounding, the numbers presented in the tables included in this Part I, Item 2, “Management’s Discussion and Analysis of Financial Condition and Results of Operations” may not add up precisely to the totals provided.</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September 30, 2022 Compared to Three Months Ended September 30, 2021</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Revenues.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our revenues by reportable segments:</w:t>
      </w:r>
    </w:p>
    <w:p>
      <w:pPr>
        <w:spacing w:after="0" w:line="57" w:lineRule="exact"/>
        <w:rPr>
          <w:sz w:val="20"/>
          <w:szCs w:val="20"/>
          <w:color w:val="auto"/>
        </w:rPr>
      </w:pPr>
    </w:p>
    <w:tbl>
      <w:tblPr>
        <w:tblLayout w:type="fixed"/>
        <w:tblInd w:w="600" w:type="dxa"/>
        <w:tblCellMar>
          <w:top w:w="0" w:type="dxa"/>
          <w:left w:w="0" w:type="dxa"/>
          <w:bottom w:w="0" w:type="dxa"/>
          <w:right w:w="0" w:type="dxa"/>
        </w:tblCellMar>
      </w:tblPr>
      <w:tr>
        <w:trPr>
          <w:trHeight w:val="183"/>
        </w:trPr>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4"/>
        </w:trPr>
        <w:tc>
          <w:tcPr>
            <w:tcW w:w="4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ind w:right="416"/>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40" w:type="dxa"/>
            <w:vAlign w:val="bottom"/>
          </w:tcPr>
          <w:p>
            <w:pPr>
              <w:jc w:val="right"/>
              <w:ind w:right="43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46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Insurance</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18.2</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18.6 %</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7"/>
                <w:szCs w:val="17"/>
                <w:color w:val="auto"/>
              </w:rPr>
              <w:t>Healthcare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ind w:left="680"/>
              <w:spacing w:after="0"/>
              <w:rPr>
                <w:sz w:val="20"/>
                <w:szCs w:val="20"/>
                <w:color w:val="auto"/>
              </w:rPr>
            </w:pPr>
            <w:r>
              <w:rPr>
                <w:rFonts w:ascii="Arial" w:cs="Arial" w:eastAsia="Arial" w:hAnsi="Arial"/>
                <w:sz w:val="17"/>
                <w:szCs w:val="17"/>
                <w:color w:val="auto"/>
                <w:w w:val="97"/>
              </w:rPr>
              <w:t>(4.5)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Emerging Business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11.6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25.9 %</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Analytics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45.8</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38.0 %</w:t>
            </w:r>
          </w:p>
        </w:tc>
        <w:tc>
          <w:tcPr>
            <w:tcW w:w="0" w:type="dxa"/>
            <w:vAlign w:val="bottom"/>
          </w:tcPr>
          <w:p>
            <w:pPr>
              <w:spacing w:after="0"/>
              <w:rPr>
                <w:sz w:val="1"/>
                <w:szCs w:val="1"/>
                <w:color w:val="auto"/>
              </w:rPr>
            </w:pPr>
          </w:p>
        </w:tc>
      </w:tr>
      <w:tr>
        <w:trPr>
          <w:trHeight w:val="241"/>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revenues, net</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71.1</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24.5 %</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Revenues for the three months ended September 30, 2022 were $361.4 million, up $71.1 million, or 24.5%, compared to the three months ended September 30, 2021, driven primarily by revenue growth in Analytics.</w:t>
      </w:r>
    </w:p>
    <w:p>
      <w:pPr>
        <w:spacing w:after="0" w:line="185" w:lineRule="exact"/>
        <w:rPr>
          <w:sz w:val="20"/>
          <w:szCs w:val="20"/>
          <w:color w:val="auto"/>
        </w:rPr>
      </w:pPr>
    </w:p>
    <w:p>
      <w:pPr>
        <w:jc w:val="both"/>
        <w:ind w:firstLine="393"/>
        <w:spacing w:after="0" w:line="278" w:lineRule="auto"/>
        <w:rPr>
          <w:sz w:val="20"/>
          <w:szCs w:val="20"/>
          <w:color w:val="auto"/>
        </w:rPr>
      </w:pPr>
      <w:r>
        <w:rPr>
          <w:rFonts w:ascii="Arial" w:cs="Arial" w:eastAsia="Arial" w:hAnsi="Arial"/>
          <w:sz w:val="16"/>
          <w:szCs w:val="16"/>
          <w:color w:val="auto"/>
        </w:rPr>
        <w:t>Revenue growth in Insurance of $18.2 million was primarily driven by expansion of business from our new and existing clients aggregating to $19.9 million. This was partially offset by a loss of $1.7 million mainly attributable to the depreciation of the U.K. pound sterling, the Australian dollar and the Indian rupee against the U.S. dollar during the three months ended September 30, 2022, compared to the three months ended September 30, 2021. Insurance revenues were 32.2% and 33.8% of our total revenues during the three months ended September 30, 2022 and September 30, 2021, respectively.</w:t>
      </w:r>
    </w:p>
    <w:p>
      <w:pPr>
        <w:spacing w:after="0" w:line="183"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Revenue decline in Healthcare of $4.5 million was primarily driven by the ramp-down in certain existing clients during the three months ended September 30, 2022. Healthcare revenues were 6.3% and 9.4% of our total revenues during the three months ended September 30, 2022 and September 30, 2021, respectively.</w:t>
      </w:r>
    </w:p>
    <w:p>
      <w:pPr>
        <w:spacing w:after="0" w:line="192" w:lineRule="exact"/>
        <w:rPr>
          <w:sz w:val="20"/>
          <w:szCs w:val="20"/>
          <w:color w:val="auto"/>
        </w:rPr>
      </w:pPr>
    </w:p>
    <w:p>
      <w:pPr>
        <w:jc w:val="both"/>
        <w:ind w:firstLine="393"/>
        <w:spacing w:after="0" w:line="278" w:lineRule="auto"/>
        <w:rPr>
          <w:sz w:val="20"/>
          <w:szCs w:val="20"/>
          <w:color w:val="auto"/>
        </w:rPr>
      </w:pPr>
      <w:r>
        <w:rPr>
          <w:rFonts w:ascii="Arial" w:cs="Arial" w:eastAsia="Arial" w:hAnsi="Arial"/>
          <w:sz w:val="16"/>
          <w:szCs w:val="16"/>
          <w:color w:val="auto"/>
        </w:rPr>
        <w:t>Revenue growth in Emerging Business of $11.6 million was primarily driven by expansion of business from our new and existing clients aggregating to $13.8 million. This was partially offset by a loss of $2.2 million mainly attributable to the depreciation of the U.K. pound sterling, the Indian rupee and the Euro against the U.S. dollar during the three months ended September 30, 2022, compared to the three months ended September 30, 2021. Emerging Business revenues were 15.5% and 15.3% of our total revenues during the three months ended September 30, 2022 and September 30, 2021, respectively.</w:t>
      </w:r>
    </w:p>
    <w:p>
      <w:pPr>
        <w:spacing w:after="0" w:line="197"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Revenue growth in Analytics of $45.8 million was primarily driven by higher volumes in our annuity and project-based engagements from our new and existing clients of $35.0 million, and contributions from our acquisition of Clairvoyant in December 2021 of $12.5 million. This was partially offset by a loss of $1.7 million mainly attributable to the depreciation of the U.K. pound sterling against the U.S. dollar during the three months ended September 30, 2022, compared to the three months ended September 30, 2021. Analytics revenues were 46.0% and 41.5% of our total revenues during the three months ended September 30, 2022 and September 30,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Cost of Revenues and Gross Margin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following table sets forth cost of revenues and gross margin of our reportable segments:</w:t>
      </w:r>
    </w:p>
    <w:p>
      <w:pPr>
        <w:spacing w:after="0" w:line="259" w:lineRule="exact"/>
        <w:rPr>
          <w:sz w:val="20"/>
          <w:szCs w:val="20"/>
          <w:color w:val="auto"/>
        </w:rPr>
      </w:pPr>
    </w:p>
    <w:tbl>
      <w:tblPr>
        <w:tblLayout w:type="fixed"/>
        <w:tblInd w:w="460" w:type="dxa"/>
        <w:tblCellMar>
          <w:top w:w="0" w:type="dxa"/>
          <w:left w:w="0" w:type="dxa"/>
          <w:bottom w:w="0" w:type="dxa"/>
          <w:right w:w="0" w:type="dxa"/>
        </w:tblCellMar>
      </w:tblPr>
      <w:tr>
        <w:trPr>
          <w:trHeight w:val="183"/>
        </w:trPr>
        <w:tc>
          <w:tcPr>
            <w:tcW w:w="1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Cost of Revenues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Gross Margin</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920" w:type="dxa"/>
            <w:vAlign w:val="bottom"/>
          </w:tcPr>
          <w:p>
            <w:pPr>
              <w:spacing w:after="0"/>
              <w:rPr>
                <w:sz w:val="2"/>
                <w:szCs w:val="2"/>
                <w:color w:val="auto"/>
              </w:rPr>
            </w:pPr>
          </w:p>
        </w:tc>
        <w:tc>
          <w:tcPr>
            <w:tcW w:w="2720" w:type="dxa"/>
            <w:vAlign w:val="bottom"/>
            <w:tcBorders>
              <w:bottom w:val="single" w:sz="8" w:color="auto"/>
            </w:tcBorders>
            <w:gridSpan w:val="6"/>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tcBorders>
              <w:bottom w:val="single" w:sz="8" w:color="auto"/>
            </w:tcBorders>
            <w:gridSpan w:val="4"/>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920" w:type="dxa"/>
            <w:vAlign w:val="bottom"/>
          </w:tcPr>
          <w:p>
            <w:pPr>
              <w:spacing w:after="0"/>
              <w:rPr>
                <w:sz w:val="15"/>
                <w:szCs w:val="15"/>
                <w:color w:val="auto"/>
              </w:rPr>
            </w:pPr>
          </w:p>
        </w:tc>
        <w:tc>
          <w:tcPr>
            <w:tcW w:w="272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5"/>
                <w:szCs w:val="15"/>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Percentage</w:t>
            </w:r>
          </w:p>
        </w:tc>
        <w:tc>
          <w:tcPr>
            <w:tcW w:w="3000" w:type="dxa"/>
            <w:vAlign w:val="bottom"/>
            <w:gridSpan w:val="4"/>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98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
        </w:trPr>
        <w:tc>
          <w:tcPr>
            <w:tcW w:w="1920" w:type="dxa"/>
            <w:vAlign w:val="bottom"/>
          </w:tcPr>
          <w:p>
            <w:pPr>
              <w:spacing w:after="0"/>
              <w:rPr>
                <w:sz w:val="2"/>
                <w:szCs w:val="2"/>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vMerge w:val="restart"/>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380" w:type="dxa"/>
            <w:vAlign w:val="bottom"/>
            <w:tcBorders>
              <w:top w:val="single" w:sz="8" w:color="auto"/>
            </w:tcBorders>
            <w:vMerge w:val="restart"/>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vMerge w:val="restart"/>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9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change</w:t>
            </w:r>
          </w:p>
        </w:tc>
        <w:tc>
          <w:tcPr>
            <w:tcW w:w="1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920" w:type="dxa"/>
            <w:vAlign w:val="bottom"/>
          </w:tcPr>
          <w:p>
            <w:pPr>
              <w:spacing w:after="0"/>
              <w:rPr>
                <w:sz w:val="15"/>
                <w:szCs w:val="15"/>
                <w:color w:val="auto"/>
              </w:rPr>
            </w:pPr>
          </w:p>
        </w:tc>
        <w:tc>
          <w:tcPr>
            <w:tcW w:w="2600" w:type="dxa"/>
            <w:vAlign w:val="bottom"/>
            <w:tcBorders>
              <w:top w:val="single" w:sz="8" w:color="auto"/>
            </w:tcBorders>
            <w:gridSpan w:val="5"/>
          </w:tcPr>
          <w:p>
            <w:pPr>
              <w:jc w:val="right"/>
              <w:ind w:right="638"/>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Insurance</w:t>
            </w:r>
          </w:p>
        </w:tc>
        <w:tc>
          <w:tcPr>
            <w:tcW w:w="760" w:type="dxa"/>
            <w:vAlign w:val="bottom"/>
            <w:shd w:val="clear" w:color="auto" w:fill="CCEEFF"/>
          </w:tcPr>
          <w:p>
            <w:pPr>
              <w:jc w:val="right"/>
              <w:ind w:right="583"/>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22.0 %</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35.4 %</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37.3 %</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20"/>
                <w:szCs w:val="20"/>
                <w:color w:val="auto"/>
              </w:rPr>
            </w:pPr>
            <w:r>
              <w:rPr>
                <w:rFonts w:ascii="Arial" w:cs="Arial" w:eastAsia="Arial" w:hAnsi="Arial"/>
                <w:sz w:val="17"/>
                <w:szCs w:val="17"/>
                <w:color w:val="auto"/>
              </w:rPr>
              <w:t>Healthcare</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 %</w:t>
            </w:r>
          </w:p>
        </w:tc>
        <w:tc>
          <w:tcPr>
            <w:tcW w:w="1380" w:type="dxa"/>
            <w:vAlign w:val="bottom"/>
          </w:tcPr>
          <w:p>
            <w:pPr>
              <w:jc w:val="right"/>
              <w:spacing w:after="0"/>
              <w:rPr>
                <w:sz w:val="20"/>
                <w:szCs w:val="20"/>
                <w:color w:val="auto"/>
              </w:rPr>
            </w:pPr>
            <w:r>
              <w:rPr>
                <w:rFonts w:ascii="Arial" w:cs="Arial" w:eastAsia="Arial" w:hAnsi="Arial"/>
                <w:sz w:val="17"/>
                <w:szCs w:val="17"/>
                <w:color w:val="auto"/>
              </w:rPr>
              <w:t>25.0 %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37.6 %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23"/>
        </w:trPr>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Emerging Business</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23"/>
        </w:trPr>
        <w:tc>
          <w:tcPr>
            <w:tcW w:w="19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Analytics</w:t>
            </w: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106.0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40.2 %</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36.3 %</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37.3 %</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41"/>
        </w:trPr>
        <w:tc>
          <w:tcPr>
            <w:tcW w:w="1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230.5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52.8</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29.7 %</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36.2 %</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38.8 %</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For the three months ended September 30, 2022, cost of revenues was $230.5 million compared to $177.7 million for the three months ended September 30, 2021, an increase of $52.8 million, or 29.7%. Our gross margin for the three months ended September 30, 2022 was 36.2%, compared to 38.8% for the three months ended September 30, 2021, a decrease of 260 basis points (“bps”).</w:t>
      </w:r>
    </w:p>
    <w:p>
      <w:pPr>
        <w:spacing w:after="0" w:line="198" w:lineRule="exact"/>
        <w:rPr>
          <w:sz w:val="20"/>
          <w:szCs w:val="20"/>
          <w:color w:val="auto"/>
        </w:rPr>
      </w:pPr>
    </w:p>
    <w:p>
      <w:pPr>
        <w:jc w:val="both"/>
        <w:ind w:firstLine="393"/>
        <w:spacing w:after="0" w:line="286" w:lineRule="auto"/>
        <w:rPr>
          <w:sz w:val="20"/>
          <w:szCs w:val="20"/>
          <w:color w:val="auto"/>
        </w:rPr>
      </w:pPr>
      <w:r>
        <w:rPr>
          <w:rFonts w:ascii="Arial" w:cs="Arial" w:eastAsia="Arial" w:hAnsi="Arial"/>
          <w:sz w:val="15"/>
          <w:szCs w:val="15"/>
          <w:color w:val="auto"/>
        </w:rPr>
        <w:t>The increase in cost of revenues in Insurance of $13.6 million during the three months ended September 30, 2022 was primarily due to increases in employee-related costs of $13.6 million on account of higher headcount and wage inflation, and higher technology costs of $2.0 million on account of increased leverage of the remote work model, partially offset by foreign exchange gain, net of hedging of $2.0 million. Gross margin in Insurance decreased by 190 bps during the three months ended September 30, 2022, compared to the three months ended September 30, 2021, primarily due to lower margins associated with ramp-ups in certain new clients during the three months ended September 30, 2022, compared to the three months ended September 30, 2021.</w:t>
      </w:r>
    </w:p>
    <w:p>
      <w:pPr>
        <w:spacing w:after="0" w:line="179"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6"/>
          <w:szCs w:val="16"/>
          <w:color w:val="auto"/>
        </w:rPr>
        <w:t>The cost of revenues in Healthcare remained unchanged at $17.1 million during the three months ended September 30, 2022 and 2021. This was driven by increases in employee-related costs of $0.7 million on account of higher headcount in existing clients and wage inflation, offset by foreign exchange gain, net of hedging of $0.5 million and lower other operating costs of $0.2 million. Gross margin in Healthcare decreased by 1,260 bps during the three months ended September 30, 2022, compared to the three months ended September 30, 2021, primarily due to lower revenues associated with ramp-down of certain existing clients during the three months ended September 30, 2022, compared to the three months ended September 30, 2021.</w:t>
      </w:r>
    </w:p>
    <w:p>
      <w:pPr>
        <w:spacing w:after="0" w:line="192" w:lineRule="exact"/>
        <w:rPr>
          <w:sz w:val="20"/>
          <w:szCs w:val="20"/>
          <w:color w:val="auto"/>
        </w:rPr>
      </w:pPr>
    </w:p>
    <w:p>
      <w:pPr>
        <w:jc w:val="both"/>
        <w:ind w:firstLine="393"/>
        <w:spacing w:after="0" w:line="266" w:lineRule="auto"/>
        <w:rPr>
          <w:sz w:val="20"/>
          <w:szCs w:val="20"/>
          <w:color w:val="auto"/>
        </w:rPr>
      </w:pPr>
      <w:r>
        <w:rPr>
          <w:rFonts w:ascii="Arial" w:cs="Arial" w:eastAsia="Arial" w:hAnsi="Arial"/>
          <w:sz w:val="16"/>
          <w:szCs w:val="16"/>
          <w:color w:val="auto"/>
        </w:rPr>
        <w:t>The increase in cost of revenues in Emerging Business of $8.7 million during the three months ended September 30, 2022 was primarily due to increases in employee-related costs of $8.2 million on account of higher headcount and wage inflation, higher technology costs of $0.9 million on account of increased leverage of the remote work model, higher travel costs of $0.8 million, and higher facilities cost of $0.5 million, partially offset by foreign exchange gain, net of hedging of $1.7 million. Gross margin in Emerging Business decreased by 460 bps during the three months ended September 30, 2022, compared to the three months ended September 30, 2021, primarily due to lower margins associated with ramp-ups in certain new clients, higher employee-related costs and higher operating expenses during the three months ended September 30, 2022, compared to the three months ended September 30, 2021.</w:t>
      </w:r>
    </w:p>
    <w:p>
      <w:pPr>
        <w:spacing w:after="0" w:line="193" w:lineRule="exact"/>
        <w:rPr>
          <w:sz w:val="20"/>
          <w:szCs w:val="20"/>
          <w:color w:val="auto"/>
        </w:rPr>
      </w:pPr>
    </w:p>
    <w:p>
      <w:pPr>
        <w:jc w:val="both"/>
        <w:ind w:firstLine="393"/>
        <w:spacing w:after="0" w:line="244" w:lineRule="auto"/>
        <w:rPr>
          <w:sz w:val="20"/>
          <w:szCs w:val="20"/>
          <w:color w:val="auto"/>
        </w:rPr>
      </w:pPr>
      <w:r>
        <w:rPr>
          <w:rFonts w:ascii="Arial" w:cs="Arial" w:eastAsia="Arial" w:hAnsi="Arial"/>
          <w:sz w:val="17"/>
          <w:szCs w:val="17"/>
          <w:color w:val="auto"/>
        </w:rPr>
        <w:t>The increase in cost of revenues in Analytics of $30.5 million during the three months ended September 30, 2022 was primarily due to increases in employee-related costs of $29.4 million on account of higher headcount and wage inflation, including incremental cost related to our acquisition of Clairvoyant in December 2021. The remaining increase was attributable to higher technology costs of $1.2 million on account of increased leverage of the remote work model, higher travel costs of $1.1 million, and higher other operating costs of $2.3 million. This was partially offset by foreign exchange gain, net of hedging of $3.5 million. Gross margin in Analytics decreased by 100 bps during the three months ended September 30, 2022, compared to the three months ended September 30, 2021, primarily due to increases in employee-related costs and higher operating expenses during the three months ended September 30, 2022, compared to the three months ended September 30, 2021.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Selling, General and Administrative (“SG&amp;A”) Expenses.</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183"/>
        </w:trPr>
        <w:tc>
          <w:tcPr>
            <w:tcW w:w="5140" w:type="dxa"/>
            <w:vAlign w:val="bottom"/>
          </w:tcPr>
          <w:p>
            <w:pPr>
              <w:spacing w:after="0"/>
              <w:rPr>
                <w:sz w:val="15"/>
                <w:szCs w:val="15"/>
                <w:color w:val="auto"/>
              </w:rPr>
            </w:pPr>
          </w:p>
        </w:tc>
        <w:tc>
          <w:tcPr>
            <w:tcW w:w="30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8"/>
              </w:rPr>
              <w:t>Three months ended September 30,</w:t>
            </w:r>
          </w:p>
        </w:tc>
        <w:tc>
          <w:tcPr>
            <w:tcW w:w="200" w:type="dxa"/>
            <w:vAlign w:val="bottom"/>
          </w:tcPr>
          <w:p>
            <w:pPr>
              <w:spacing w:after="0"/>
              <w:rPr>
                <w:sz w:val="15"/>
                <w:szCs w:val="15"/>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6"/>
        </w:trPr>
        <w:tc>
          <w:tcPr>
            <w:tcW w:w="5140" w:type="dxa"/>
            <w:vAlign w:val="bottom"/>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2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7"/>
        </w:trPr>
        <w:tc>
          <w:tcPr>
            <w:tcW w:w="514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51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(dollars in millions)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42.5</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36.2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17.6 %</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Selling and marketing expenses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23.9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21.7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10.2 %</w:t>
            </w:r>
          </w:p>
        </w:tc>
        <w:tc>
          <w:tcPr>
            <w:tcW w:w="0" w:type="dxa"/>
            <w:vAlign w:val="bottom"/>
          </w:tcPr>
          <w:p>
            <w:pPr>
              <w:spacing w:after="0"/>
              <w:rPr>
                <w:sz w:val="1"/>
                <w:szCs w:val="1"/>
                <w:color w:val="auto"/>
              </w:rPr>
            </w:pPr>
          </w:p>
        </w:tc>
      </w:tr>
      <w:tr>
        <w:trPr>
          <w:trHeight w:val="241"/>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88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66.4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57.9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14.8 %</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As a percentage of revenues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4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w w:val="94"/>
              </w:rPr>
              <w:t>18.4 %</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ind w:left="360"/>
              <w:spacing w:after="0"/>
              <w:rPr>
                <w:sz w:val="20"/>
                <w:szCs w:val="20"/>
                <w:color w:val="auto"/>
              </w:rPr>
            </w:pPr>
            <w:r>
              <w:rPr>
                <w:rFonts w:ascii="Arial" w:cs="Arial" w:eastAsia="Arial" w:hAnsi="Arial"/>
                <w:sz w:val="17"/>
                <w:szCs w:val="17"/>
                <w:color w:val="auto"/>
                <w:w w:val="94"/>
              </w:rPr>
              <w:t>19.9 %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ind w:firstLine="393"/>
        <w:spacing w:after="0" w:line="252" w:lineRule="auto"/>
        <w:rPr>
          <w:sz w:val="20"/>
          <w:szCs w:val="20"/>
          <w:color w:val="auto"/>
        </w:rPr>
      </w:pPr>
      <w:r>
        <w:rPr>
          <w:rFonts w:ascii="Arial" w:cs="Arial" w:eastAsia="Arial" w:hAnsi="Arial"/>
          <w:sz w:val="17"/>
          <w:szCs w:val="17"/>
          <w:color w:val="auto"/>
        </w:rPr>
        <w:t>The increase in SG&amp;A expenses of $8.5 million was primarily due to higher employee-related costs of $7.5 million on account of a higher headcount and wage inflation, including incremental costs related to our acquisition of Clairvoyant in December 2021, increase in technology costs of $2.3 million on account of continued investments in digital capabilities and higher other operating costs of $0.3 million, partially offset by foreign exchange gain, net of hedging of $1.6 million.</w:t>
      </w:r>
    </w:p>
    <w:p>
      <w:pPr>
        <w:spacing w:after="0" w:line="29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175" w:lineRule="exact"/>
        <w:rPr>
          <w:sz w:val="20"/>
          <w:szCs w:val="20"/>
          <w:color w:val="auto"/>
        </w:rPr>
      </w:pPr>
    </w:p>
    <w:tbl>
      <w:tblPr>
        <w:tblLayout w:type="fixed"/>
        <w:tblInd w:w="220" w:type="dxa"/>
        <w:tblCellMar>
          <w:top w:w="0" w:type="dxa"/>
          <w:left w:w="0" w:type="dxa"/>
          <w:bottom w:w="0" w:type="dxa"/>
          <w:right w:w="0" w:type="dxa"/>
        </w:tblCellMar>
      </w:tblPr>
      <w:tr>
        <w:trPr>
          <w:trHeight w:val="183"/>
        </w:trPr>
        <w:tc>
          <w:tcPr>
            <w:tcW w:w="5180" w:type="dxa"/>
            <w:vAlign w:val="bottom"/>
          </w:tcPr>
          <w:p>
            <w:pPr>
              <w:spacing w:after="0"/>
              <w:rPr>
                <w:sz w:val="15"/>
                <w:szCs w:val="15"/>
                <w:color w:val="auto"/>
              </w:rPr>
            </w:pPr>
          </w:p>
        </w:tc>
        <w:tc>
          <w:tcPr>
            <w:tcW w:w="312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5"/>
                <w:szCs w:val="15"/>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6"/>
        </w:trPr>
        <w:tc>
          <w:tcPr>
            <w:tcW w:w="5180" w:type="dxa"/>
            <w:vAlign w:val="bottom"/>
          </w:tcPr>
          <w:p>
            <w:pPr>
              <w:spacing w:after="0"/>
              <w:rPr>
                <w:sz w:val="3"/>
                <w:szCs w:val="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0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518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5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(dollars in millions)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expense</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90"/>
              </w:rPr>
              <w:t>10.1</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9.2 %</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Intangible amortization expense</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40.4 %</w:t>
            </w:r>
          </w:p>
        </w:tc>
        <w:tc>
          <w:tcPr>
            <w:tcW w:w="0" w:type="dxa"/>
            <w:vAlign w:val="bottom"/>
          </w:tcPr>
          <w:p>
            <w:pPr>
              <w:spacing w:after="0"/>
              <w:rPr>
                <w:sz w:val="1"/>
                <w:szCs w:val="1"/>
                <w:color w:val="auto"/>
              </w:rPr>
            </w:pPr>
          </w:p>
        </w:tc>
      </w:tr>
      <w:tr>
        <w:trPr>
          <w:trHeight w:val="241"/>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and amortization expense</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90"/>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16.9 %</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As a percentage of revenues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8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4.0 %</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4.2 %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ind w:firstLine="393"/>
        <w:spacing w:after="0" w:line="245" w:lineRule="auto"/>
        <w:rPr>
          <w:sz w:val="20"/>
          <w:szCs w:val="20"/>
          <w:color w:val="auto"/>
        </w:rPr>
      </w:pPr>
      <w:r>
        <w:rPr>
          <w:rFonts w:ascii="Arial" w:cs="Arial" w:eastAsia="Arial" w:hAnsi="Arial"/>
          <w:sz w:val="17"/>
          <w:szCs w:val="17"/>
          <w:color w:val="auto"/>
        </w:rPr>
        <w:t>The increase in intangibles amortization expense of $1.3 million was primarily due to amortization of intangibles associated with our acquisition of Clairvoyant and Inbound in December 2021 and June 2022, respectively, during the three months ended September 30, 2022, compared to the three months ended September 30, 2021. The increase in depreciation expense of $0.8 million was primarily due to depreciation of $1.2 million related to our investments in digital capabilities and computer and networking equipment, partially offset by foreign exchange gain, net of hedging of $0.4 million during the three months ended September 30, 2022, compared to the three months ended September 30, 2021.</w:t>
      </w:r>
    </w:p>
    <w:p>
      <w:pPr>
        <w:spacing w:after="0" w:line="327"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b w:val="1"/>
          <w:bCs w:val="1"/>
          <w:i w:val="1"/>
          <w:iCs w:val="1"/>
          <w:color w:val="auto"/>
        </w:rPr>
        <w:t xml:space="preserve">Income from Operations. </w:t>
      </w:r>
      <w:r>
        <w:rPr>
          <w:rFonts w:ascii="Arial" w:cs="Arial" w:eastAsia="Arial" w:hAnsi="Arial"/>
          <w:sz w:val="17"/>
          <w:szCs w:val="17"/>
          <w:color w:val="auto"/>
        </w:rPr>
        <w:t>Income from operations increased by $7.7 million, or 18.1%, from $42.4 million for the three months ended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to $50.1 million for the three months ended September 30, 2022, primarily due to higher revenues, partially offset by higher cost of revenues and higher SG&amp;A expenses during the three months ended September 30, 2022. As a percentage of revenues, income from operations decreased from 14.6% for the three months ended September 30, 2021 to 13.9% for the three months ended September 30, 2022.</w:t>
      </w:r>
    </w:p>
    <w:p>
      <w:pPr>
        <w:spacing w:after="0" w:line="202"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b w:val="1"/>
          <w:bCs w:val="1"/>
          <w:i w:val="1"/>
          <w:iCs w:val="1"/>
          <w:color w:val="auto"/>
        </w:rPr>
        <w:t xml:space="preserve">Foreign Exchange Gain/(Loss). </w:t>
      </w:r>
      <w:r>
        <w:rPr>
          <w:rFonts w:ascii="Arial" w:cs="Arial" w:eastAsia="Arial" w:hAnsi="Arial"/>
          <w:sz w:val="17"/>
          <w:szCs w:val="17"/>
          <w:color w:val="auto"/>
        </w:rPr>
        <w:t>Foreign exchange gains and losses are primarily attributable to the movement of the U.S. dollar against the Indian rupee,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U.K. pound sterling, the Philippine peso and the South African ZAR during the three months ended September 30, 2022. The average exchange rate of the U.S. dollar against the Indian rupee increased from 73.88 during the three months ended September 30, 2021 to 80.01 during the three months ended September 30, 2022. The average exchange rate of the U.K. pound sterling against the U.S. dollar decreased from 1.37 during the three months ended September 30, 2021 to 1.16 during the three months ended September 30, 2022. The average exchange rate of the U.S. dollar against the Philippine peso increased from 50.24 during the three months ended September 30, 2021 to 56.63 during the three months ended September 30, 2022. The average exchange rate of the U.S. dollar against the South African ZAR increased from 14.76 during the three months ended September 30, 2021 to 17.21 during the three months ended September 30, 2022.</w:t>
      </w:r>
    </w:p>
    <w:p>
      <w:pPr>
        <w:spacing w:after="0" w:line="207"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We recorded a net foreign exchange gain of $1.5 million for the three months ended September 30, 2022, compared to net foreign exchange gain of $1.2 million for the three months ended September 30, 2021.</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b w:val="1"/>
          <w:bCs w:val="1"/>
          <w:i w:val="1"/>
          <w:iCs w:val="1"/>
          <w:color w:val="auto"/>
        </w:rPr>
        <w:t>Interest expens</w:t>
      </w:r>
      <w:r>
        <w:rPr>
          <w:rFonts w:ascii="Arial" w:cs="Arial" w:eastAsia="Arial" w:hAnsi="Arial"/>
          <w:sz w:val="17"/>
          <w:szCs w:val="17"/>
          <w:color w:val="auto"/>
        </w:rPr>
        <w:t>e. Interest expense increased from $1.8 million for the three months ended September 30, 2021 to $2.4 million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2022, primarily due to higher outstanding obligations under our revolving Credit Facility and higher effective interest rates during the three months ended September 30, 2022, compared to the three months ended September 30, 2021.</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Other Income, net.</w:t>
      </w:r>
    </w:p>
    <w:p>
      <w:pPr>
        <w:spacing w:after="0" w:line="358"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5320" w:type="dxa"/>
            <w:vAlign w:val="bottom"/>
          </w:tcPr>
          <w:p>
            <w:pPr>
              <w:spacing w:after="0"/>
              <w:rPr>
                <w:sz w:val="15"/>
                <w:szCs w:val="15"/>
                <w:color w:val="auto"/>
              </w:rPr>
            </w:pPr>
          </w:p>
        </w:tc>
        <w:tc>
          <w:tcPr>
            <w:tcW w:w="290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4"/>
        </w:trPr>
        <w:tc>
          <w:tcPr>
            <w:tcW w:w="53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3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3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83"/>
              </w:rPr>
              <w:t>2021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360" w:type="dxa"/>
            <w:vAlign w:val="bottom"/>
          </w:tcPr>
          <w:p>
            <w:pPr>
              <w:jc w:val="right"/>
              <w:ind w:right="39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53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(dollars in millions)</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Gain on sale and mark-to-market of mutual funds and money market funds</w:t>
            </w:r>
          </w:p>
        </w:tc>
        <w:tc>
          <w:tcPr>
            <w:tcW w:w="800" w:type="dxa"/>
            <w:vAlign w:val="bottom"/>
            <w:shd w:val="clear" w:color="auto" w:fill="CCEEFF"/>
          </w:tcPr>
          <w:p>
            <w:pPr>
              <w:jc w:val="right"/>
              <w:ind w:right="621"/>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center"/>
              <w:ind w:left="76"/>
              <w:spacing w:after="0"/>
              <w:rPr>
                <w:sz w:val="20"/>
                <w:szCs w:val="20"/>
                <w:color w:val="auto"/>
              </w:rPr>
            </w:pPr>
            <w:r>
              <w:rPr>
                <w:rFonts w:ascii="Arial" w:cs="Arial" w:eastAsia="Arial" w:hAnsi="Arial"/>
                <w:sz w:val="17"/>
                <w:szCs w:val="17"/>
                <w:color w:val="auto"/>
                <w:w w:val="92"/>
              </w:rPr>
              <w:t>1.5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center"/>
              <w:ind w:left="376"/>
              <w:spacing w:after="0"/>
              <w:rPr>
                <w:sz w:val="20"/>
                <w:szCs w:val="20"/>
                <w:color w:val="auto"/>
              </w:rPr>
            </w:pPr>
            <w:r>
              <w:rPr>
                <w:rFonts w:ascii="Arial" w:cs="Arial" w:eastAsia="Arial" w:hAnsi="Arial"/>
                <w:sz w:val="17"/>
                <w:szCs w:val="17"/>
                <w:color w:val="auto"/>
                <w:w w:val="92"/>
              </w:rPr>
              <w:t>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center"/>
              <w:ind w:left="556"/>
              <w:spacing w:after="0"/>
              <w:rPr>
                <w:sz w:val="20"/>
                <w:szCs w:val="20"/>
                <w:color w:val="auto"/>
              </w:rPr>
            </w:pPr>
            <w:r>
              <w:rPr>
                <w:rFonts w:ascii="Arial" w:cs="Arial" w:eastAsia="Arial" w:hAnsi="Arial"/>
                <w:sz w:val="17"/>
                <w:szCs w:val="17"/>
                <w:color w:val="auto"/>
                <w:w w:val="92"/>
              </w:rPr>
              <w:t>0.3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19.3 %</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800" w:type="dxa"/>
            <w:vAlign w:val="bottom"/>
          </w:tcPr>
          <w:p>
            <w:pPr>
              <w:spacing w:after="0"/>
              <w:rPr>
                <w:sz w:val="19"/>
                <w:szCs w:val="19"/>
                <w:color w:val="auto"/>
              </w:rPr>
            </w:pPr>
          </w:p>
        </w:tc>
        <w:tc>
          <w:tcPr>
            <w:tcW w:w="540" w:type="dxa"/>
            <w:vAlign w:val="bottom"/>
          </w:tcPr>
          <w:p>
            <w:pPr>
              <w:jc w:val="center"/>
              <w:ind w:left="76"/>
              <w:spacing w:after="0"/>
              <w:rPr>
                <w:sz w:val="20"/>
                <w:szCs w:val="20"/>
                <w:color w:val="auto"/>
              </w:rPr>
            </w:pPr>
            <w:r>
              <w:rPr>
                <w:rFonts w:ascii="Arial" w:cs="Arial" w:eastAsia="Arial" w:hAnsi="Arial"/>
                <w:sz w:val="17"/>
                <w:szCs w:val="17"/>
                <w:color w:val="auto"/>
                <w:w w:val="92"/>
              </w:rPr>
              <w:t>1.5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jc w:val="center"/>
              <w:ind w:left="376"/>
              <w:spacing w:after="0"/>
              <w:rPr>
                <w:sz w:val="20"/>
                <w:szCs w:val="20"/>
                <w:color w:val="auto"/>
              </w:rPr>
            </w:pPr>
            <w:r>
              <w:rPr>
                <w:rFonts w:ascii="Arial" w:cs="Arial" w:eastAsia="Arial" w:hAnsi="Arial"/>
                <w:sz w:val="17"/>
                <w:szCs w:val="17"/>
                <w:color w:val="auto"/>
                <w:w w:val="92"/>
              </w:rPr>
              <w:t>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center"/>
              <w:ind w:left="556"/>
              <w:spacing w:after="0"/>
              <w:rPr>
                <w:sz w:val="20"/>
                <w:szCs w:val="20"/>
                <w:color w:val="auto"/>
              </w:rPr>
            </w:pPr>
            <w:r>
              <w:rPr>
                <w:rFonts w:ascii="Arial" w:cs="Arial" w:eastAsia="Arial" w:hAnsi="Arial"/>
                <w:sz w:val="17"/>
                <w:szCs w:val="17"/>
                <w:color w:val="auto"/>
                <w:w w:val="92"/>
              </w:rPr>
              <w:t>0.7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91.5 %</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net</w:t>
            </w:r>
          </w:p>
        </w:tc>
        <w:tc>
          <w:tcPr>
            <w:tcW w:w="8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center"/>
              <w:ind w:left="76"/>
              <w:spacing w:after="0"/>
              <w:rPr>
                <w:sz w:val="20"/>
                <w:szCs w:val="20"/>
                <w:color w:val="auto"/>
              </w:rPr>
            </w:pPr>
            <w:r>
              <w:rPr>
                <w:rFonts w:ascii="Arial" w:cs="Arial" w:eastAsia="Arial" w:hAnsi="Arial"/>
                <w:sz w:val="17"/>
                <w:szCs w:val="17"/>
                <w:color w:val="auto"/>
                <w:w w:val="97"/>
              </w:rPr>
              <w:t>(0.7)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336"/>
              <w:spacing w:after="0"/>
              <w:rPr>
                <w:sz w:val="20"/>
                <w:szCs w:val="20"/>
                <w:color w:val="auto"/>
              </w:rPr>
            </w:pPr>
            <w:r>
              <w:rPr>
                <w:rFonts w:ascii="Arial" w:cs="Arial" w:eastAsia="Arial" w:hAnsi="Arial"/>
                <w:sz w:val="17"/>
                <w:szCs w:val="17"/>
                <w:color w:val="auto"/>
                <w:w w:val="97"/>
              </w:rPr>
              <w:t>(0.3)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516"/>
              <w:spacing w:after="0"/>
              <w:rPr>
                <w:sz w:val="20"/>
                <w:szCs w:val="20"/>
                <w:color w:val="auto"/>
              </w:rPr>
            </w:pPr>
            <w:r>
              <w:rPr>
                <w:rFonts w:ascii="Arial" w:cs="Arial" w:eastAsia="Arial" w:hAnsi="Arial"/>
                <w:sz w:val="17"/>
                <w:szCs w:val="17"/>
                <w:color w:val="auto"/>
                <w:w w:val="97"/>
              </w:rPr>
              <w:t>(0.4)</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144.3 %</w:t>
            </w:r>
          </w:p>
        </w:tc>
        <w:tc>
          <w:tcPr>
            <w:tcW w:w="0" w:type="dxa"/>
            <w:vAlign w:val="bottom"/>
          </w:tcPr>
          <w:p>
            <w:pPr>
              <w:spacing w:after="0"/>
              <w:rPr>
                <w:sz w:val="1"/>
                <w:szCs w:val="1"/>
                <w:color w:val="auto"/>
              </w:rPr>
            </w:pPr>
          </w:p>
        </w:tc>
      </w:tr>
      <w:tr>
        <w:trPr>
          <w:trHeight w:val="216"/>
        </w:trPr>
        <w:tc>
          <w:tcPr>
            <w:tcW w:w="5320" w:type="dxa"/>
            <w:vAlign w:val="bottom"/>
          </w:tcPr>
          <w:p>
            <w:pPr>
              <w:ind w:left="20"/>
              <w:spacing w:after="0"/>
              <w:rPr>
                <w:sz w:val="20"/>
                <w:szCs w:val="20"/>
                <w:color w:val="auto"/>
              </w:rPr>
            </w:pPr>
            <w:r>
              <w:rPr>
                <w:rFonts w:ascii="Arial" w:cs="Arial" w:eastAsia="Arial" w:hAnsi="Arial"/>
                <w:sz w:val="17"/>
                <w:szCs w:val="17"/>
                <w:color w:val="auto"/>
              </w:rPr>
              <w:t>Other income, net</w:t>
            </w:r>
          </w:p>
        </w:tc>
        <w:tc>
          <w:tcPr>
            <w:tcW w:w="800" w:type="dxa"/>
            <w:vAlign w:val="bottom"/>
            <w:tcBorders>
              <w:bottom w:val="single" w:sz="8" w:color="auto"/>
            </w:tcBorders>
          </w:tcPr>
          <w:p>
            <w:pPr>
              <w:jc w:val="right"/>
              <w:ind w:right="621"/>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center"/>
              <w:ind w:left="76"/>
              <w:spacing w:after="0"/>
              <w:rPr>
                <w:sz w:val="20"/>
                <w:szCs w:val="20"/>
                <w:color w:val="auto"/>
              </w:rPr>
            </w:pPr>
            <w:r>
              <w:rPr>
                <w:rFonts w:ascii="Arial" w:cs="Arial" w:eastAsia="Arial" w:hAnsi="Arial"/>
                <w:sz w:val="17"/>
                <w:szCs w:val="17"/>
                <w:color w:val="auto"/>
                <w:w w:val="92"/>
              </w:rPr>
              <w:t>2.3</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center"/>
              <w:ind w:left="376"/>
              <w:spacing w:after="0"/>
              <w:rPr>
                <w:sz w:val="20"/>
                <w:szCs w:val="20"/>
                <w:color w:val="auto"/>
              </w:rPr>
            </w:pPr>
            <w:r>
              <w:rPr>
                <w:rFonts w:ascii="Arial" w:cs="Arial" w:eastAsia="Arial" w:hAnsi="Arial"/>
                <w:sz w:val="17"/>
                <w:szCs w:val="17"/>
                <w:color w:val="auto"/>
                <w:w w:val="92"/>
              </w:rPr>
              <w:t>1.7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center"/>
              <w:ind w:left="556"/>
              <w:spacing w:after="0"/>
              <w:rPr>
                <w:sz w:val="20"/>
                <w:szCs w:val="20"/>
                <w:color w:val="auto"/>
              </w:rPr>
            </w:pPr>
            <w:r>
              <w:rPr>
                <w:rFonts w:ascii="Arial" w:cs="Arial" w:eastAsia="Arial" w:hAnsi="Arial"/>
                <w:sz w:val="17"/>
                <w:szCs w:val="17"/>
                <w:color w:val="auto"/>
                <w:w w:val="92"/>
              </w:rPr>
              <w:t>0.6</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31.4 %</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Other income, net increased by $0.6 million, from $1.7 million for the three months ended September 30, 2021 to $2.3 million for the three months ended September 30, 2022, primarily due to higher interest income on investments in term deposits of $0.7 million and higher yield on our mutual fund investments of $0.3 million.</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 xml:space="preserve">Loss on settlement of Notes. </w:t>
      </w:r>
      <w:r>
        <w:rPr>
          <w:rFonts w:ascii="Arial" w:cs="Arial" w:eastAsia="Arial" w:hAnsi="Arial"/>
          <w:sz w:val="17"/>
          <w:szCs w:val="17"/>
          <w:color w:val="auto"/>
        </w:rPr>
        <w:t>On August 27, 2021, we settled our outstanding obligations under the Notes and recognized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loss of $12.8 million during the three months ended September 30, 2021. See Note 18 - Borrowings to our unaudited consolidated financial statements.</w:t>
      </w:r>
    </w:p>
    <w:p>
      <w:pPr>
        <w:spacing w:after="0" w:line="235"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The effective tax rate increased from 13.7% during the three months ended September 30, 2021 to 24.2% during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2022. We recorded income tax expense of $12.4 million and $4.2 million for the three months ended September 30, 2022 and 2021, respectively. The increase in income tax expense was primarily a result of higher profit during the three months ended September 30, 2022, compared to the three months ended September 30, 2021, the recording of a one-time deferred tax benefit of $2.4 million on settlement of the Notes during the three months ended September 30, 2021, and higher excess tax benefits during the three months ended September 30, 2021.</w:t>
      </w:r>
    </w:p>
    <w:p>
      <w:pPr>
        <w:spacing w:after="0" w:line="192"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Net income increased from $26.5 million for the three months ended September 30, 2021 to $39.1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2022, primarily due to increase in income from operations of $7.7 million, loss on settlement of the Notes of $12.8 million during three months ended September 30, 2021 and higher foreign exchange gain, net of $0.3 million, partially offset by higher income tax expense of $8.3 million. As a percentage of revenues, net income increased from 9.1% for the three months ended September 30, 2021 to 10.8% for the three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Nine Months Ended September 30, 2022 Compared to Nine Months Ended September 30, 2021</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Revenues.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our revenues by reportable segments: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4"/>
        </w:trPr>
        <w:tc>
          <w:tcPr>
            <w:tcW w:w="5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5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5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80" w:type="dxa"/>
            <w:vAlign w:val="bottom"/>
          </w:tcPr>
          <w:p>
            <w:pPr>
              <w:jc w:val="right"/>
              <w:ind w:right="33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59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500" w:type="dxa"/>
            <w:vAlign w:val="bottom"/>
            <w:tcBorders>
              <w:top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Insurance</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15.5 %</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7"/>
                <w:szCs w:val="17"/>
                <w:color w:val="auto"/>
              </w:rPr>
              <w:t>Healthcare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Emerging Business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30.8 %</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Analytics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142.4</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42.6 %</w:t>
            </w:r>
          </w:p>
        </w:tc>
        <w:tc>
          <w:tcPr>
            <w:tcW w:w="0" w:type="dxa"/>
            <w:vAlign w:val="bottom"/>
          </w:tcPr>
          <w:p>
            <w:pPr>
              <w:spacing w:after="0"/>
              <w:rPr>
                <w:sz w:val="1"/>
                <w:szCs w:val="1"/>
                <w:color w:val="auto"/>
              </w:rPr>
            </w:pPr>
          </w:p>
        </w:tc>
      </w:tr>
      <w:tr>
        <w:trPr>
          <w:trHeight w:val="241"/>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revenues, net</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1,037.3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826.8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210.5</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25.5 %</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Revenues for the nine months ended September 30, 2022 were $1,037.3 million, up $210.5 million, or 25.5%, compared to the nine months ended September 30, 2021, driven primarily by revenue growth in Analytics and Insurance.</w:t>
      </w:r>
    </w:p>
    <w:p>
      <w:pPr>
        <w:spacing w:after="0" w:line="185" w:lineRule="exact"/>
        <w:rPr>
          <w:sz w:val="20"/>
          <w:szCs w:val="20"/>
          <w:color w:val="auto"/>
        </w:rPr>
      </w:pPr>
    </w:p>
    <w:p>
      <w:pPr>
        <w:jc w:val="both"/>
        <w:ind w:firstLine="393"/>
        <w:spacing w:after="0" w:line="278" w:lineRule="auto"/>
        <w:rPr>
          <w:sz w:val="20"/>
          <w:szCs w:val="20"/>
          <w:color w:val="auto"/>
        </w:rPr>
      </w:pPr>
      <w:r>
        <w:rPr>
          <w:rFonts w:ascii="Arial" w:cs="Arial" w:eastAsia="Arial" w:hAnsi="Arial"/>
          <w:sz w:val="16"/>
          <w:szCs w:val="16"/>
          <w:color w:val="auto"/>
        </w:rPr>
        <w:t>Revenue growth in Insurance of $44.2 million was primarily driven by expansion of business from our new and existing clients aggregating to $47.6 million. This was partially offset by a loss of $3.4 million mainly attributable to the depreciation of the U.K. pound sterling, the Australian dollar and the Indian rupee against the U.S. dollar during the nine months ended September 30, 2022, compared to the nine months ended September 30, 2021. Insurance revenues were 31.6% and 34.3% of our total revenues during the nine months ended September 30, 2022 and September 30, 2021, respectively.</w:t>
      </w:r>
    </w:p>
    <w:p>
      <w:pPr>
        <w:spacing w:after="0" w:line="183"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Revenue decline in Healthcare of $13.8 million was primarily driven by the ramp-down in certain existing clients during the nine months ended September 30, 2022. Healthcare revenues were 6.9% and 10.4% of our total revenues during the nine months ended September 30, 2022 and September 30, 2021, respectively.</w:t>
      </w:r>
    </w:p>
    <w:p>
      <w:pPr>
        <w:spacing w:after="0" w:line="185" w:lineRule="exact"/>
        <w:rPr>
          <w:sz w:val="20"/>
          <w:szCs w:val="20"/>
          <w:color w:val="auto"/>
        </w:rPr>
      </w:pPr>
    </w:p>
    <w:p>
      <w:pPr>
        <w:jc w:val="both"/>
        <w:ind w:firstLine="393"/>
        <w:spacing w:after="0" w:line="261" w:lineRule="auto"/>
        <w:rPr>
          <w:sz w:val="20"/>
          <w:szCs w:val="20"/>
          <w:color w:val="auto"/>
        </w:rPr>
      </w:pPr>
      <w:r>
        <w:rPr>
          <w:rFonts w:ascii="Arial" w:cs="Arial" w:eastAsia="Arial" w:hAnsi="Arial"/>
          <w:sz w:val="16"/>
          <w:szCs w:val="16"/>
          <w:color w:val="auto"/>
        </w:rPr>
        <w:t>Revenue growth in Emerging Business of $37.7 million was primarily driven by expansion of business from our new and existing clients of $42.1 million. This was partially offset by a loss of $4.4 million mainly attributable to the depreciation of the U.K. pound sterling, the Indian rupee and the Euro against the U.S. dollar during the nine months ended September 30, 2022, compared to the nine months ended September 30, 2021. Emerging Business revenues were 15.5% and 14.9% of our total revenues during the nine months ended September 30, 2022 and September 30, 2021, respectively.</w:t>
      </w:r>
    </w:p>
    <w:p>
      <w:pPr>
        <w:spacing w:after="0" w:line="19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Revenue growth in Analytics of $142.4 million was primarily driven by the higher volumes in our annuity and project based engagements from our new</w:t>
      </w:r>
    </w:p>
    <w:p>
      <w:pPr>
        <w:spacing w:after="0" w:line="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and existing clients of $112.1 million, and contributions from our acquisition of Clairvoyant in December 2021 of $33.7 million. This was partially offset by a loss of $3.4 million mainly attributable to the depreciation of the U.K. pound sterling against the U.S. dollar during the nine months ended September 30, 2022, compared to the nine months ended September 30, 2021. Analytics revenues were 45.9% and 40.4% of our total revenues during the nine months ended September 30, 2022 and September 30, 2021, respectively.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Cost of Revenues and Gross Margin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following table sets forth cost of revenues and gross margin of our reportable segments: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gridSpan w:val="5"/>
          </w:tcPr>
          <w:p>
            <w:pPr>
              <w:ind w:left="260"/>
              <w:spacing w:after="0"/>
              <w:rPr>
                <w:sz w:val="20"/>
                <w:szCs w:val="20"/>
                <w:color w:val="auto"/>
              </w:rPr>
            </w:pPr>
            <w:r>
              <w:rPr>
                <w:rFonts w:ascii="Arial" w:cs="Arial" w:eastAsia="Arial" w:hAnsi="Arial"/>
                <w:sz w:val="14"/>
                <w:szCs w:val="14"/>
                <w:b w:val="1"/>
                <w:bCs w:val="1"/>
                <w:color w:val="auto"/>
              </w:rPr>
              <w:t>Cost of Revenues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 Margin</w:t>
            </w:r>
          </w:p>
        </w:tc>
        <w:tc>
          <w:tcPr>
            <w:tcW w:w="980" w:type="dxa"/>
            <w:vAlign w:val="bottom"/>
          </w:tcPr>
          <w:p>
            <w:pPr>
              <w:spacing w:after="0"/>
              <w:rPr>
                <w:sz w:val="15"/>
                <w:szCs w:val="15"/>
                <w:color w:val="auto"/>
              </w:rPr>
            </w:pPr>
          </w:p>
        </w:tc>
      </w:tr>
      <w:tr>
        <w:trPr>
          <w:trHeight w:val="24"/>
        </w:trPr>
        <w:tc>
          <w:tcPr>
            <w:tcW w:w="2520" w:type="dxa"/>
            <w:vAlign w:val="bottom"/>
          </w:tcPr>
          <w:p>
            <w:pPr>
              <w:spacing w:after="0"/>
              <w:rPr>
                <w:sz w:val="2"/>
                <w:szCs w:val="2"/>
                <w:color w:val="auto"/>
              </w:rPr>
            </w:pPr>
          </w:p>
        </w:tc>
        <w:tc>
          <w:tcPr>
            <w:tcW w:w="262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9"/>
        </w:trPr>
        <w:tc>
          <w:tcPr>
            <w:tcW w:w="2520" w:type="dxa"/>
            <w:vAlign w:val="bottom"/>
          </w:tcPr>
          <w:p>
            <w:pPr>
              <w:spacing w:after="0"/>
              <w:rPr>
                <w:sz w:val="19"/>
                <w:szCs w:val="19"/>
                <w:color w:val="auto"/>
              </w:rPr>
            </w:pPr>
          </w:p>
        </w:tc>
        <w:tc>
          <w:tcPr>
            <w:tcW w:w="2620" w:type="dxa"/>
            <w:vAlign w:val="bottom"/>
            <w:gridSpan w:val="6"/>
          </w:tcPr>
          <w:p>
            <w:pPr>
              <w:ind w:left="240"/>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4"/>
          </w:tcPr>
          <w:p>
            <w:pPr>
              <w:ind w:left="380"/>
              <w:spacing w:after="0"/>
              <w:rPr>
                <w:sz w:val="20"/>
                <w:szCs w:val="20"/>
                <w:color w:val="auto"/>
              </w:rPr>
            </w:pPr>
            <w:r>
              <w:rPr>
                <w:rFonts w:ascii="Arial" w:cs="Arial" w:eastAsia="Arial" w:hAnsi="Arial"/>
                <w:sz w:val="14"/>
                <w:szCs w:val="14"/>
                <w:b w:val="1"/>
                <w:bCs w:val="1"/>
                <w:color w:val="auto"/>
              </w:rPr>
              <w:t>Nine months ended September 30,</w:t>
            </w:r>
          </w:p>
        </w:tc>
        <w:tc>
          <w:tcPr>
            <w:tcW w:w="980" w:type="dxa"/>
            <w:vAlign w:val="bottom"/>
          </w:tcPr>
          <w:p>
            <w:pPr>
              <w:spacing w:after="0"/>
              <w:rPr>
                <w:sz w:val="19"/>
                <w:szCs w:val="19"/>
                <w:color w:val="auto"/>
              </w:rPr>
            </w:pPr>
          </w:p>
        </w:tc>
      </w:tr>
      <w:tr>
        <w:trPr>
          <w:trHeight w:val="24"/>
        </w:trPr>
        <w:tc>
          <w:tcPr>
            <w:tcW w:w="25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9"/>
        </w:trPr>
        <w:tc>
          <w:tcPr>
            <w:tcW w:w="2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Percentage change</w:t>
            </w:r>
          </w:p>
        </w:tc>
        <w:tc>
          <w:tcPr>
            <w:tcW w:w="1360" w:type="dxa"/>
            <w:vAlign w:val="bottom"/>
          </w:tcPr>
          <w:p>
            <w:pPr>
              <w:jc w:val="right"/>
              <w:ind w:right="45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9"/>
                <w:szCs w:val="19"/>
                <w:color w:val="auto"/>
              </w:rPr>
            </w:pPr>
          </w:p>
        </w:tc>
        <w:tc>
          <w:tcPr>
            <w:tcW w:w="1360" w:type="dxa"/>
            <w:vAlign w:val="bottom"/>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980" w:type="dxa"/>
            <w:vAlign w:val="bottom"/>
          </w:tcPr>
          <w:p>
            <w:pPr>
              <w:jc w:val="right"/>
              <w:ind w:right="176"/>
              <w:spacing w:after="0"/>
              <w:rPr>
                <w:sz w:val="20"/>
                <w:szCs w:val="20"/>
                <w:color w:val="auto"/>
              </w:rPr>
            </w:pPr>
            <w:r>
              <w:rPr>
                <w:rFonts w:ascii="Arial" w:cs="Arial" w:eastAsia="Arial" w:hAnsi="Arial"/>
                <w:sz w:val="14"/>
                <w:szCs w:val="14"/>
                <w:b w:val="1"/>
                <w:bCs w:val="1"/>
                <w:color w:val="auto"/>
              </w:rPr>
              <w:t>Change</w:t>
            </w:r>
          </w:p>
        </w:tc>
      </w:tr>
      <w:tr>
        <w:trPr>
          <w:trHeight w:val="24"/>
        </w:trPr>
        <w:tc>
          <w:tcPr>
            <w:tcW w:w="2520" w:type="dxa"/>
            <w:vAlign w:val="bottom"/>
          </w:tcPr>
          <w:p>
            <w:pPr>
              <w:spacing w:after="0"/>
              <w:rPr>
                <w:sz w:val="2"/>
                <w:szCs w:val="2"/>
                <w:color w:val="auto"/>
              </w:rPr>
            </w:pPr>
          </w:p>
        </w:tc>
        <w:tc>
          <w:tcPr>
            <w:tcW w:w="2620" w:type="dxa"/>
            <w:vAlign w:val="bottom"/>
            <w:gridSpan w:val="6"/>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3"/>
        </w:trPr>
        <w:tc>
          <w:tcPr>
            <w:tcW w:w="2520" w:type="dxa"/>
            <w:vAlign w:val="bottom"/>
          </w:tcPr>
          <w:p>
            <w:pPr>
              <w:spacing w:after="0"/>
              <w:rPr>
                <w:sz w:val="15"/>
                <w:szCs w:val="15"/>
                <w:color w:val="auto"/>
              </w:rPr>
            </w:pPr>
          </w:p>
        </w:tc>
        <w:tc>
          <w:tcPr>
            <w:tcW w:w="2520" w:type="dxa"/>
            <w:vAlign w:val="bottom"/>
            <w:tcBorders>
              <w:top w:val="single" w:sz="8" w:color="auto"/>
            </w:tcBorders>
            <w:gridSpan w:val="5"/>
          </w:tcPr>
          <w:p>
            <w:pPr>
              <w:jc w:val="right"/>
              <w:ind w:right="598"/>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Insurance</w:t>
            </w:r>
          </w:p>
        </w:tc>
        <w:tc>
          <w:tcPr>
            <w:tcW w:w="760" w:type="dxa"/>
            <w:vAlign w:val="bottom"/>
            <w:shd w:val="clear" w:color="auto" w:fill="CCEEFF"/>
          </w:tcPr>
          <w:p>
            <w:pPr>
              <w:jc w:val="right"/>
              <w:ind w:right="583"/>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210.7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w:t>
            </w: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19.1 %</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35.7 %</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37.7 %</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23"/>
        </w:trPr>
        <w:tc>
          <w:tcPr>
            <w:tcW w:w="2520" w:type="dxa"/>
            <w:vAlign w:val="bottom"/>
          </w:tcPr>
          <w:p>
            <w:pPr>
              <w:ind w:left="20"/>
              <w:spacing w:after="0"/>
              <w:rPr>
                <w:sz w:val="20"/>
                <w:szCs w:val="20"/>
                <w:color w:val="auto"/>
              </w:rPr>
            </w:pPr>
            <w:r>
              <w:rPr>
                <w:rFonts w:ascii="Arial" w:cs="Arial" w:eastAsia="Arial" w:hAnsi="Arial"/>
                <w:sz w:val="17"/>
                <w:szCs w:val="17"/>
                <w:color w:val="auto"/>
              </w:rPr>
              <w:t>Healthcare</w:t>
            </w:r>
          </w:p>
        </w:tc>
        <w:tc>
          <w:tcPr>
            <w:tcW w:w="7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0.2</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0.6 %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27.2 %</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39.3 %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(12.1)%</w:t>
            </w:r>
          </w:p>
        </w:tc>
      </w:tr>
      <w:tr>
        <w:trPr>
          <w:trHeight w:val="223"/>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Emerging Business</w:t>
            </w: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23"/>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Analytics</w:t>
            </w:r>
          </w:p>
        </w:tc>
        <w:tc>
          <w:tcPr>
            <w:tcW w:w="7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303.3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92.0</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43.4 %</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36.4 %</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36.8 %</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r>
      <w:tr>
        <w:trPr>
          <w:trHeight w:val="241"/>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659.2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152.0</w:t>
            </w: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29.9 %</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36.5 %</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38.6 %</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81"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For the nine months ended September 30, 2022, cost of revenues was $659.2 million compared to $507.2 million for the nine months ended September 30, 2021, an increase of $152.0 million, or 29.9%. Our gross margin for the nine months ended September 30, 2022 was 36.5% compared to 38.6% for nine months ended September 30, 2021, a decrease of 210 bps.</w:t>
      </w:r>
    </w:p>
    <w:p>
      <w:pPr>
        <w:spacing w:after="0" w:line="198" w:lineRule="exact"/>
        <w:rPr>
          <w:sz w:val="20"/>
          <w:szCs w:val="20"/>
          <w:color w:val="auto"/>
        </w:rPr>
      </w:pPr>
    </w:p>
    <w:p>
      <w:pPr>
        <w:jc w:val="both"/>
        <w:ind w:firstLine="393"/>
        <w:spacing w:after="0" w:line="247" w:lineRule="auto"/>
        <w:rPr>
          <w:sz w:val="20"/>
          <w:szCs w:val="20"/>
          <w:color w:val="auto"/>
        </w:rPr>
      </w:pPr>
      <w:r>
        <w:rPr>
          <w:rFonts w:ascii="Arial" w:cs="Arial" w:eastAsia="Arial" w:hAnsi="Arial"/>
          <w:sz w:val="17"/>
          <w:szCs w:val="17"/>
          <w:color w:val="auto"/>
        </w:rPr>
        <w:t>The increase in cost of revenues in Insurance of $33.8 million during the nine months ended September 30, 2022 was primarily due to increases in employee-related costs of $32.8 million on account of higher headcount and wage inflation, higher technology costs of $5.1 million on account of increased leverage of the remote work model and higher travel costs of $1.1 million, partially offset by foreign exchange gain, net of hedging of $4.3 million and lower other operating costs of $0.9 million. Gross margin in Insurance decreased by 200 bps during the nine months ended September 30, 2022, compared to the nine months ended September 30, 2021, primarily due to lower margins associated with ramp-ups in certain new clients during the nine months ended September 30, 2022, compared to the nine months ended September 30, 2021.</w:t>
      </w:r>
    </w:p>
    <w:p>
      <w:pPr>
        <w:spacing w:after="0" w:line="209"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6"/>
          <w:szCs w:val="16"/>
          <w:color w:val="auto"/>
        </w:rPr>
        <w:t>The increase in cost of revenues in Healthcare of $0.2 million during the nine months ended September 30, 2022 was primarily due to increases in employee-related costs of $1.8 million on account of higher headcount in existing clients and wage inflation, partially offset by lower other operating costs of $0.8 million and foreign exchange gain, net of hedging of $0.8 million. Gross margin in Healthcare decreased by 1,210 bps during the nine months ended September 30, 2022, compared to the nine months ended September 30, 2021, primarily due to lower revenues and higher operating expenses associated with the ramp-down of certain existing clients during the nine months ended September 30, 2022, compared to the nine months ended September 30, 2021.</w:t>
      </w:r>
    </w:p>
    <w:p>
      <w:pPr>
        <w:spacing w:after="0" w:line="195" w:lineRule="exact"/>
        <w:rPr>
          <w:sz w:val="20"/>
          <w:szCs w:val="20"/>
          <w:color w:val="auto"/>
        </w:rPr>
      </w:pPr>
    </w:p>
    <w:p>
      <w:pPr>
        <w:jc w:val="both"/>
        <w:ind w:firstLine="393"/>
        <w:spacing w:after="0" w:line="266" w:lineRule="auto"/>
        <w:rPr>
          <w:sz w:val="20"/>
          <w:szCs w:val="20"/>
          <w:color w:val="auto"/>
        </w:rPr>
      </w:pPr>
      <w:r>
        <w:rPr>
          <w:rFonts w:ascii="Arial" w:cs="Arial" w:eastAsia="Arial" w:hAnsi="Arial"/>
          <w:sz w:val="16"/>
          <w:szCs w:val="16"/>
          <w:color w:val="auto"/>
        </w:rPr>
        <w:t>The increase in cost of revenues in Emerging Business of $26.0 million during the nine months ended September 30, 2022 was primarily due to increases in employee-related costs of $24.7 million on account of higher headcount and wage inflation, higher technology costs of $3.1 million on account of increased leverage of the remote work model, higher travel costs of $1.7 million, higher facilities costs of $0.5 million, partially offset by foreign exchange gain, net of hedging of $4.0 million. Gross margin in Emerging Business decreased by 340 bps during the nine months ended September 30, 2022, compared to the nine months ended September 30, 2021, primarily due to lower margins associated with ramp-ups in certain new clients, higher employee-related costs and higher operating expenses during the nine months ended September 30, 2022, compared to the nine months ended September 30, 2021.</w:t>
      </w:r>
    </w:p>
    <w:p>
      <w:pPr>
        <w:spacing w:after="0" w:line="193" w:lineRule="exact"/>
        <w:rPr>
          <w:sz w:val="20"/>
          <w:szCs w:val="20"/>
          <w:color w:val="auto"/>
        </w:rPr>
      </w:pPr>
    </w:p>
    <w:p>
      <w:pPr>
        <w:jc w:val="both"/>
        <w:ind w:firstLine="393"/>
        <w:spacing w:after="0" w:line="244" w:lineRule="auto"/>
        <w:rPr>
          <w:sz w:val="20"/>
          <w:szCs w:val="20"/>
          <w:color w:val="auto"/>
        </w:rPr>
      </w:pPr>
      <w:r>
        <w:rPr>
          <w:rFonts w:ascii="Arial" w:cs="Arial" w:eastAsia="Arial" w:hAnsi="Arial"/>
          <w:sz w:val="17"/>
          <w:szCs w:val="17"/>
          <w:color w:val="auto"/>
        </w:rPr>
        <w:t>The increase in cost of revenues in Analytics of $92.0 million during the nine months ended September 30, 2022 was primarily due to increases in employee-related costs of $85.5 million on account of higher headcount and wage inflation, including incremental cost related to our acquisition of Clairvoyant in December 2021. The remaining increase was attributable to higher travel costs of $3.2 million, higher technology costs of $2.5 million on account of increased leverage of the remote work model and higher other operating costs of $7.5 million. This was partially offset by foreign exchange gain, net of hedging of $6.7 million. Gross margin in Analytics decreased by 40 bps during the nine months ended September 30, 2022, compared to the nine months ended September 30, 2021, primarily due to increases in employee-related costs and higher operating expenses during the nine months ended September 30, 2022, compared to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Selling, General and Administrative (“SG&amp;A”) Expenses.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80" w:type="dxa"/>
            <w:vAlign w:val="bottom"/>
          </w:tcPr>
          <w:p>
            <w:pPr>
              <w:spacing w:after="0"/>
              <w:rPr>
                <w:sz w:val="15"/>
                <w:szCs w:val="15"/>
                <w:color w:val="auto"/>
              </w:rPr>
            </w:pPr>
          </w:p>
        </w:tc>
        <w:tc>
          <w:tcPr>
            <w:tcW w:w="270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40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6"/>
              </w:rPr>
              <w:t>Percentage change</w:t>
            </w:r>
          </w:p>
        </w:tc>
        <w:tc>
          <w:tcPr>
            <w:tcW w:w="0" w:type="dxa"/>
            <w:vAlign w:val="bottom"/>
          </w:tcPr>
          <w:p>
            <w:pPr>
              <w:spacing w:after="0"/>
              <w:rPr>
                <w:sz w:val="1"/>
                <w:szCs w:val="1"/>
                <w:color w:val="auto"/>
              </w:rPr>
            </w:pPr>
          </w:p>
        </w:tc>
      </w:tr>
      <w:tr>
        <w:trPr>
          <w:trHeight w:val="183"/>
        </w:trPr>
        <w:tc>
          <w:tcPr>
            <w:tcW w:w="5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gridSpan w:val="3"/>
          </w:tcPr>
          <w:p>
            <w:pPr>
              <w:jc w:val="right"/>
              <w:ind w:right="378"/>
              <w:spacing w:after="0"/>
              <w:rPr>
                <w:sz w:val="20"/>
                <w:szCs w:val="20"/>
                <w:color w:val="auto"/>
              </w:rPr>
            </w:pPr>
            <w:r>
              <w:rPr>
                <w:rFonts w:ascii="Arial" w:cs="Arial" w:eastAsia="Arial" w:hAnsi="Arial"/>
                <w:sz w:val="14"/>
                <w:szCs w:val="14"/>
                <w:b w:val="1"/>
                <w:bCs w:val="1"/>
                <w:color w:val="auto"/>
              </w:rPr>
              <w:t>(dollars in millions)</w:t>
            </w: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9"/>
              </w:rPr>
              <w:t>122.9</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78"/>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93"/>
              </w:rPr>
              <w:t>103.4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18.9 %</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Selling and marketing expenses</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72.0</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59.7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20.8 %</w:t>
            </w:r>
          </w:p>
        </w:tc>
        <w:tc>
          <w:tcPr>
            <w:tcW w:w="0" w:type="dxa"/>
            <w:vAlign w:val="bottom"/>
          </w:tcPr>
          <w:p>
            <w:pPr>
              <w:spacing w:after="0"/>
              <w:rPr>
                <w:sz w:val="1"/>
                <w:szCs w:val="1"/>
                <w:color w:val="auto"/>
              </w:rPr>
            </w:pPr>
          </w:p>
        </w:tc>
      </w:tr>
      <w:tr>
        <w:trPr>
          <w:trHeight w:val="241"/>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9"/>
              </w:rPr>
              <w:t>194.9</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8"/>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93"/>
              </w:rPr>
              <w:t>163.1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19.6 %</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As a percentage of revenues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8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18.8 %</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19.7 %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7"/>
          <w:szCs w:val="17"/>
          <w:color w:val="auto"/>
        </w:rPr>
        <w:t>The increase in SG&amp;A expenses of $31.8 million was primarily due to higher employee-related costs of $28.2 million on account of a higher headcount and wage inflation, including incremental costs related to our acquisition of Clairvoyant in December 2021, increase in technology costs of $7.6 million on account of continued investments in digital capabilities and higher other operating costs of $1.4 million, partially offset by foreign exchange gain, net of hedging of $3.2 million, during the nine months ended September 30, 2022 and COVID-19 related expenses of $2.2 million during the nine months ended September 30, 2021.</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80" w:type="dxa"/>
            <w:vAlign w:val="bottom"/>
          </w:tcPr>
          <w:p>
            <w:pPr>
              <w:spacing w:after="0"/>
              <w:rPr>
                <w:sz w:val="15"/>
                <w:szCs w:val="15"/>
                <w:color w:val="auto"/>
              </w:rPr>
            </w:pPr>
          </w:p>
        </w:tc>
        <w:tc>
          <w:tcPr>
            <w:tcW w:w="3120" w:type="dxa"/>
            <w:vAlign w:val="bottom"/>
            <w:gridSpan w:val="6"/>
          </w:tcPr>
          <w:p>
            <w:pPr>
              <w:ind w:left="50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62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83"/>
        </w:trPr>
        <w:tc>
          <w:tcPr>
            <w:tcW w:w="5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jc w:val="right"/>
              <w:ind w:right="318"/>
              <w:spacing w:after="0"/>
              <w:rPr>
                <w:sz w:val="20"/>
                <w:szCs w:val="20"/>
                <w:color w:val="auto"/>
              </w:rPr>
            </w:pPr>
            <w:r>
              <w:rPr>
                <w:rFonts w:ascii="Arial" w:cs="Arial" w:eastAsia="Arial" w:hAnsi="Arial"/>
                <w:sz w:val="14"/>
                <w:szCs w:val="14"/>
                <w:b w:val="1"/>
                <w:bCs w:val="1"/>
                <w:color w:val="auto"/>
                <w:w w:val="90"/>
              </w:rPr>
              <w:t>(dollars in millions)</w:t>
            </w: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expense</w:t>
            </w: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29.2</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78"/>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90"/>
              </w:rPr>
              <w:t>26.9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8.3 %</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Intangible amortization expense</w:t>
            </w: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12.9</w:t>
            </w: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9.8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31.6 %</w:t>
            </w:r>
          </w:p>
        </w:tc>
        <w:tc>
          <w:tcPr>
            <w:tcW w:w="0" w:type="dxa"/>
            <w:vAlign w:val="bottom"/>
          </w:tcPr>
          <w:p>
            <w:pPr>
              <w:spacing w:after="0"/>
              <w:rPr>
                <w:sz w:val="1"/>
                <w:szCs w:val="1"/>
                <w:color w:val="auto"/>
              </w:rPr>
            </w:pPr>
          </w:p>
        </w:tc>
      </w:tr>
      <w:tr>
        <w:trPr>
          <w:trHeight w:val="241"/>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and amortization expense</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42.1</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8"/>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90"/>
              </w:rPr>
              <w:t>36.7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14.5 %</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As a percentage of revenues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8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4.1 %</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4.4 %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ind w:firstLine="393"/>
        <w:spacing w:after="0" w:line="244" w:lineRule="auto"/>
        <w:rPr>
          <w:sz w:val="20"/>
          <w:szCs w:val="20"/>
          <w:color w:val="auto"/>
        </w:rPr>
      </w:pPr>
      <w:r>
        <w:rPr>
          <w:rFonts w:ascii="Arial" w:cs="Arial" w:eastAsia="Arial" w:hAnsi="Arial"/>
          <w:sz w:val="17"/>
          <w:szCs w:val="17"/>
          <w:color w:val="auto"/>
        </w:rPr>
        <w:t>The increase in intangibles amortization expense of $3.1 million was primarily due to amortization of intangibles associated with our acquisition of Clairvoyant and Inbound in December 2021 and June 2022, respectively, partially offset by decrease in intangibles amortization expense due to end of useful lives for certain intangible assets during the nine months ended September 30, 2022, compared to the nine months ended September 30, 2021. The increase in depreciation expense of $2.3 million was primarily due to depreciation of $3.0 million related to our investments in digital capabilities and computer and networking equipment, partially offset by foreign exchange gain, net of hedging of $0.7 million during the nine months ended September 30, 2022, compared to the nine months ended September 30, 2021.</w:t>
      </w:r>
    </w:p>
    <w:p>
      <w:pPr>
        <w:spacing w:after="0" w:line="224" w:lineRule="exact"/>
        <w:rPr>
          <w:sz w:val="20"/>
          <w:szCs w:val="20"/>
          <w:color w:val="auto"/>
        </w:rPr>
      </w:pPr>
    </w:p>
    <w:p>
      <w:pPr>
        <w:jc w:val="both"/>
        <w:ind w:firstLine="402"/>
        <w:spacing w:after="0" w:line="268" w:lineRule="auto"/>
        <w:rPr>
          <w:sz w:val="20"/>
          <w:szCs w:val="20"/>
          <w:color w:val="auto"/>
        </w:rPr>
      </w:pPr>
      <w:r>
        <w:rPr>
          <w:rFonts w:ascii="Arial" w:cs="Arial" w:eastAsia="Arial" w:hAnsi="Arial"/>
          <w:sz w:val="17"/>
          <w:szCs w:val="17"/>
          <w:b w:val="1"/>
          <w:bCs w:val="1"/>
          <w:i w:val="1"/>
          <w:iCs w:val="1"/>
          <w:color w:val="auto"/>
        </w:rPr>
        <w:t xml:space="preserve">Income from Operations. </w:t>
      </w:r>
      <w:r>
        <w:rPr>
          <w:rFonts w:ascii="Arial" w:cs="Arial" w:eastAsia="Arial" w:hAnsi="Arial"/>
          <w:sz w:val="17"/>
          <w:szCs w:val="17"/>
          <w:color w:val="auto"/>
        </w:rPr>
        <w:t>Income from operations increased by $21.3 million, or 17.8%, from $119.8 million for the nine months ended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to $141.1 million for the nine months ended September 30, 2022, primarily due to higher revenues, partially offset by higher cost of revenues and higher SG&amp;A expenses during the nine months ended September 30, 2022. As a percentage of revenues, income from operations decreased from 14.5% for the nine months ended September 30, 2021 to 13.6% for the nine months ended September 30, 2022.</w:t>
      </w:r>
    </w:p>
    <w:p>
      <w:pPr>
        <w:spacing w:after="0" w:line="202"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b w:val="1"/>
          <w:bCs w:val="1"/>
          <w:i w:val="1"/>
          <w:iCs w:val="1"/>
          <w:color w:val="auto"/>
        </w:rPr>
        <w:t xml:space="preserve">Foreign Exchange Gain/(Loss). </w:t>
      </w:r>
      <w:r>
        <w:rPr>
          <w:rFonts w:ascii="Arial" w:cs="Arial" w:eastAsia="Arial" w:hAnsi="Arial"/>
          <w:sz w:val="17"/>
          <w:szCs w:val="17"/>
          <w:color w:val="auto"/>
        </w:rPr>
        <w:t>Foreign exchange gains and losses are primarily attributable to the movement of the U.S. dollar against the Indian rupee,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U.K. pound sterling, the Philippine peso and the South African ZAR during the nine months ended September 30, 2022. The average exchange rate of the U.S. dollar against the Indian rupee increased from 73.57 during the nine months ended September 30, 2021 to 77.65 during the nine months ended September 30, 2022. The average exchange rate of the U.K. pound sterling against the U.S. dollar decreased from 1.38 during the nine months ended September 30, 2021 to 1.25 during the nine months ended September 30, 2022. The average exchange rate of the U.S. dollar against the Philippine peso increased from 48.94 during the nine months ended September 30, 2021 to 53.71 during the nine months ended September 30, 2022. The average exchange rate of the U.S. dollar against the South African ZAR increased from 14.64 during the nine months ended September 30, 2021 to 16.10 during the nine months ended September 30, 2022.</w:t>
      </w:r>
    </w:p>
    <w:p>
      <w:pPr>
        <w:spacing w:after="0" w:line="207"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We recorded a net foreign exchange gain of $4.7 million for the nine months ended September 30, 2022, compared to the net foreign exchange gain of $3.0 million for the nine months ended September 30, 2021.</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402"/>
        <w:spacing w:after="0" w:line="253"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decreased from $6.8 million for the nine months ended September 30, 2021 to $4.8 million for the nine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2022, primarily due to the settlement of outstanding obligations under the Notes (as defined under Note 18 – Borrowings-Convertible Senior Notes to our unaudited consolidated financial statements”) on August 27, 2021, partially offset by higher outstanding obligations under our revolving Credit Facility bearing a relatively lower effective interest rate as compared to the Notes during the nine months ended September 30, 2022, compared to the nine months ended September 30, 2021.</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Other Income, net.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900" w:type="dxa"/>
            <w:vAlign w:val="bottom"/>
          </w:tcPr>
          <w:p>
            <w:pPr>
              <w:spacing w:after="0"/>
              <w:rPr>
                <w:sz w:val="15"/>
                <w:szCs w:val="15"/>
                <w:color w:val="auto"/>
              </w:rPr>
            </w:pPr>
          </w:p>
        </w:tc>
        <w:tc>
          <w:tcPr>
            <w:tcW w:w="2840" w:type="dxa"/>
            <w:vAlign w:val="bottom"/>
            <w:gridSpan w:val="6"/>
          </w:tcPr>
          <w:p>
            <w:pPr>
              <w:ind w:left="34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9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3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1"/>
              </w:rPr>
              <w:t>Percentage change</w:t>
            </w:r>
          </w:p>
        </w:tc>
        <w:tc>
          <w:tcPr>
            <w:tcW w:w="0" w:type="dxa"/>
            <w:vAlign w:val="bottom"/>
          </w:tcPr>
          <w:p>
            <w:pPr>
              <w:spacing w:after="0"/>
              <w:rPr>
                <w:sz w:val="1"/>
                <w:szCs w:val="1"/>
                <w:color w:val="auto"/>
              </w:rPr>
            </w:pPr>
          </w:p>
        </w:tc>
      </w:tr>
      <w:tr>
        <w:trPr>
          <w:trHeight w:val="183"/>
        </w:trPr>
        <w:tc>
          <w:tcPr>
            <w:tcW w:w="590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Gain on sale and mark-to-market of mutual funds and money market funds</w:t>
            </w:r>
          </w:p>
        </w:tc>
        <w:tc>
          <w:tcPr>
            <w:tcW w:w="940" w:type="dxa"/>
            <w:vAlign w:val="bottom"/>
            <w:tcBorders>
              <w:top w:val="single" w:sz="8" w:color="auto"/>
            </w:tcBorders>
            <w:shd w:val="clear" w:color="auto" w:fill="CCEEFF"/>
          </w:tcPr>
          <w:p>
            <w:pPr>
              <w:jc w:val="right"/>
              <w:ind w:right="761"/>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shd w:val="clear" w:color="auto" w:fill="CCEEFF"/>
          </w:tcPr>
          <w:p>
            <w:pPr>
              <w:jc w:val="center"/>
              <w:ind w:left="33"/>
              <w:spacing w:after="0"/>
              <w:rPr>
                <w:sz w:val="20"/>
                <w:szCs w:val="20"/>
                <w:color w:val="auto"/>
              </w:rPr>
            </w:pPr>
            <w:r>
              <w:rPr>
                <w:rFonts w:ascii="Arial" w:cs="Arial" w:eastAsia="Arial" w:hAnsi="Arial"/>
                <w:sz w:val="17"/>
                <w:szCs w:val="17"/>
                <w:color w:val="auto"/>
                <w:w w:val="92"/>
              </w:rPr>
              <w:t>3.4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center"/>
              <w:ind w:left="476"/>
              <w:spacing w:after="0"/>
              <w:rPr>
                <w:sz w:val="20"/>
                <w:szCs w:val="20"/>
                <w:color w:val="auto"/>
              </w:rPr>
            </w:pPr>
            <w:r>
              <w:rPr>
                <w:rFonts w:ascii="Arial" w:cs="Arial" w:eastAsia="Arial" w:hAnsi="Arial"/>
                <w:sz w:val="17"/>
                <w:szCs w:val="17"/>
                <w:color w:val="auto"/>
                <w:w w:val="92"/>
              </w:rPr>
              <w:t>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center"/>
              <w:ind w:left="416"/>
              <w:spacing w:after="0"/>
              <w:rPr>
                <w:sz w:val="20"/>
                <w:szCs w:val="20"/>
                <w:color w:val="auto"/>
              </w:rPr>
            </w:pPr>
            <w:r>
              <w:rPr>
                <w:rFonts w:ascii="Arial" w:cs="Arial" w:eastAsia="Arial" w:hAnsi="Arial"/>
                <w:sz w:val="17"/>
                <w:szCs w:val="17"/>
                <w:color w:val="auto"/>
                <w:w w:val="97"/>
              </w:rPr>
              <w:t>(0.5)</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7"/>
                <w:szCs w:val="17"/>
                <w:color w:val="auto"/>
              </w:rPr>
              <w:t>Interest and dividend income</w:t>
            </w:r>
          </w:p>
        </w:tc>
        <w:tc>
          <w:tcPr>
            <w:tcW w:w="940" w:type="dxa"/>
            <w:vAlign w:val="bottom"/>
          </w:tcPr>
          <w:p>
            <w:pPr>
              <w:spacing w:after="0"/>
              <w:rPr>
                <w:sz w:val="19"/>
                <w:szCs w:val="19"/>
                <w:color w:val="auto"/>
              </w:rPr>
            </w:pPr>
          </w:p>
        </w:tc>
        <w:tc>
          <w:tcPr>
            <w:tcW w:w="460" w:type="dxa"/>
            <w:vAlign w:val="bottom"/>
          </w:tcPr>
          <w:p>
            <w:pPr>
              <w:jc w:val="center"/>
              <w:ind w:left="33"/>
              <w:spacing w:after="0"/>
              <w:rPr>
                <w:sz w:val="20"/>
                <w:szCs w:val="20"/>
                <w:color w:val="auto"/>
              </w:rPr>
            </w:pPr>
            <w:r>
              <w:rPr>
                <w:rFonts w:ascii="Arial" w:cs="Arial" w:eastAsia="Arial" w:hAnsi="Arial"/>
                <w:sz w:val="17"/>
                <w:szCs w:val="17"/>
                <w:color w:val="auto"/>
                <w:w w:val="92"/>
              </w:rPr>
              <w:t>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center"/>
              <w:ind w:left="476"/>
              <w:spacing w:after="0"/>
              <w:rPr>
                <w:sz w:val="20"/>
                <w:szCs w:val="20"/>
                <w:color w:val="auto"/>
              </w:rPr>
            </w:pPr>
            <w:r>
              <w:rPr>
                <w:rFonts w:ascii="Arial" w:cs="Arial" w:eastAsia="Arial" w:hAnsi="Arial"/>
                <w:sz w:val="17"/>
                <w:szCs w:val="17"/>
                <w:color w:val="auto"/>
                <w:w w:val="92"/>
              </w:rPr>
              <w:t>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center"/>
              <w:ind w:left="456"/>
              <w:spacing w:after="0"/>
              <w:rPr>
                <w:sz w:val="20"/>
                <w:szCs w:val="20"/>
                <w:color w:val="auto"/>
              </w:rPr>
            </w:pPr>
            <w:r>
              <w:rPr>
                <w:rFonts w:ascii="Arial" w:cs="Arial" w:eastAsia="Arial" w:hAnsi="Arial"/>
                <w:sz w:val="17"/>
                <w:szCs w:val="17"/>
                <w:color w:val="auto"/>
                <w:w w:val="92"/>
              </w:rPr>
              <w:t>1.6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79.0 %</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net</w:t>
            </w:r>
          </w:p>
        </w:tc>
        <w:tc>
          <w:tcPr>
            <w:tcW w:w="9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7"/>
              </w:rPr>
              <w:t>(2.6)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left="456"/>
              <w:spacing w:after="0"/>
              <w:rPr>
                <w:sz w:val="20"/>
                <w:szCs w:val="20"/>
                <w:color w:val="auto"/>
              </w:rPr>
            </w:pPr>
            <w:r>
              <w:rPr>
                <w:rFonts w:ascii="Arial" w:cs="Arial" w:eastAsia="Arial" w:hAnsi="Arial"/>
                <w:sz w:val="17"/>
                <w:szCs w:val="17"/>
                <w:color w:val="auto"/>
                <w:w w:val="91"/>
              </w:rPr>
              <w:t>(0.7)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416"/>
              <w:spacing w:after="0"/>
              <w:rPr>
                <w:sz w:val="20"/>
                <w:szCs w:val="20"/>
                <w:color w:val="auto"/>
              </w:rPr>
            </w:pPr>
            <w:r>
              <w:rPr>
                <w:rFonts w:ascii="Arial" w:cs="Arial" w:eastAsia="Arial" w:hAnsi="Arial"/>
                <w:sz w:val="17"/>
                <w:szCs w:val="17"/>
                <w:color w:val="auto"/>
                <w:w w:val="97"/>
              </w:rPr>
              <w:t>(1.9)</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261.1 %</w:t>
            </w: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7"/>
                <w:szCs w:val="17"/>
                <w:color w:val="auto"/>
              </w:rPr>
              <w:t>Other income, net</w:t>
            </w: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jc w:val="center"/>
              <w:ind w:left="33"/>
              <w:spacing w:after="0"/>
              <w:rPr>
                <w:sz w:val="20"/>
                <w:szCs w:val="20"/>
                <w:color w:val="auto"/>
              </w:rPr>
            </w:pPr>
            <w:r>
              <w:rPr>
                <w:rFonts w:ascii="Arial" w:cs="Arial" w:eastAsia="Arial" w:hAnsi="Arial"/>
                <w:sz w:val="17"/>
                <w:szCs w:val="17"/>
                <w:color w:val="auto"/>
                <w:w w:val="92"/>
              </w:rPr>
              <w:t>4.5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center"/>
              <w:ind w:left="476"/>
              <w:spacing w:after="0"/>
              <w:rPr>
                <w:sz w:val="20"/>
                <w:szCs w:val="20"/>
                <w:color w:val="auto"/>
              </w:rPr>
            </w:pPr>
            <w:r>
              <w:rPr>
                <w:rFonts w:ascii="Arial" w:cs="Arial" w:eastAsia="Arial" w:hAnsi="Arial"/>
                <w:sz w:val="17"/>
                <w:szCs w:val="17"/>
                <w:color w:val="auto"/>
                <w:w w:val="92"/>
              </w:rPr>
              <w:t>5.3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center"/>
              <w:ind w:left="416"/>
              <w:spacing w:after="0"/>
              <w:rPr>
                <w:sz w:val="20"/>
                <w:szCs w:val="20"/>
                <w:color w:val="auto"/>
              </w:rPr>
            </w:pPr>
            <w:r>
              <w:rPr>
                <w:rFonts w:ascii="Arial" w:cs="Arial" w:eastAsia="Arial" w:hAnsi="Arial"/>
                <w:sz w:val="17"/>
                <w:szCs w:val="17"/>
                <w:color w:val="auto"/>
                <w:w w:val="97"/>
              </w:rPr>
              <w:t>(0.8)</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ind w:firstLine="393"/>
        <w:spacing w:after="0" w:line="278" w:lineRule="auto"/>
        <w:rPr>
          <w:sz w:val="20"/>
          <w:szCs w:val="20"/>
          <w:color w:val="auto"/>
        </w:rPr>
      </w:pPr>
      <w:r>
        <w:rPr>
          <w:rFonts w:ascii="Arial" w:cs="Arial" w:eastAsia="Arial" w:hAnsi="Arial"/>
          <w:sz w:val="16"/>
          <w:szCs w:val="16"/>
          <w:color w:val="auto"/>
        </w:rPr>
        <w:t>Other income, net decreased by $0.8 million, from $5.3 million for the nine months ended September 30, 2021 to $4.5 million for the nine months ended September 30, 2022. The decrease is primarily due to a fair value adjustment to recognize an increase in contingent consideration liability of $1.0 million related to our acquisition of Clairvoyant in December 2021, interest on statutory payments of $0.7 million, and lower return on mutual fund investments of $0.5 million, partially offset by higher interest income on investments in term deposits of $0.9 million and interest on income tax refunds of $0.7 million.</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 xml:space="preserve">Loss on settlement of Notes. </w:t>
      </w:r>
      <w:r>
        <w:rPr>
          <w:rFonts w:ascii="Arial" w:cs="Arial" w:eastAsia="Arial" w:hAnsi="Arial"/>
          <w:sz w:val="17"/>
          <w:szCs w:val="17"/>
          <w:color w:val="auto"/>
        </w:rPr>
        <w:t>On August 27, 2021, we settled our outstanding obligations under the Notes and recognized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loss of $12.8 million during the nine months ended September 30, 2021. See Note 18 - Borrowings to our unaudited consolidated financial statements.</w:t>
      </w:r>
    </w:p>
    <w:p>
      <w:pPr>
        <w:spacing w:after="0" w:line="235" w:lineRule="exact"/>
        <w:rPr>
          <w:sz w:val="20"/>
          <w:szCs w:val="20"/>
          <w:color w:val="auto"/>
        </w:rPr>
      </w:pPr>
    </w:p>
    <w:p>
      <w:pPr>
        <w:jc w:val="both"/>
        <w:ind w:firstLine="402"/>
        <w:spacing w:after="0" w:line="247" w:lineRule="auto"/>
        <w:rPr>
          <w:sz w:val="20"/>
          <w:szCs w:val="20"/>
          <w:color w:val="auto"/>
        </w:rPr>
      </w:pPr>
      <w:r>
        <w:rPr>
          <w:rFonts w:ascii="Arial" w:cs="Arial" w:eastAsia="Arial" w:hAnsi="Arial"/>
          <w:sz w:val="17"/>
          <w:szCs w:val="17"/>
          <w:b w:val="1"/>
          <w:bCs w:val="1"/>
          <w:i w:val="1"/>
          <w:iCs w:val="1"/>
          <w:color w:val="auto"/>
        </w:rPr>
        <w:t xml:space="preserve">Income Tax Expense. </w:t>
      </w:r>
      <w:r>
        <w:rPr>
          <w:rFonts w:ascii="Arial" w:cs="Arial" w:eastAsia="Arial" w:hAnsi="Arial"/>
          <w:sz w:val="17"/>
          <w:szCs w:val="17"/>
          <w:color w:val="auto"/>
        </w:rPr>
        <w:t>The effective tax rate increased from 20.3% during the nine months ended September 30, 2021 to 23.9% during the nine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September 30, 2022. We recorded income tax expense of $34.8 million and $22.1 million for the nine months ended September 30, 2022 and 2021, respectively. The increase in income tax expense was primarily as a result of higher profit during the nine months ended September 30, 2022, compared to the nine months ended September 30, 2021, the recording of a one-time deferred tax benefit of $2.4 million on settlement of the Notes during the nine months ended September 30, 2021, and an increase in non-deductible expenses, partially offset by higher excess tax benefits during the nine months ended September 30, 2022.</w:t>
      </w:r>
    </w:p>
    <w:p>
      <w:pPr>
        <w:spacing w:after="0" w:line="209"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Net income increased from $86.4 million for the nine months ended September 30, 2021 to $111.1 million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2022, primarily due to increase in income from operations of $21.3 million, loss on settlement of the Notes of $12.8 million during three months ended September 30, 2021, lower interest expense of $2.0 million, higher foreign exchange gain, net of $1.7 million and higher gain from equity-method investment of $0.4 million, partially offset by higher income tax expense of $12.7 million and lower other income, net of $0.8 million. As a percentage of revenues, net income increased from 10.5% for the nine months ended September 30, 2021 to 10.7% for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253" w:lineRule="exact"/>
        <w:rPr>
          <w:sz w:val="20"/>
          <w:szCs w:val="20"/>
          <w:color w:val="auto"/>
        </w:rPr>
      </w:pPr>
    </w:p>
    <w:tbl>
      <w:tblPr>
        <w:tblLayout w:type="fixed"/>
        <w:tblInd w:w="640" w:type="dxa"/>
        <w:tblCellMar>
          <w:top w:w="0" w:type="dxa"/>
          <w:left w:w="0" w:type="dxa"/>
          <w:bottom w:w="0" w:type="dxa"/>
          <w:right w:w="0" w:type="dxa"/>
        </w:tblCellMar>
      </w:tblPr>
      <w:tr>
        <w:trPr>
          <w:trHeight w:val="183"/>
        </w:trPr>
        <w:tc>
          <w:tcPr>
            <w:tcW w:w="6740" w:type="dxa"/>
            <w:vAlign w:val="bottom"/>
          </w:tcPr>
          <w:p>
            <w:pPr>
              <w:spacing w:after="0"/>
              <w:rPr>
                <w:sz w:val="15"/>
                <w:szCs w:val="15"/>
                <w:color w:val="auto"/>
              </w:rPr>
            </w:pPr>
          </w:p>
        </w:tc>
        <w:tc>
          <w:tcPr>
            <w:tcW w:w="2940" w:type="dxa"/>
            <w:vAlign w:val="bottom"/>
            <w:gridSpan w:val="5"/>
          </w:tcPr>
          <w:p>
            <w:pPr>
              <w:jc w:val="right"/>
              <w:ind w:right="355"/>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67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3"/>
        </w:trPr>
        <w:tc>
          <w:tcPr>
            <w:tcW w:w="674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89"/>
              </w:rPr>
              <w:t>2021</w:t>
            </w:r>
          </w:p>
        </w:tc>
      </w:tr>
      <w:tr>
        <w:trPr>
          <w:trHeight w:val="190"/>
        </w:trPr>
        <w:tc>
          <w:tcPr>
            <w:tcW w:w="6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(dollars in millions)</w:t>
            </w:r>
          </w:p>
        </w:tc>
        <w:tc>
          <w:tcPr>
            <w:tcW w:w="860" w:type="dxa"/>
            <w:vAlign w:val="bottom"/>
          </w:tcPr>
          <w:p>
            <w:pPr>
              <w:spacing w:after="0"/>
              <w:rPr>
                <w:sz w:val="16"/>
                <w:szCs w:val="16"/>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Opening cash, cash equivalents and restricted cash</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143.8</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225.5</w:t>
            </w:r>
          </w:p>
        </w:tc>
      </w:tr>
      <w:tr>
        <w:trPr>
          <w:trHeight w:val="223"/>
        </w:trPr>
        <w:tc>
          <w:tcPr>
            <w:tcW w:w="6740" w:type="dxa"/>
            <w:vAlign w:val="bottom"/>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101.1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113.8</w:t>
            </w:r>
          </w:p>
        </w:tc>
      </w:tr>
      <w:tr>
        <w:trPr>
          <w:trHeight w:val="249"/>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for investing activities</w:t>
            </w: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r>
      <w:tr>
        <w:trPr>
          <w:trHeight w:val="223"/>
        </w:trPr>
        <w:tc>
          <w:tcPr>
            <w:tcW w:w="6740" w:type="dxa"/>
            <w:vAlign w:val="bottom"/>
          </w:tcPr>
          <w:p>
            <w:pPr>
              <w:ind w:left="20"/>
              <w:spacing w:after="0"/>
              <w:rPr>
                <w:sz w:val="20"/>
                <w:szCs w:val="20"/>
                <w:color w:val="auto"/>
              </w:rPr>
            </w:pPr>
            <w:r>
              <w:rPr>
                <w:rFonts w:ascii="Arial" w:cs="Arial" w:eastAsia="Arial" w:hAnsi="Arial"/>
                <w:sz w:val="17"/>
                <w:szCs w:val="17"/>
                <w:color w:val="auto"/>
              </w:rPr>
              <w:t>Net cash used for financing activities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(61.8)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(189.1)</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16"/>
        </w:trPr>
        <w:tc>
          <w:tcPr>
            <w:tcW w:w="6740" w:type="dxa"/>
            <w:vAlign w:val="bottom"/>
          </w:tcPr>
          <w:p>
            <w:pPr>
              <w:ind w:left="20"/>
              <w:spacing w:after="0"/>
              <w:rPr>
                <w:sz w:val="20"/>
                <w:szCs w:val="20"/>
                <w:color w:val="auto"/>
              </w:rPr>
            </w:pPr>
            <w:r>
              <w:rPr>
                <w:rFonts w:ascii="Arial" w:cs="Arial" w:eastAsia="Arial" w:hAnsi="Arial"/>
                <w:sz w:val="17"/>
                <w:szCs w:val="17"/>
                <w:color w:val="auto"/>
              </w:rPr>
              <w:t>Closing cash, cash equivalents and restricted cash</w:t>
            </w:r>
          </w:p>
        </w:tc>
        <w:tc>
          <w:tcPr>
            <w:tcW w:w="880" w:type="dxa"/>
            <w:vAlign w:val="bottom"/>
            <w:tcBorders>
              <w:bottom w:val="single" w:sz="8" w:color="auto"/>
            </w:tcBorders>
          </w:tcPr>
          <w:p>
            <w:pPr>
              <w:jc w:val="right"/>
              <w:ind w:right="681"/>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98.3</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123.7</w:t>
            </w:r>
          </w:p>
        </w:tc>
      </w:tr>
      <w:tr>
        <w:trPr>
          <w:trHeight w:val="20"/>
        </w:trPr>
        <w:tc>
          <w:tcPr>
            <w:tcW w:w="6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393"/>
        <w:spacing w:after="0" w:line="267" w:lineRule="auto"/>
        <w:rPr>
          <w:sz w:val="20"/>
          <w:szCs w:val="20"/>
          <w:color w:val="auto"/>
        </w:rPr>
      </w:pPr>
      <w:r>
        <w:rPr>
          <w:rFonts w:ascii="Arial" w:cs="Arial" w:eastAsia="Arial" w:hAnsi="Arial"/>
          <w:sz w:val="16"/>
          <w:szCs w:val="16"/>
          <w:color w:val="auto"/>
        </w:rPr>
        <w:t>As of September 30, 2022 and 2021, we had $262.2 million and $284.9 million, respectively, in cash, cash equivalents and short-term investments, of which $237.5 million and $254.8 million, respectively, is located in foreign jurisdictions that upon distribution may be subject to withholding and other taxes. We periodically evaluate opportunities regarding distribution to fund our operations in the United States and other geographies, and as and when we decide to distribute, we may have to accrue additional taxes in accordance with local tax laws, rules and regulations in the relevant foreign jurisdictions.</w:t>
      </w:r>
    </w:p>
    <w:p>
      <w:pPr>
        <w:spacing w:after="0" w:line="191"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Operating Activities: Net cash provided by operating activities was $101.1 million and $113.8 million for the nine months ended September 30, 2022 and 2021, respectively, reflecting higher working capital needs, offset by higher cash earnings. The major drivers contributing to the decrease of $12.7 million year-over-year included the following:</w:t>
      </w:r>
    </w:p>
    <w:p>
      <w:pPr>
        <w:spacing w:after="0" w:line="198" w:lineRule="exact"/>
        <w:rPr>
          <w:sz w:val="20"/>
          <w:szCs w:val="20"/>
          <w:color w:val="auto"/>
        </w:rPr>
      </w:pPr>
    </w:p>
    <w:p>
      <w:pPr>
        <w:jc w:val="both"/>
        <w:ind w:left="640" w:hanging="320"/>
        <w:spacing w:after="0" w:line="252"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decrease in accrued employee costs, offset by an increase in accrued expenses and other liabilities contributed to a lower cash flow of $33.3 million in the nine months ended September 30, 2022 compared to the nine months ended September 30, 2021. The decrease was primarily due to higher payments (net of accruals) of annual performance incentives of $43.0 million, offset by higher employee costs accruals of $4.9 million and higher accrued expenses of $4.8 million due to an increase in our cost base to support revenue growth.</w:t>
      </w:r>
    </w:p>
    <w:p>
      <w:pPr>
        <w:spacing w:after="0" w:line="201" w:lineRule="exact"/>
        <w:rPr>
          <w:rFonts w:ascii="Arial" w:cs="Arial" w:eastAsia="Arial" w:hAnsi="Arial"/>
          <w:sz w:val="17"/>
          <w:szCs w:val="17"/>
          <w:color w:val="auto"/>
        </w:rPr>
      </w:pPr>
    </w:p>
    <w:p>
      <w:pPr>
        <w:jc w:val="both"/>
        <w:ind w:left="640" w:hanging="320"/>
        <w:spacing w:after="0" w:line="257"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increase in net income of $24.7 million in the nine months ended September 30, 2022 compared to the nine months ended September 30, 2021, primarily due to an increase in income from operations of $21.3 million driven by higher revenues, lower interest expense of $2.0 million and higher foreign exchange gain, net of $1.7 million.</w:t>
      </w:r>
    </w:p>
    <w:p>
      <w:pPr>
        <w:spacing w:after="0" w:line="198" w:lineRule="exact"/>
        <w:rPr>
          <w:rFonts w:ascii="Arial" w:cs="Arial" w:eastAsia="Arial" w:hAnsi="Arial"/>
          <w:sz w:val="17"/>
          <w:szCs w:val="17"/>
          <w:color w:val="auto"/>
        </w:rPr>
      </w:pPr>
    </w:p>
    <w:p>
      <w:pPr>
        <w:ind w:left="640" w:hanging="320"/>
        <w:spacing w:after="0" w:line="257"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Other drivers decreasing cash flows during the nine months ended September 30, 2022 compared to the nine months ended September 30, 2021 included: income tax payments, net of refunds, of $4.1 million, primarily due to higher income tax payments on higher net income.</w:t>
      </w:r>
    </w:p>
    <w:p>
      <w:pPr>
        <w:spacing w:after="0" w:line="198"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Net cash used for investing activities was $75.2 million and $21.5 million for the nine months ended September 30, 2022 and 2021,</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The increase in net cash flows used for investing activities of $53.7 million is mainly due to higher net purchase of investments of $40.0 million during nine months ended September 30, 2022 compared to net redemption of investments of $6.7 million during the nine months ended September 30, 2021. The increase is also due to higher capital expenditures in infrastructure, technology assets, software and product developments of $3.7 million and acquisitions related payouts of $3.3 million during the nine months ended September 30, 2022.</w:t>
      </w:r>
    </w:p>
    <w:p>
      <w:pPr>
        <w:spacing w:after="0" w:line="206" w:lineRule="exact"/>
        <w:rPr>
          <w:sz w:val="20"/>
          <w:szCs w:val="20"/>
          <w:color w:val="auto"/>
        </w:rPr>
      </w:pPr>
    </w:p>
    <w:p>
      <w:pPr>
        <w:jc w:val="both"/>
        <w:ind w:firstLine="393"/>
        <w:spacing w:after="0" w:line="247"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Net cash used for financing activities was $61.8 million and $189.1 million during the nine months ended September 30, 2022 and</w:t>
      </w:r>
      <w:r>
        <w:rPr>
          <w:rFonts w:ascii="Arial" w:cs="Arial" w:eastAsia="Arial" w:hAnsi="Arial"/>
          <w:sz w:val="17"/>
          <w:szCs w:val="17"/>
          <w:i w:val="1"/>
          <w:iCs w:val="1"/>
          <w:color w:val="auto"/>
        </w:rPr>
        <w:t xml:space="preserve"> </w:t>
      </w:r>
      <w:r>
        <w:rPr>
          <w:rFonts w:ascii="Arial" w:cs="Arial" w:eastAsia="Arial" w:hAnsi="Arial"/>
          <w:sz w:val="17"/>
          <w:szCs w:val="17"/>
          <w:color w:val="auto"/>
        </w:rPr>
        <w:t>2021, respectively. The decrease of $127.2 million was primarily due to net proceeds of our borrowings under our revolving Credit Facility of $10.0 million during the nine months ended September 30, 2022 compared to net repayment of our borrowings of $104.0 million during the nine months ended September 30, 2021. The remaining decrease was attributable to lower purchases of treasury stock under our share repurchase program of $13.9 million during the nine months ended September 30, 2022 compared to the nine months ended September 30, 2021. This was partially offset by proceeds from the exercise of stock options by $0.7 million during the nine months ended September 30, 2021.</w:t>
      </w:r>
    </w:p>
    <w:p>
      <w:pPr>
        <w:spacing w:after="0" w:line="222"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We expect to use cash from operating activities to maintain and expand our business by making investments, primarily related to new facilities and capital expenditures associated with leasehold improvements to build our facilities, digital capabilities and purchase telecommunications equipment and computer hardware and software in connection with managing client operations.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We incurred $32.1 million of capital expenditures during the nine months ended September 30, 2022. We expect to incur total capital expenditures of between $37.0 million to $42.0 million in 2022, primarily to meet our growth requirements, including additions to our facilities as well as investments in technology applications, product development, digital technology, advanced automation, robotics and infrastructure.</w:t>
      </w:r>
    </w:p>
    <w:p>
      <w:pPr>
        <w:spacing w:after="0" w:line="192" w:lineRule="exact"/>
        <w:rPr>
          <w:sz w:val="20"/>
          <w:szCs w:val="20"/>
          <w:color w:val="auto"/>
        </w:rPr>
      </w:pPr>
    </w:p>
    <w:p>
      <w:pPr>
        <w:jc w:val="both"/>
        <w:ind w:firstLine="393"/>
        <w:spacing w:after="0" w:line="253" w:lineRule="auto"/>
        <w:rPr>
          <w:sz w:val="20"/>
          <w:szCs w:val="20"/>
          <w:color w:val="auto"/>
        </w:rPr>
      </w:pPr>
      <w:r>
        <w:rPr>
          <w:rFonts w:ascii="Arial" w:cs="Arial" w:eastAsia="Arial" w:hAnsi="Arial"/>
          <w:sz w:val="17"/>
          <w:szCs w:val="17"/>
          <w:color w:val="auto"/>
        </w:rPr>
        <w:t>In connection with any demand orders by the tax and/or other statutory authorities, that have been issued or may be issued against us or our subsidiaries, we may be required to deposit additional amounts with respect to such assessment orders (see Note 25 - Commitments and Contingencies to our unaudited consolidated financial statements herein for further details). We anticipate that we will continue to rely upon cash from operating activities to finance our working capital needs, capital expenditures and smaller acquisitions. If we have significant growth through acquisitions, we may need to obtain additional financing.</w:t>
      </w:r>
    </w:p>
    <w:p>
      <w:pPr>
        <w:spacing w:after="0" w:line="202" w:lineRule="exact"/>
        <w:rPr>
          <w:sz w:val="20"/>
          <w:szCs w:val="20"/>
          <w:color w:val="auto"/>
        </w:rPr>
      </w:pPr>
    </w:p>
    <w:p>
      <w:pPr>
        <w:jc w:val="both"/>
        <w:ind w:firstLine="393"/>
        <w:spacing w:after="0" w:line="244" w:lineRule="auto"/>
        <w:rPr>
          <w:sz w:val="20"/>
          <w:szCs w:val="20"/>
          <w:color w:val="auto"/>
        </w:rPr>
      </w:pPr>
      <w:r>
        <w:rPr>
          <w:rFonts w:ascii="Arial" w:cs="Arial" w:eastAsia="Arial" w:hAnsi="Arial"/>
          <w:sz w:val="17"/>
          <w:szCs w:val="17"/>
          <w:color w:val="auto"/>
        </w:rPr>
        <w:t>We believe that our existing cash, cash equivalents and short-term investments and sources of liquidity will be sufficient to satisfy our cash requirements over the next 12 months. Our future cash requirements will depend on many factors, including our rate of revenue growth, our investments in strategic initiatives, applications or technologies, operation centers and acquisition of complementary businesses, continued purchases under our board-authorized stock repurchase program, which may require the use of significant cash resources and/or additional financing. Although we anticipate that we will continue to rely upon cash from operating activities to finance most of our above mentioned requirements, if we have significant growth through acquisitions, we may need to obtain additional financing.</w:t>
      </w:r>
    </w:p>
    <w:p>
      <w:pPr>
        <w:spacing w:after="0" w:line="224" w:lineRule="exact"/>
        <w:rPr>
          <w:sz w:val="20"/>
          <w:szCs w:val="20"/>
          <w:color w:val="auto"/>
        </w:rPr>
      </w:pPr>
    </w:p>
    <w:p>
      <w:pPr>
        <w:jc w:val="both"/>
        <w:ind w:firstLine="393"/>
        <w:spacing w:after="0" w:line="278" w:lineRule="auto"/>
        <w:rPr>
          <w:sz w:val="20"/>
          <w:szCs w:val="20"/>
          <w:color w:val="auto"/>
        </w:rPr>
      </w:pPr>
      <w:r>
        <w:rPr>
          <w:rFonts w:ascii="Arial" w:cs="Arial" w:eastAsia="Arial" w:hAnsi="Arial"/>
          <w:sz w:val="16"/>
          <w:szCs w:val="16"/>
          <w:color w:val="auto"/>
        </w:rPr>
        <w:t>In the ordinary course of business, we enter into contracts and commitments that obligate us to make payments in the future. These obligations include borrowings, including interest obligations, purchase commitments, operating and finance lease commitments, employee benefit payments under Gratuity plans and uncertain tax positions. See Note 18 - Borrowings, Note 21 - Leases, and Note 25 - Commitments and Contingencies to our unaudited consolidated financial statements herein for further information on material cash requirements from known contractual and other obligations.</w:t>
      </w:r>
    </w:p>
    <w:p>
      <w:pPr>
        <w:spacing w:after="0" w:line="183"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In the ordinary course of business, we provide standby letters of credit to third parties primarily for facility leases. As of September 30, 2022 and December 31, 2021, we had outstanding letters of credit of $0.5 million, each, that were not recognized in our consolidated balance sheets. These are not reasonably likely to have a current or future material effect on our financial condition, revenues or expenses, results of operations, liquidity, capital expenditures or capital resources. We had no other off-balance sheet arrangements or obligations.</w:t>
      </w:r>
    </w:p>
    <w:p>
      <w:pPr>
        <w:spacing w:after="0" w:line="212"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The Coronavirus Aid, Relief, and Economic Security Act (the “CARES Act”) allows employers to defer the payment of the employer share of Federal Insurance Contributions Act (“FICA”) taxes for the period from April 1, 2020 and ending December 31, 2020. The deferred amount is payable as follows: (1) 50% of the deferred amount was paid on or before December 31, 2021 and (2) the remaining 50% of the deferred amount will be paid on or before December 31, 2022. Our deferred contributions, net of payments to FICA was $3.1 million as of September 30, 2022 and December 31, 2021, each, which will be paid on or before December 31, 2022.</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Arrangements (Debt Facility)</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summarizes our debt position: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of September 30,2022</w:t>
            </w:r>
          </w:p>
        </w:tc>
        <w:tc>
          <w:tcPr>
            <w:tcW w:w="180" w:type="dxa"/>
            <w:vAlign w:val="bottom"/>
          </w:tcPr>
          <w:p>
            <w:pPr>
              <w:spacing w:after="0"/>
              <w:rPr>
                <w:sz w:val="15"/>
                <w:szCs w:val="15"/>
                <w:color w:val="auto"/>
              </w:rPr>
            </w:pPr>
          </w:p>
        </w:tc>
        <w:tc>
          <w:tcPr>
            <w:tcW w:w="41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 December 31, 2021</w:t>
            </w:r>
          </w:p>
        </w:tc>
      </w:tr>
      <w:tr>
        <w:trPr>
          <w:trHeight w:val="24"/>
        </w:trPr>
        <w:tc>
          <w:tcPr>
            <w:tcW w:w="6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0" w:type="dxa"/>
            <w:vAlign w:val="bottom"/>
            <w:gridSpan w:val="5"/>
          </w:tcPr>
          <w:p>
            <w:pPr>
              <w:spacing w:after="0"/>
              <w:rPr>
                <w:sz w:val="2"/>
                <w:szCs w:val="2"/>
                <w:color w:val="auto"/>
              </w:rPr>
            </w:pPr>
          </w:p>
        </w:tc>
      </w:tr>
      <w:tr>
        <w:trPr>
          <w:trHeight w:val="183"/>
        </w:trPr>
        <w:tc>
          <w:tcPr>
            <w:tcW w:w="6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3860" w:type="dxa"/>
            <w:vAlign w:val="bottom"/>
            <w:tcBorders>
              <w:top w:val="single" w:sz="8" w:color="auto"/>
              <w:bottom w:val="single" w:sz="8" w:color="auto"/>
            </w:tcBorders>
            <w:gridSpan w:val="4"/>
          </w:tcPr>
          <w:p>
            <w:pPr>
              <w:jc w:val="right"/>
              <w:ind w:right="1357"/>
              <w:spacing w:after="0"/>
              <w:rPr>
                <w:sz w:val="20"/>
                <w:szCs w:val="20"/>
                <w:color w:val="auto"/>
              </w:rPr>
            </w:pPr>
            <w:r>
              <w:rPr>
                <w:rFonts w:ascii="Arial" w:cs="Arial" w:eastAsia="Arial" w:hAnsi="Arial"/>
                <w:sz w:val="14"/>
                <w:szCs w:val="14"/>
                <w:b w:val="1"/>
                <w:bCs w:val="1"/>
                <w:color w:val="auto"/>
              </w:rPr>
              <w:t>(dollars in millions)</w:t>
            </w:r>
          </w:p>
        </w:tc>
        <w:tc>
          <w:tcPr>
            <w:tcW w:w="2340" w:type="dxa"/>
            <w:vAlign w:val="bottom"/>
          </w:tcPr>
          <w:p>
            <w:pPr>
              <w:spacing w:after="0"/>
              <w:rPr>
                <w:sz w:val="15"/>
                <w:szCs w:val="15"/>
                <w:color w:val="auto"/>
              </w:rPr>
            </w:pPr>
          </w:p>
        </w:tc>
      </w:tr>
      <w:tr>
        <w:trPr>
          <w:trHeight w:val="190"/>
        </w:trPr>
        <w:tc>
          <w:tcPr>
            <w:tcW w:w="640" w:type="dxa"/>
            <w:vAlign w:val="bottom"/>
          </w:tcPr>
          <w:p>
            <w:pPr>
              <w:spacing w:after="0"/>
              <w:rPr>
                <w:sz w:val="16"/>
                <w:szCs w:val="16"/>
                <w:color w:val="auto"/>
              </w:rPr>
            </w:pPr>
          </w:p>
        </w:tc>
        <w:tc>
          <w:tcPr>
            <w:tcW w:w="4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4"/>
          </w:tcPr>
          <w:p>
            <w:pPr>
              <w:jc w:val="right"/>
              <w:ind w:right="1497"/>
              <w:spacing w:after="0"/>
              <w:rPr>
                <w:sz w:val="20"/>
                <w:szCs w:val="20"/>
                <w:color w:val="auto"/>
              </w:rPr>
            </w:pPr>
            <w:r>
              <w:rPr>
                <w:rFonts w:ascii="Arial" w:cs="Arial" w:eastAsia="Arial" w:hAnsi="Arial"/>
                <w:sz w:val="14"/>
                <w:szCs w:val="14"/>
                <w:b w:val="1"/>
                <w:bCs w:val="1"/>
                <w:color w:val="auto"/>
              </w:rPr>
              <w:t>Credit Facility</w:t>
            </w:r>
          </w:p>
        </w:tc>
        <w:tc>
          <w:tcPr>
            <w:tcW w:w="2340" w:type="dxa"/>
            <w:vAlign w:val="bottom"/>
          </w:tcPr>
          <w:p>
            <w:pPr>
              <w:spacing w:after="0"/>
              <w:rPr>
                <w:sz w:val="16"/>
                <w:szCs w:val="16"/>
                <w:color w:val="auto"/>
              </w:rPr>
            </w:pPr>
          </w:p>
        </w:tc>
      </w:tr>
      <w:tr>
        <w:trPr>
          <w:trHeight w:val="223"/>
        </w:trPr>
        <w:tc>
          <w:tcPr>
            <w:tcW w:w="640" w:type="dxa"/>
            <w:vAlign w:val="bottom"/>
          </w:tcPr>
          <w:p>
            <w:pPr>
              <w:spacing w:after="0"/>
              <w:rPr>
                <w:sz w:val="19"/>
                <w:szCs w:val="19"/>
                <w:color w:val="auto"/>
              </w:rPr>
            </w:pPr>
          </w:p>
        </w:tc>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portion of long-term borrowings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260.0</w:t>
            </w:r>
          </w:p>
        </w:tc>
        <w:tc>
          <w:tcPr>
            <w:tcW w:w="2340" w:type="dxa"/>
            <w:vAlign w:val="bottom"/>
          </w:tcPr>
          <w:p>
            <w:pPr>
              <w:spacing w:after="0"/>
              <w:rPr>
                <w:sz w:val="19"/>
                <w:szCs w:val="19"/>
                <w:color w:val="auto"/>
              </w:rPr>
            </w:pPr>
          </w:p>
        </w:tc>
      </w:tr>
      <w:tr>
        <w:trPr>
          <w:trHeight w:val="485"/>
        </w:trPr>
        <w:tc>
          <w:tcPr>
            <w:tcW w:w="64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Arial" w:cs="Arial" w:eastAsia="Arial" w:hAnsi="Arial"/>
                <w:sz w:val="17"/>
                <w:szCs w:val="17"/>
                <w:color w:val="auto"/>
              </w:rPr>
              <w:t>Long-term borrowings</w:t>
            </w:r>
          </w:p>
        </w:tc>
        <w:tc>
          <w:tcPr>
            <w:tcW w:w="1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235.0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40" w:type="dxa"/>
            <w:vAlign w:val="bottom"/>
            <w:gridSpan w:val="2"/>
          </w:tcPr>
          <w:p>
            <w:pPr>
              <w:jc w:val="right"/>
              <w:ind w:right="2400"/>
              <w:spacing w:after="0"/>
              <w:rPr>
                <w:sz w:val="20"/>
                <w:szCs w:val="20"/>
                <w:color w:val="auto"/>
              </w:rPr>
            </w:pPr>
            <w:r>
              <w:rPr>
                <w:rFonts w:ascii="Arial" w:cs="Arial" w:eastAsia="Arial" w:hAnsi="Arial"/>
                <w:sz w:val="17"/>
                <w:szCs w:val="17"/>
                <w:color w:val="auto"/>
              </w:rPr>
              <w:t>—</w:t>
            </w:r>
          </w:p>
        </w:tc>
      </w:tr>
      <w:tr>
        <w:trPr>
          <w:trHeight w:val="241"/>
        </w:trPr>
        <w:tc>
          <w:tcPr>
            <w:tcW w:w="640" w:type="dxa"/>
            <w:vAlign w:val="bottom"/>
          </w:tcPr>
          <w:p>
            <w:pPr>
              <w:spacing w:after="0"/>
              <w:rPr>
                <w:sz w:val="20"/>
                <w:szCs w:val="20"/>
                <w:color w:val="auto"/>
              </w:rPr>
            </w:pPr>
          </w:p>
        </w:tc>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borrowings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260.0</w:t>
            </w:r>
          </w:p>
        </w:tc>
        <w:tc>
          <w:tcPr>
            <w:tcW w:w="2340" w:type="dxa"/>
            <w:vAlign w:val="bottom"/>
          </w:tcPr>
          <w:p>
            <w:pPr>
              <w:spacing w:after="0"/>
              <w:rPr>
                <w:sz w:val="20"/>
                <w:szCs w:val="20"/>
                <w:color w:val="auto"/>
              </w:rPr>
            </w:pPr>
          </w:p>
        </w:tc>
      </w:tr>
      <w:tr>
        <w:trPr>
          <w:trHeight w:val="20"/>
        </w:trPr>
        <w:tc>
          <w:tcPr>
            <w:tcW w:w="64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851"/>
        </w:trPr>
        <w:tc>
          <w:tcPr>
            <w:tcW w:w="6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jc w:val="right"/>
              <w:ind w:right="1040"/>
              <w:spacing w:after="0"/>
              <w:rPr>
                <w:sz w:val="20"/>
                <w:szCs w:val="20"/>
                <w:color w:val="auto"/>
              </w:rPr>
            </w:pPr>
            <w:r>
              <w:rPr>
                <w:rFonts w:ascii="Arial" w:cs="Arial" w:eastAsia="Arial" w:hAnsi="Arial"/>
                <w:sz w:val="17"/>
                <w:szCs w:val="17"/>
                <w:color w:val="auto"/>
              </w:rPr>
              <w:t>59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12"/>
        </w:trPr>
        <w:tc>
          <w:tcPr>
            <w:tcW w:w="640" w:type="dxa"/>
            <w:vAlign w:val="bottom"/>
            <w:tcBorders>
              <w:bottom w:val="single" w:sz="8" w:color="9A9A9A"/>
            </w:tcBorders>
          </w:tcPr>
          <w:p>
            <w:pPr>
              <w:spacing w:after="0"/>
              <w:rPr>
                <w:sz w:val="9"/>
                <w:szCs w:val="9"/>
                <w:color w:val="auto"/>
              </w:rPr>
            </w:pPr>
          </w:p>
        </w:tc>
        <w:tc>
          <w:tcPr>
            <w:tcW w:w="4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i w:val="1"/>
          <w:iCs w:val="1"/>
          <w:color w:val="auto"/>
        </w:rPr>
        <w:t>Unamortized debt issuance costs for our Credit Facility of $1.2 million and $0.2 million as of September 30, 2022 and December 31, 2021, respectively, is presented under “Other current assets” and “Other assets,” as applicable in our consolidated balance sheets.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Note 18 - Borrowings to our unaudited consolidated financial statements herein for further details.</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5"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For a description of recent accounting pronouncements, see Note 2—“Recent Accounting Pronouncements” to our unaudited consolidated financial statements contained herein.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55"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43" w:lineRule="exact"/>
        <w:rPr>
          <w:sz w:val="20"/>
          <w:szCs w:val="20"/>
          <w:color w:val="auto"/>
        </w:rPr>
      </w:pPr>
    </w:p>
    <w:p>
      <w:pPr>
        <w:jc w:val="both"/>
        <w:ind w:firstLine="433"/>
        <w:spacing w:after="0" w:line="257" w:lineRule="auto"/>
        <w:rPr>
          <w:sz w:val="20"/>
          <w:szCs w:val="20"/>
          <w:color w:val="auto"/>
        </w:rPr>
      </w:pPr>
      <w:r>
        <w:rPr>
          <w:rFonts w:ascii="Arial" w:cs="Arial" w:eastAsia="Arial" w:hAnsi="Arial"/>
          <w:sz w:val="17"/>
          <w:szCs w:val="17"/>
          <w:color w:val="auto"/>
        </w:rPr>
        <w:t>During the three months ended September 30, 2022, there were no material changes in our market risk exposure. For a discussion of our market risk associated with exchange rate risk and interest rate risk, see Part II, Item 7A “Quantitative and Qualitative Disclosures About Market Risk” in our Annual Report on Form 10-K for the fiscal year ended December 31, 2021.</w:t>
      </w:r>
    </w:p>
    <w:p>
      <w:pPr>
        <w:spacing w:after="0" w:line="200" w:lineRule="exact"/>
        <w:rPr>
          <w:sz w:val="20"/>
          <w:szCs w:val="20"/>
          <w:color w:val="auto"/>
        </w:rPr>
      </w:pPr>
    </w:p>
    <w:p>
      <w:pPr>
        <w:spacing w:after="0" w:line="346"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355" w:lineRule="exact"/>
        <w:rPr>
          <w:sz w:val="20"/>
          <w:szCs w:val="20"/>
          <w:color w:val="auto"/>
        </w:rPr>
      </w:pPr>
    </w:p>
    <w:p>
      <w:pPr>
        <w:jc w:val="both"/>
        <w:ind w:firstLine="472"/>
        <w:spacing w:after="0" w:line="28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its Chief Executive Officer (“CEO”) and Chief Financial Officer (“CFO”), to allow timely decisions regarding required disclosure. In connection with the preparation of this Quarterly Report on Form 10-Q, our management carried out an evaluation, under the supervision and with the participation of the CEO and CFO, of the effectiveness and operation of our disclosure controls and procedures as of September 30, 2022. Based upon that evaluation, the CEO and CFO have concluded that our disclosure controls and procedures, as of September 30, 2022, were effective.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50" w:lineRule="exact"/>
        <w:rPr>
          <w:sz w:val="20"/>
          <w:szCs w:val="20"/>
          <w:color w:val="auto"/>
        </w:rPr>
      </w:pPr>
    </w:p>
    <w:p>
      <w:pPr>
        <w:jc w:val="both"/>
        <w:ind w:firstLine="393"/>
        <w:spacing w:after="0" w:line="305" w:lineRule="auto"/>
        <w:rPr>
          <w:sz w:val="20"/>
          <w:szCs w:val="20"/>
          <w:color w:val="auto"/>
        </w:rPr>
      </w:pPr>
      <w:r>
        <w:rPr>
          <w:rFonts w:ascii="Arial" w:cs="Arial" w:eastAsia="Arial" w:hAnsi="Arial"/>
          <w:sz w:val="16"/>
          <w:szCs w:val="16"/>
          <w:color w:val="auto"/>
        </w:rPr>
        <w:t>During the three months ended September 30, 2022,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162"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In making its assessment of the changes in internal control over financial reporting during the nine months ended September 30, 2022, our management excluded an evaluation of the disclosure controls and procedures of Clairvoyant and Inbound which we acquired on December 16, 2021 and June 10, 2022, respectively. See Note 10 - Business Combinations, Goodwill and Intangible Assets to our unaudited consolidated financial statements contained herein for details of our acquisition.</w:t>
      </w:r>
    </w:p>
    <w:p>
      <w:pPr>
        <w:spacing w:after="0" w:line="200" w:lineRule="exact"/>
        <w:rPr>
          <w:sz w:val="20"/>
          <w:szCs w:val="20"/>
          <w:color w:val="auto"/>
        </w:rPr>
      </w:pPr>
    </w:p>
    <w:p>
      <w:pPr>
        <w:spacing w:after="0" w:line="24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PART II.</w:t>
      </w:r>
      <w:r>
        <w:rPr>
          <w:sz w:val="20"/>
          <w:szCs w:val="20"/>
          <w:color w:val="auto"/>
        </w:rPr>
        <w:tab/>
      </w:r>
      <w:r>
        <w:rPr>
          <w:rFonts w:ascii="Arial" w:cs="Arial" w:eastAsia="Arial" w:hAnsi="Arial"/>
          <w:sz w:val="16"/>
          <w:szCs w:val="16"/>
          <w:b w:val="1"/>
          <w:bCs w:val="1"/>
          <w:color w:val="auto"/>
        </w:rPr>
        <w:t>Other Information</w:t>
      </w:r>
    </w:p>
    <w:p>
      <w:pPr>
        <w:spacing w:after="0" w:line="368"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firstLine="393"/>
        <w:spacing w:after="0" w:line="299" w:lineRule="auto"/>
        <w:rPr>
          <w:sz w:val="20"/>
          <w:szCs w:val="20"/>
          <w:color w:val="auto"/>
        </w:rPr>
      </w:pPr>
      <w:r>
        <w:rPr>
          <w:rFonts w:ascii="Arial" w:cs="Arial" w:eastAsia="Arial" w:hAnsi="Arial"/>
          <w:sz w:val="16"/>
          <w:szCs w:val="16"/>
          <w:color w:val="auto"/>
        </w:rPr>
        <w:t>In the course of our normal business activities, various lawsuits, claims and proceedings may be instituted or asserted against us. Although there can be no assurance, we believe that the disposition of matters currently instituted or asserted will not have a material adverse effect on our consolidated financial</w:t>
      </w:r>
    </w:p>
    <w:p>
      <w:pPr>
        <w:spacing w:after="0" w:line="1"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position, results of operations or cash flows. See Note 25 - Commitments and Contingencies to our unaudited consolidated financial statements contained herein for details.</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56"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We have disclosed below, as well as under the heading “Risk Factors” in our Annual Report on Form 10-K for the fiscal year ended December 31, 2021 (the “2021 Form 10-K”), supplemented by the disclosure below, a number of risks which may materially affect our business, financial condition or results of operations. You should carefully consider these Risk Factors and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206" w:lineRule="exact"/>
        <w:rPr>
          <w:sz w:val="20"/>
          <w:szCs w:val="20"/>
          <w:color w:val="auto"/>
        </w:rPr>
      </w:pPr>
    </w:p>
    <w:p>
      <w:pPr>
        <w:jc w:val="both"/>
        <w:ind w:firstLine="433"/>
        <w:spacing w:after="0" w:line="289" w:lineRule="auto"/>
        <w:rPr>
          <w:sz w:val="20"/>
          <w:szCs w:val="20"/>
          <w:color w:val="auto"/>
        </w:rPr>
      </w:pPr>
      <w:r>
        <w:rPr>
          <w:rFonts w:ascii="Arial" w:cs="Arial" w:eastAsia="Arial" w:hAnsi="Arial"/>
          <w:sz w:val="17"/>
          <w:szCs w:val="17"/>
          <w:b w:val="1"/>
          <w:bCs w:val="1"/>
          <w:i w:val="1"/>
          <w:iCs w:val="1"/>
          <w:color w:val="auto"/>
        </w:rPr>
        <w:t>Our results of operations could be adversely affected by economic and political conditions globally and the effects of these conditions on our clients’ businesses and levels of business activity.</w:t>
      </w:r>
    </w:p>
    <w:p>
      <w:pPr>
        <w:spacing w:after="0" w:line="172" w:lineRule="exact"/>
        <w:rPr>
          <w:sz w:val="20"/>
          <w:szCs w:val="20"/>
          <w:color w:val="auto"/>
        </w:rPr>
      </w:pPr>
    </w:p>
    <w:p>
      <w:pPr>
        <w:jc w:val="both"/>
        <w:ind w:firstLine="472"/>
        <w:spacing w:after="0" w:line="257" w:lineRule="auto"/>
        <w:rPr>
          <w:sz w:val="20"/>
          <w:szCs w:val="20"/>
          <w:color w:val="auto"/>
        </w:rPr>
      </w:pPr>
      <w:r>
        <w:rPr>
          <w:rFonts w:ascii="Arial" w:cs="Arial" w:eastAsia="Arial" w:hAnsi="Arial"/>
          <w:sz w:val="17"/>
          <w:szCs w:val="17"/>
          <w:color w:val="auto"/>
        </w:rPr>
        <w:t>The Russian invasion of Ukraine and the resulting economic sanctions imposed by the United States and other countries, along with certain international organizations, have impacted the global economy and given rise to potential global security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48" w:lineRule="exact"/>
        <w:rPr>
          <w:sz w:val="20"/>
          <w:szCs w:val="20"/>
          <w:color w:val="auto"/>
        </w:rPr>
      </w:pPr>
    </w:p>
    <w:p>
      <w:pPr>
        <w:jc w:val="both"/>
        <w:ind w:right="100"/>
        <w:spacing w:after="0" w:line="246" w:lineRule="auto"/>
        <w:rPr>
          <w:sz w:val="20"/>
          <w:szCs w:val="20"/>
          <w:color w:val="auto"/>
        </w:rPr>
      </w:pPr>
      <w:r>
        <w:rPr>
          <w:rFonts w:ascii="Arial" w:cs="Arial" w:eastAsia="Arial" w:hAnsi="Arial"/>
          <w:sz w:val="17"/>
          <w:szCs w:val="17"/>
          <w:color w:val="auto"/>
        </w:rPr>
        <w:t>issues that may adversely affect international business and economic conditions. Additional sanctions, and retaliatory acts by Russia in response to such sanctions including state sponsored cyber attacks, could further damage or disrupt international commerce. Although we have no operations in Russia or Ukraine, certain of our clients and suppliers may have been or may in the future be impacted by these events. Moreover, the ongoing effects of the hostilities and sanctions may not be limited to Russia and Russian companies and may spill over to and negatively impact other regional and global economic markets. A prolonged conflict may result in increased inflation, rising energy prices and constrained supply chain, and thus may lead to inflationary global economic environment. At this time, the extent and duration of the military action, resulting sanctions, retaliatory actions, future economic and market disruptions, and the extent of future cyber attack incidents and resulting effects on us, are impossible to predict.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Unregistered Sales of Equity Securities</w:t>
      </w:r>
    </w:p>
    <w:p>
      <w:pPr>
        <w:spacing w:after="0" w:line="2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Proceeds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Purchases of Equity Securities by the Issuer</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During the three months ended September 30, 2022, purchases of common stock were as follows:</w:t>
      </w:r>
    </w:p>
    <w:p>
      <w:pPr>
        <w:spacing w:after="0" w:line="141"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7"/>
                <w:szCs w:val="17"/>
                <w:b w:val="1"/>
                <w:bCs w:val="1"/>
                <w:color w:val="auto"/>
              </w:rPr>
              <w:t>Average Price</w:t>
            </w:r>
          </w:p>
        </w:tc>
        <w:tc>
          <w:tcPr>
            <w:tcW w:w="18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5"/>
              </w:rPr>
              <w:t>Total Number of</w:t>
            </w:r>
          </w:p>
        </w:tc>
        <w:tc>
          <w:tcPr>
            <w:tcW w:w="198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w w:val="93"/>
              </w:rPr>
              <w:t>Approximate Dollar Value</w:t>
            </w:r>
          </w:p>
        </w:tc>
        <w:tc>
          <w:tcPr>
            <w:tcW w:w="0" w:type="dxa"/>
            <w:vAlign w:val="bottom"/>
          </w:tcPr>
          <w:p>
            <w:pPr>
              <w:spacing w:after="0"/>
              <w:rPr>
                <w:sz w:val="1"/>
                <w:szCs w:val="1"/>
                <w:color w:val="auto"/>
              </w:rPr>
            </w:pPr>
          </w:p>
        </w:tc>
      </w:tr>
      <w:tr>
        <w:trPr>
          <w:trHeight w:val="92"/>
        </w:trPr>
        <w:tc>
          <w:tcPr>
            <w:tcW w:w="4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7"/>
                <w:szCs w:val="17"/>
                <w:b w:val="1"/>
                <w:bCs w:val="1"/>
                <w:color w:val="auto"/>
                <w:w w:val="95"/>
              </w:rPr>
              <w:t>Total Number of</w:t>
            </w:r>
          </w:p>
        </w:tc>
        <w:tc>
          <w:tcPr>
            <w:tcW w:w="1220" w:type="dxa"/>
            <w:vAlign w:val="bottom"/>
            <w:gridSpan w:val="3"/>
            <w:vMerge w:val="continue"/>
          </w:tcPr>
          <w:p>
            <w:pPr>
              <w:spacing w:after="0"/>
              <w:rPr>
                <w:sz w:val="7"/>
                <w:szCs w:val="7"/>
                <w:color w:val="auto"/>
              </w:rPr>
            </w:pPr>
          </w:p>
        </w:tc>
        <w:tc>
          <w:tcPr>
            <w:tcW w:w="1860" w:type="dxa"/>
            <w:vAlign w:val="bottom"/>
            <w:gridSpan w:val="2"/>
            <w:vMerge w:val="restart"/>
          </w:tcPr>
          <w:p>
            <w:pPr>
              <w:jc w:val="center"/>
              <w:ind w:right="100"/>
              <w:spacing w:after="0" w:line="176" w:lineRule="exact"/>
              <w:rPr>
                <w:sz w:val="20"/>
                <w:szCs w:val="20"/>
                <w:color w:val="auto"/>
              </w:rPr>
            </w:pPr>
            <w:r>
              <w:rPr>
                <w:rFonts w:ascii="Arial" w:cs="Arial" w:eastAsia="Arial" w:hAnsi="Arial"/>
                <w:sz w:val="17"/>
                <w:szCs w:val="17"/>
                <w:b w:val="1"/>
                <w:bCs w:val="1"/>
                <w:color w:val="auto"/>
                <w:w w:val="88"/>
              </w:rPr>
              <w:t>Shares Purchased as</w:t>
            </w:r>
          </w:p>
        </w:tc>
        <w:tc>
          <w:tcPr>
            <w:tcW w:w="1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880" w:type="dxa"/>
            <w:vAlign w:val="bottom"/>
            <w:vMerge w:val="restart"/>
          </w:tcPr>
          <w:p>
            <w:pPr>
              <w:jc w:val="center"/>
              <w:spacing w:after="0" w:line="176" w:lineRule="exact"/>
              <w:rPr>
                <w:sz w:val="20"/>
                <w:szCs w:val="20"/>
                <w:color w:val="auto"/>
              </w:rPr>
            </w:pPr>
            <w:r>
              <w:rPr>
                <w:rFonts w:ascii="Arial" w:cs="Arial" w:eastAsia="Arial" w:hAnsi="Arial"/>
                <w:sz w:val="17"/>
                <w:szCs w:val="17"/>
                <w:b w:val="1"/>
                <w:bCs w:val="1"/>
                <w:color w:val="auto"/>
                <w:w w:val="95"/>
              </w:rPr>
              <w:t>of Shares That May Yet</w:t>
            </w:r>
          </w:p>
        </w:tc>
        <w:tc>
          <w:tcPr>
            <w:tcW w:w="0" w:type="dxa"/>
            <w:vAlign w:val="bottom"/>
          </w:tcPr>
          <w:p>
            <w:pPr>
              <w:spacing w:after="0"/>
              <w:rPr>
                <w:sz w:val="1"/>
                <w:szCs w:val="1"/>
                <w:color w:val="auto"/>
              </w:rPr>
            </w:pPr>
          </w:p>
        </w:tc>
      </w:tr>
      <w:tr>
        <w:trPr>
          <w:trHeight w:val="92"/>
        </w:trPr>
        <w:tc>
          <w:tcPr>
            <w:tcW w:w="4320" w:type="dxa"/>
            <w:vAlign w:val="bottom"/>
            <w:gridSpan w:val="2"/>
            <w:vMerge w:val="restart"/>
          </w:tcPr>
          <w:p>
            <w:pPr>
              <w:ind w:left="20"/>
              <w:spacing w:after="0" w:line="171" w:lineRule="exact"/>
              <w:rPr>
                <w:sz w:val="20"/>
                <w:szCs w:val="20"/>
                <w:color w:val="auto"/>
              </w:rPr>
            </w:pPr>
            <w:r>
              <w:rPr>
                <w:rFonts w:ascii="Arial" w:cs="Arial" w:eastAsia="Arial" w:hAnsi="Arial"/>
                <w:sz w:val="17"/>
                <w:szCs w:val="17"/>
                <w:b w:val="1"/>
                <w:bCs w:val="1"/>
                <w:color w:val="auto"/>
              </w:rPr>
              <w:t>Period</w:t>
            </w:r>
          </w:p>
        </w:tc>
        <w:tc>
          <w:tcPr>
            <w:tcW w:w="15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gridSpan w:val="2"/>
            <w:vMerge w:val="restart"/>
          </w:tcPr>
          <w:p>
            <w:pPr>
              <w:jc w:val="center"/>
              <w:ind w:right="280"/>
              <w:spacing w:after="0" w:line="171" w:lineRule="exact"/>
              <w:rPr>
                <w:sz w:val="20"/>
                <w:szCs w:val="20"/>
                <w:color w:val="auto"/>
              </w:rPr>
            </w:pPr>
            <w:r>
              <w:rPr>
                <w:rFonts w:ascii="Arial" w:cs="Arial" w:eastAsia="Arial" w:hAnsi="Arial"/>
                <w:sz w:val="17"/>
                <w:szCs w:val="17"/>
                <w:b w:val="1"/>
                <w:bCs w:val="1"/>
                <w:color w:val="auto"/>
                <w:w w:val="95"/>
              </w:rPr>
              <w:t>Paid per</w:t>
            </w:r>
          </w:p>
        </w:tc>
        <w:tc>
          <w:tcPr>
            <w:tcW w:w="1860" w:type="dxa"/>
            <w:vAlign w:val="bottom"/>
            <w:gridSpan w:val="2"/>
            <w:vMerge w:val="restart"/>
          </w:tcPr>
          <w:p>
            <w:pPr>
              <w:jc w:val="center"/>
              <w:ind w:right="100"/>
              <w:spacing w:after="0" w:line="171" w:lineRule="exact"/>
              <w:rPr>
                <w:sz w:val="20"/>
                <w:szCs w:val="20"/>
                <w:color w:val="auto"/>
              </w:rPr>
            </w:pPr>
            <w:r>
              <w:rPr>
                <w:rFonts w:ascii="Arial" w:cs="Arial" w:eastAsia="Arial" w:hAnsi="Arial"/>
                <w:sz w:val="17"/>
                <w:szCs w:val="17"/>
                <w:b w:val="1"/>
                <w:bCs w:val="1"/>
                <w:color w:val="auto"/>
                <w:w w:val="93"/>
              </w:rPr>
              <w:t>Part of Publicly</w:t>
            </w:r>
          </w:p>
        </w:tc>
        <w:tc>
          <w:tcPr>
            <w:tcW w:w="100" w:type="dxa"/>
            <w:vAlign w:val="bottom"/>
          </w:tcPr>
          <w:p>
            <w:pPr>
              <w:spacing w:after="0"/>
              <w:rPr>
                <w:sz w:val="7"/>
                <w:szCs w:val="7"/>
                <w:color w:val="auto"/>
              </w:rPr>
            </w:pP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4320" w:type="dxa"/>
            <w:vAlign w:val="bottom"/>
            <w:gridSpan w:val="2"/>
            <w:vMerge w:val="continue"/>
          </w:tcPr>
          <w:p>
            <w:pPr>
              <w:spacing w:after="0"/>
              <w:rPr>
                <w:sz w:val="6"/>
                <w:szCs w:val="6"/>
                <w:color w:val="auto"/>
              </w:rPr>
            </w:pPr>
          </w:p>
        </w:tc>
        <w:tc>
          <w:tcPr>
            <w:tcW w:w="1520" w:type="dxa"/>
            <w:vAlign w:val="bottom"/>
            <w:gridSpan w:val="2"/>
            <w:vMerge w:val="restart"/>
          </w:tcPr>
          <w:p>
            <w:pPr>
              <w:jc w:val="center"/>
              <w:ind w:right="100"/>
              <w:spacing w:after="0" w:line="171" w:lineRule="exact"/>
              <w:rPr>
                <w:sz w:val="20"/>
                <w:szCs w:val="20"/>
                <w:color w:val="auto"/>
              </w:rPr>
            </w:pPr>
            <w:r>
              <w:rPr>
                <w:rFonts w:ascii="Arial" w:cs="Arial" w:eastAsia="Arial" w:hAnsi="Arial"/>
                <w:sz w:val="17"/>
                <w:szCs w:val="17"/>
                <w:b w:val="1"/>
                <w:bCs w:val="1"/>
                <w:color w:val="auto"/>
                <w:w w:val="90"/>
              </w:rPr>
              <w:t>Shares Purchased</w:t>
            </w:r>
          </w:p>
        </w:tc>
        <w:tc>
          <w:tcPr>
            <w:tcW w:w="1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8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880" w:type="dxa"/>
            <w:vAlign w:val="bottom"/>
            <w:vMerge w:val="restart"/>
          </w:tcPr>
          <w:p>
            <w:pPr>
              <w:jc w:val="center"/>
              <w:spacing w:after="0" w:line="171" w:lineRule="exact"/>
              <w:rPr>
                <w:sz w:val="20"/>
                <w:szCs w:val="20"/>
                <w:color w:val="auto"/>
              </w:rPr>
            </w:pPr>
            <w:r>
              <w:rPr>
                <w:rFonts w:ascii="Arial" w:cs="Arial" w:eastAsia="Arial" w:hAnsi="Arial"/>
                <w:sz w:val="17"/>
                <w:szCs w:val="17"/>
                <w:b w:val="1"/>
                <w:bCs w:val="1"/>
                <w:color w:val="auto"/>
                <w:w w:val="92"/>
              </w:rPr>
              <w:t>Be Purchased Under the</w:t>
            </w:r>
          </w:p>
        </w:tc>
        <w:tc>
          <w:tcPr>
            <w:tcW w:w="0" w:type="dxa"/>
            <w:vAlign w:val="bottom"/>
          </w:tcPr>
          <w:p>
            <w:pPr>
              <w:spacing w:after="0"/>
              <w:rPr>
                <w:sz w:val="1"/>
                <w:szCs w:val="1"/>
                <w:color w:val="auto"/>
              </w:rPr>
            </w:pPr>
          </w:p>
        </w:tc>
      </w:tr>
      <w:tr>
        <w:trPr>
          <w:trHeight w:val="92"/>
        </w:trPr>
        <w:tc>
          <w:tcPr>
            <w:tcW w:w="4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gridSpan w:val="2"/>
            <w:vMerge w:val="restart"/>
          </w:tcPr>
          <w:p>
            <w:pPr>
              <w:jc w:val="center"/>
              <w:ind w:right="280"/>
              <w:spacing w:after="0" w:line="178" w:lineRule="exact"/>
              <w:rPr>
                <w:sz w:val="20"/>
                <w:szCs w:val="20"/>
                <w:color w:val="auto"/>
              </w:rPr>
            </w:pPr>
            <w:r>
              <w:rPr>
                <w:rFonts w:ascii="Arial" w:cs="Arial" w:eastAsia="Arial" w:hAnsi="Arial"/>
                <w:sz w:val="17"/>
                <w:szCs w:val="17"/>
                <w:b w:val="1"/>
                <w:bCs w:val="1"/>
                <w:color w:val="auto"/>
                <w:w w:val="88"/>
              </w:rPr>
              <w:t>share</w:t>
            </w:r>
          </w:p>
        </w:tc>
        <w:tc>
          <w:tcPr>
            <w:tcW w:w="1860" w:type="dxa"/>
            <w:vAlign w:val="bottom"/>
            <w:gridSpan w:val="2"/>
            <w:vMerge w:val="restart"/>
          </w:tcPr>
          <w:p>
            <w:pPr>
              <w:jc w:val="center"/>
              <w:ind w:right="100"/>
              <w:spacing w:after="0" w:line="178" w:lineRule="exact"/>
              <w:rPr>
                <w:sz w:val="20"/>
                <w:szCs w:val="20"/>
                <w:color w:val="auto"/>
              </w:rPr>
            </w:pPr>
            <w:r>
              <w:rPr>
                <w:rFonts w:ascii="Arial" w:cs="Arial" w:eastAsia="Arial" w:hAnsi="Arial"/>
                <w:sz w:val="17"/>
                <w:szCs w:val="17"/>
                <w:b w:val="1"/>
                <w:bCs w:val="1"/>
                <w:color w:val="auto"/>
                <w:w w:val="91"/>
              </w:rPr>
              <w:t>Announced Plans or</w:t>
            </w:r>
          </w:p>
        </w:tc>
        <w:tc>
          <w:tcPr>
            <w:tcW w:w="100" w:type="dxa"/>
            <w:vAlign w:val="bottom"/>
          </w:tcPr>
          <w:p>
            <w:pPr>
              <w:spacing w:after="0"/>
              <w:rPr>
                <w:sz w:val="7"/>
                <w:szCs w:val="7"/>
                <w:color w:val="auto"/>
              </w:rPr>
            </w:pP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8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1"/>
              </w:rPr>
              <w:t>Plans or Programs</w:t>
            </w:r>
          </w:p>
        </w:tc>
        <w:tc>
          <w:tcPr>
            <w:tcW w:w="0" w:type="dxa"/>
            <w:vAlign w:val="bottom"/>
          </w:tcPr>
          <w:p>
            <w:pPr>
              <w:spacing w:after="0"/>
              <w:rPr>
                <w:sz w:val="1"/>
                <w:szCs w:val="1"/>
                <w:color w:val="auto"/>
              </w:rPr>
            </w:pPr>
          </w:p>
        </w:tc>
      </w:tr>
      <w:tr>
        <w:trPr>
          <w:trHeight w:val="141"/>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0"/>
              </w:rPr>
              <w:t>Programs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42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7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July 1, 2022 through July 31,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146.82</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233,000,320</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August 1, 2022 through August 31, 2022</w:t>
            </w:r>
          </w:p>
        </w:tc>
        <w:tc>
          <w:tcPr>
            <w:tcW w:w="1420" w:type="dxa"/>
            <w:vAlign w:val="bottom"/>
          </w:tcPr>
          <w:p>
            <w:pPr>
              <w:jc w:val="right"/>
              <w:spacing w:after="0"/>
              <w:rPr>
                <w:sz w:val="20"/>
                <w:szCs w:val="20"/>
                <w:color w:val="auto"/>
              </w:rPr>
            </w:pPr>
            <w:r>
              <w:rPr>
                <w:rFonts w:ascii="Arial" w:cs="Arial" w:eastAsia="Arial" w:hAnsi="Arial"/>
                <w:sz w:val="17"/>
                <w:szCs w:val="17"/>
                <w:color w:val="auto"/>
              </w:rPr>
              <w:t>8,700</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174.85</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8,700</w:t>
            </w:r>
          </w:p>
        </w:tc>
        <w:tc>
          <w:tcPr>
            <w:tcW w:w="12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231,479,093</w:t>
            </w:r>
          </w:p>
        </w:tc>
        <w:tc>
          <w:tcPr>
            <w:tcW w:w="0" w:type="dxa"/>
            <w:vAlign w:val="bottom"/>
          </w:tcPr>
          <w:p>
            <w:pPr>
              <w:spacing w:after="0"/>
              <w:rPr>
                <w:sz w:val="1"/>
                <w:szCs w:val="1"/>
                <w:color w:val="auto"/>
              </w:rPr>
            </w:pPr>
          </w:p>
        </w:tc>
      </w:tr>
      <w:tr>
        <w:trPr>
          <w:trHeight w:val="223"/>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September 1, 2022 through September 30, 2022</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231,479,093</w:t>
            </w:r>
          </w:p>
        </w:tc>
        <w:tc>
          <w:tcPr>
            <w:tcW w:w="0" w:type="dxa"/>
            <w:vAlign w:val="bottom"/>
          </w:tcPr>
          <w:p>
            <w:pPr>
              <w:spacing w:after="0"/>
              <w:rPr>
                <w:sz w:val="1"/>
                <w:szCs w:val="1"/>
                <w:color w:val="auto"/>
              </w:rPr>
            </w:pPr>
          </w:p>
        </w:tc>
      </w:tr>
      <w:tr>
        <w:trPr>
          <w:trHeight w:val="216"/>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76,809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150.00</w:t>
            </w:r>
          </w:p>
        </w:tc>
        <w:tc>
          <w:tcPr>
            <w:tcW w:w="100" w:type="dxa"/>
            <w:vAlign w:val="bottom"/>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76,809</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both"/>
        <w:ind w:right="100" w:firstLine="393"/>
        <w:spacing w:after="0" w:line="289" w:lineRule="auto"/>
        <w:rPr>
          <w:sz w:val="20"/>
          <w:szCs w:val="20"/>
          <w:color w:val="auto"/>
        </w:rPr>
      </w:pPr>
      <w:r>
        <w:rPr>
          <w:rFonts w:ascii="Arial" w:cs="Arial" w:eastAsia="Arial" w:hAnsi="Arial"/>
          <w:sz w:val="17"/>
          <w:szCs w:val="17"/>
          <w:color w:val="auto"/>
        </w:rPr>
        <w:t>On October 5, 2021, the Company’s Board of Directors authorized a $300 million common stock repurchase program beginning January 1, 2022 (the “2022 Repurchase Program”).</w:t>
      </w:r>
    </w:p>
    <w:p>
      <w:pPr>
        <w:spacing w:after="0" w:line="172" w:lineRule="exact"/>
        <w:rPr>
          <w:sz w:val="20"/>
          <w:szCs w:val="20"/>
          <w:color w:val="auto"/>
        </w:rPr>
      </w:pPr>
    </w:p>
    <w:p>
      <w:pPr>
        <w:jc w:val="both"/>
        <w:ind w:right="100" w:firstLine="393"/>
        <w:spacing w:after="0" w:line="289" w:lineRule="auto"/>
        <w:rPr>
          <w:sz w:val="20"/>
          <w:szCs w:val="20"/>
          <w:color w:val="auto"/>
        </w:rPr>
      </w:pPr>
      <w:r>
        <w:rPr>
          <w:rFonts w:ascii="Arial" w:cs="Arial" w:eastAsia="Arial" w:hAnsi="Arial"/>
          <w:sz w:val="16"/>
          <w:szCs w:val="16"/>
          <w:color w:val="auto"/>
        </w:rPr>
        <w:t>Under the 2022 Repurchase Program, shares may be purchased by the Company from time to time from the open market and through private transactions, or otherwise, as determined by the Company’s management as market conditions warrant. The Company has structured open market purchases under the Repurchase Program to comply with Rule 10b-18 under the Exchange Act. Repurchases may be discontinued at any time by management.</w:t>
      </w:r>
    </w:p>
    <w:p>
      <w:pPr>
        <w:spacing w:after="0" w:line="142"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4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4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357" w:right="2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being filed as part of this Quarterly Report on Form 10-Q:</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20" w:type="dxa"/>
            <w:vAlign w:val="bottom"/>
          </w:tcPr>
          <w:p>
            <w:pPr>
              <w:spacing w:after="0"/>
              <w:rPr>
                <w:sz w:val="20"/>
                <w:szCs w:val="20"/>
                <w:color w:val="auto"/>
              </w:rPr>
            </w:pPr>
            <w:r>
              <w:rPr>
                <w:rFonts w:ascii="Arial" w:cs="Arial" w:eastAsia="Arial" w:hAnsi="Arial"/>
                <w:sz w:val="17"/>
                <w:szCs w:val="17"/>
                <w:color w:val="auto"/>
              </w:rPr>
              <w:t>3.1</w:t>
            </w:r>
          </w:p>
        </w:tc>
        <w:tc>
          <w:tcPr>
            <w:tcW w:w="8020" w:type="dxa"/>
            <w:vAlign w:val="bottom"/>
            <w:gridSpan w:val="19"/>
          </w:tcPr>
          <w:p>
            <w:pPr>
              <w:spacing w:after="0"/>
              <w:rPr>
                <w:rFonts w:ascii="Arial" w:cs="Arial" w:eastAsia="Arial" w:hAnsi="Arial"/>
                <w:sz w:val="17"/>
                <w:szCs w:val="17"/>
                <w:color w:val="0000FF"/>
              </w:rPr>
            </w:pPr>
            <w:hyperlink r:id="rId90">
              <w:r>
                <w:rPr>
                  <w:rFonts w:ascii="Arial" w:cs="Arial" w:eastAsia="Arial" w:hAnsi="Arial"/>
                  <w:sz w:val="17"/>
                  <w:szCs w:val="17"/>
                  <w:color w:val="0000FF"/>
                </w:rPr>
                <w:t>Amended and Restated Certificate of Incorporation of the Company, as in effect on the date hereof</w:t>
              </w:r>
            </w:hyperlink>
          </w:p>
        </w:tc>
      </w:tr>
      <w:tr>
        <w:trPr>
          <w:trHeight w:val="150"/>
        </w:trPr>
        <w:tc>
          <w:tcPr>
            <w:tcW w:w="820" w:type="dxa"/>
            <w:vAlign w:val="bottom"/>
          </w:tcPr>
          <w:p>
            <w:pPr>
              <w:spacing w:after="0"/>
              <w:rPr>
                <w:sz w:val="13"/>
                <w:szCs w:val="13"/>
                <w:color w:val="auto"/>
              </w:rPr>
            </w:pPr>
          </w:p>
        </w:tc>
        <w:tc>
          <w:tcPr>
            <w:tcW w:w="7900" w:type="dxa"/>
            <w:vAlign w:val="bottom"/>
            <w:tcBorders>
              <w:top w:val="single" w:sz="8" w:color="0000FF"/>
              <w:bottom w:val="single" w:sz="8" w:color="0000FF"/>
            </w:tcBorders>
            <w:gridSpan w:val="13"/>
          </w:tcPr>
          <w:p>
            <w:pPr>
              <w:spacing w:after="0" w:line="150" w:lineRule="exact"/>
              <w:rPr>
                <w:rFonts w:ascii="Arial" w:cs="Arial" w:eastAsia="Arial" w:hAnsi="Arial"/>
                <w:sz w:val="17"/>
                <w:szCs w:val="17"/>
                <w:color w:val="0000FF"/>
                <w:w w:val="98"/>
              </w:rPr>
            </w:pPr>
            <w:hyperlink r:id="rId90">
              <w:r>
                <w:rPr>
                  <w:rFonts w:ascii="Arial" w:cs="Arial" w:eastAsia="Arial" w:hAnsi="Arial"/>
                  <w:sz w:val="17"/>
                  <w:szCs w:val="17"/>
                  <w:color w:val="0000FF"/>
                  <w:w w:val="98"/>
                </w:rPr>
                <w:t>(incorporated by reference to Exhibit 3.1 of the Company’s Current Report on Form 8-K (File No. 1-33089)</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820" w:type="dxa"/>
            <w:vAlign w:val="bottom"/>
          </w:tcPr>
          <w:p>
            <w:pPr>
              <w:spacing w:after="0"/>
              <w:rPr>
                <w:sz w:val="13"/>
                <w:szCs w:val="13"/>
                <w:color w:val="auto"/>
              </w:rPr>
            </w:pPr>
          </w:p>
        </w:tc>
        <w:tc>
          <w:tcPr>
            <w:tcW w:w="1920" w:type="dxa"/>
            <w:vAlign w:val="bottom"/>
            <w:tcBorders>
              <w:bottom w:val="single" w:sz="8" w:color="0000FF"/>
            </w:tcBorders>
            <w:gridSpan w:val="2"/>
          </w:tcPr>
          <w:p>
            <w:pPr>
              <w:spacing w:after="0" w:line="150" w:lineRule="exact"/>
              <w:rPr>
                <w:rFonts w:ascii="Arial" w:cs="Arial" w:eastAsia="Arial" w:hAnsi="Arial"/>
                <w:sz w:val="17"/>
                <w:szCs w:val="17"/>
                <w:color w:val="0000FF"/>
                <w:w w:val="94"/>
              </w:rPr>
            </w:pPr>
            <w:hyperlink r:id="rId90">
              <w:r>
                <w:rPr>
                  <w:rFonts w:ascii="Arial" w:cs="Arial" w:eastAsia="Arial" w:hAnsi="Arial"/>
                  <w:sz w:val="17"/>
                  <w:szCs w:val="17"/>
                  <w:color w:val="0000FF"/>
                  <w:w w:val="94"/>
                </w:rPr>
                <w:t>filed on October 25, 2006).</w:t>
              </w:r>
            </w:hyperlink>
          </w:p>
        </w:tc>
        <w:tc>
          <w:tcPr>
            <w:tcW w:w="6020" w:type="dxa"/>
            <w:vAlign w:val="bottom"/>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8"/>
        </w:trPr>
        <w:tc>
          <w:tcPr>
            <w:tcW w:w="820" w:type="dxa"/>
            <w:vAlign w:val="bottom"/>
          </w:tcPr>
          <w:p>
            <w:pPr>
              <w:spacing w:after="0"/>
              <w:rPr>
                <w:sz w:val="20"/>
                <w:szCs w:val="20"/>
                <w:color w:val="auto"/>
              </w:rPr>
            </w:pPr>
            <w:r>
              <w:rPr>
                <w:rFonts w:ascii="Arial" w:cs="Arial" w:eastAsia="Arial" w:hAnsi="Arial"/>
                <w:sz w:val="17"/>
                <w:szCs w:val="17"/>
                <w:color w:val="auto"/>
              </w:rPr>
              <w:t>3.2</w:t>
            </w:r>
          </w:p>
        </w:tc>
        <w:tc>
          <w:tcPr>
            <w:tcW w:w="8020" w:type="dxa"/>
            <w:vAlign w:val="bottom"/>
            <w:gridSpan w:val="19"/>
          </w:tcPr>
          <w:p>
            <w:pPr>
              <w:spacing w:after="0"/>
              <w:rPr>
                <w:rFonts w:ascii="Arial" w:cs="Arial" w:eastAsia="Arial" w:hAnsi="Arial"/>
                <w:sz w:val="17"/>
                <w:szCs w:val="17"/>
                <w:color w:val="0000FF"/>
                <w:w w:val="96"/>
              </w:rPr>
            </w:pPr>
            <w:hyperlink r:id="rId91">
              <w:r>
                <w:rPr>
                  <w:rFonts w:ascii="Arial" w:cs="Arial" w:eastAsia="Arial" w:hAnsi="Arial"/>
                  <w:sz w:val="17"/>
                  <w:szCs w:val="17"/>
                  <w:color w:val="0000FF"/>
                  <w:w w:val="96"/>
                </w:rPr>
                <w:t>Certificate of Amendment to Amended and Restated Certificate of Incorporation of the Company (incorporated</w:t>
              </w:r>
            </w:hyperlink>
          </w:p>
        </w:tc>
      </w:tr>
      <w:tr>
        <w:trPr>
          <w:trHeight w:val="150"/>
        </w:trPr>
        <w:tc>
          <w:tcPr>
            <w:tcW w:w="820" w:type="dxa"/>
            <w:vAlign w:val="bottom"/>
          </w:tcPr>
          <w:p>
            <w:pPr>
              <w:spacing w:after="0"/>
              <w:rPr>
                <w:sz w:val="13"/>
                <w:szCs w:val="13"/>
                <w:color w:val="auto"/>
              </w:rPr>
            </w:pPr>
          </w:p>
        </w:tc>
        <w:tc>
          <w:tcPr>
            <w:tcW w:w="7860" w:type="dxa"/>
            <w:vAlign w:val="bottom"/>
            <w:tcBorders>
              <w:top w:val="single" w:sz="8" w:color="0000FF"/>
              <w:bottom w:val="single" w:sz="8" w:color="0000FF"/>
            </w:tcBorders>
            <w:gridSpan w:val="11"/>
          </w:tcPr>
          <w:p>
            <w:pPr>
              <w:spacing w:after="0" w:line="150" w:lineRule="exact"/>
              <w:rPr>
                <w:rFonts w:ascii="Arial" w:cs="Arial" w:eastAsia="Arial" w:hAnsi="Arial"/>
                <w:sz w:val="17"/>
                <w:szCs w:val="17"/>
                <w:color w:val="0000FF"/>
                <w:w w:val="97"/>
              </w:rPr>
            </w:pPr>
            <w:hyperlink r:id="rId91">
              <w:r>
                <w:rPr>
                  <w:rFonts w:ascii="Arial" w:cs="Arial" w:eastAsia="Arial" w:hAnsi="Arial"/>
                  <w:sz w:val="17"/>
                  <w:szCs w:val="17"/>
                  <w:color w:val="0000FF"/>
                  <w:w w:val="97"/>
                </w:rPr>
                <w:t>by reference to Annex A to the Company’s Definitive Proxy Statement on Schedule 14A (File No. 1-33089)</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820" w:type="dxa"/>
            <w:vAlign w:val="bottom"/>
          </w:tcPr>
          <w:p>
            <w:pPr>
              <w:spacing w:after="0"/>
              <w:rPr>
                <w:sz w:val="13"/>
                <w:szCs w:val="13"/>
                <w:color w:val="auto"/>
              </w:rPr>
            </w:pPr>
          </w:p>
        </w:tc>
        <w:tc>
          <w:tcPr>
            <w:tcW w:w="1720" w:type="dxa"/>
            <w:vAlign w:val="bottom"/>
            <w:tcBorders>
              <w:bottom w:val="single" w:sz="8" w:color="0000FF"/>
            </w:tcBorders>
          </w:tcPr>
          <w:p>
            <w:pPr>
              <w:spacing w:after="0" w:line="150" w:lineRule="exact"/>
              <w:rPr>
                <w:rFonts w:ascii="Arial" w:cs="Arial" w:eastAsia="Arial" w:hAnsi="Arial"/>
                <w:sz w:val="17"/>
                <w:szCs w:val="17"/>
                <w:color w:val="0000FF"/>
                <w:w w:val="97"/>
              </w:rPr>
            </w:pPr>
            <w:hyperlink r:id="rId91">
              <w:r>
                <w:rPr>
                  <w:rFonts w:ascii="Arial" w:cs="Arial" w:eastAsia="Arial" w:hAnsi="Arial"/>
                  <w:sz w:val="17"/>
                  <w:szCs w:val="17"/>
                  <w:color w:val="0000FF"/>
                  <w:w w:val="97"/>
                </w:rPr>
                <w:t>filed on April 26, 2019).</w:t>
              </w:r>
            </w:hyperlink>
          </w:p>
        </w:tc>
        <w:tc>
          <w:tcPr>
            <w:tcW w:w="6240" w:type="dxa"/>
            <w:vAlign w:val="bottom"/>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8"/>
        </w:trPr>
        <w:tc>
          <w:tcPr>
            <w:tcW w:w="820" w:type="dxa"/>
            <w:vAlign w:val="bottom"/>
          </w:tcPr>
          <w:p>
            <w:pPr>
              <w:spacing w:after="0"/>
              <w:rPr>
                <w:sz w:val="20"/>
                <w:szCs w:val="20"/>
                <w:color w:val="auto"/>
              </w:rPr>
            </w:pPr>
            <w:r>
              <w:rPr>
                <w:rFonts w:ascii="Arial" w:cs="Arial" w:eastAsia="Arial" w:hAnsi="Arial"/>
                <w:sz w:val="17"/>
                <w:szCs w:val="17"/>
                <w:color w:val="auto"/>
              </w:rPr>
              <w:t>3.3</w:t>
            </w:r>
          </w:p>
        </w:tc>
        <w:tc>
          <w:tcPr>
            <w:tcW w:w="8020" w:type="dxa"/>
            <w:vAlign w:val="bottom"/>
            <w:gridSpan w:val="19"/>
          </w:tcPr>
          <w:p>
            <w:pPr>
              <w:spacing w:after="0"/>
              <w:rPr>
                <w:rFonts w:ascii="Arial" w:cs="Arial" w:eastAsia="Arial" w:hAnsi="Arial"/>
                <w:sz w:val="17"/>
                <w:szCs w:val="17"/>
                <w:color w:val="0000FF"/>
                <w:w w:val="97"/>
              </w:rPr>
            </w:pPr>
            <w:hyperlink r:id="rId92">
              <w:r>
                <w:rPr>
                  <w:rFonts w:ascii="Arial" w:cs="Arial" w:eastAsia="Arial" w:hAnsi="Arial"/>
                  <w:sz w:val="17"/>
                  <w:szCs w:val="17"/>
                  <w:color w:val="0000FF"/>
                  <w:w w:val="97"/>
                </w:rPr>
                <w:t>Fifth Amended and Restated By-laws of ExlService Holdings, Inc. (incorporated by reference to Exhibit 3.2 of</w:t>
              </w:r>
            </w:hyperlink>
          </w:p>
        </w:tc>
      </w:tr>
      <w:tr>
        <w:trPr>
          <w:trHeight w:val="150"/>
        </w:trPr>
        <w:tc>
          <w:tcPr>
            <w:tcW w:w="820" w:type="dxa"/>
            <w:vAlign w:val="bottom"/>
          </w:tcPr>
          <w:p>
            <w:pPr>
              <w:spacing w:after="0"/>
              <w:rPr>
                <w:sz w:val="13"/>
                <w:szCs w:val="13"/>
                <w:color w:val="auto"/>
              </w:rPr>
            </w:pPr>
          </w:p>
        </w:tc>
        <w:tc>
          <w:tcPr>
            <w:tcW w:w="6140" w:type="dxa"/>
            <w:vAlign w:val="bottom"/>
            <w:tcBorders>
              <w:top w:val="single" w:sz="8" w:color="0000FF"/>
              <w:bottom w:val="single" w:sz="8" w:color="0000FF"/>
            </w:tcBorders>
            <w:gridSpan w:val="8"/>
          </w:tcPr>
          <w:p>
            <w:pPr>
              <w:spacing w:after="0" w:line="150" w:lineRule="exact"/>
              <w:rPr>
                <w:rFonts w:ascii="Arial" w:cs="Arial" w:eastAsia="Arial" w:hAnsi="Arial"/>
                <w:sz w:val="17"/>
                <w:szCs w:val="17"/>
                <w:color w:val="0000FF"/>
                <w:w w:val="94"/>
              </w:rPr>
            </w:pPr>
            <w:hyperlink r:id="rId92">
              <w:r>
                <w:rPr>
                  <w:rFonts w:ascii="Arial" w:cs="Arial" w:eastAsia="Arial" w:hAnsi="Arial"/>
                  <w:sz w:val="17"/>
                  <w:szCs w:val="17"/>
                  <w:color w:val="0000FF"/>
                  <w:w w:val="94"/>
                </w:rPr>
                <w:t>the Company’s Current Report on Form 8-K (File No. 1-33089) filed on June 19, 2019)</w:t>
              </w:r>
            </w:hyperlink>
          </w:p>
        </w:tc>
        <w:tc>
          <w:tcPr>
            <w:tcW w:w="16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8"/>
        </w:trPr>
        <w:tc>
          <w:tcPr>
            <w:tcW w:w="820" w:type="dxa"/>
            <w:vAlign w:val="bottom"/>
          </w:tcPr>
          <w:p>
            <w:pPr>
              <w:spacing w:after="0"/>
              <w:rPr>
                <w:sz w:val="20"/>
                <w:szCs w:val="20"/>
                <w:color w:val="auto"/>
              </w:rPr>
            </w:pPr>
            <w:r>
              <w:rPr>
                <w:rFonts w:ascii="Arial" w:cs="Arial" w:eastAsia="Arial" w:hAnsi="Arial"/>
                <w:sz w:val="17"/>
                <w:szCs w:val="17"/>
                <w:color w:val="auto"/>
              </w:rPr>
              <w:t>10.1</w:t>
            </w:r>
          </w:p>
        </w:tc>
        <w:tc>
          <w:tcPr>
            <w:tcW w:w="8020" w:type="dxa"/>
            <w:vAlign w:val="bottom"/>
            <w:gridSpan w:val="19"/>
          </w:tcPr>
          <w:p>
            <w:pPr>
              <w:spacing w:after="0"/>
              <w:rPr>
                <w:sz w:val="20"/>
                <w:szCs w:val="20"/>
                <w:color w:val="auto"/>
              </w:rPr>
            </w:pPr>
            <w:r>
              <w:rPr>
                <w:rFonts w:ascii="Arial" w:cs="Arial" w:eastAsia="Arial" w:hAnsi="Arial"/>
                <w:sz w:val="17"/>
                <w:szCs w:val="17"/>
                <w:color w:val="0000FF"/>
              </w:rPr>
              <w:t>Amendment to Second Amended and Restated Employment and Non-Competition Agreement between</w:t>
            </w:r>
          </w:p>
        </w:tc>
      </w:tr>
      <w:tr>
        <w:trPr>
          <w:trHeight w:val="150"/>
        </w:trPr>
        <w:tc>
          <w:tcPr>
            <w:tcW w:w="82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3"/>
          </w:tcPr>
          <w:p>
            <w:pPr>
              <w:spacing w:after="0" w:line="150" w:lineRule="exact"/>
              <w:rPr>
                <w:sz w:val="20"/>
                <w:szCs w:val="20"/>
                <w:color w:val="auto"/>
              </w:rPr>
            </w:pPr>
            <w:r>
              <w:rPr>
                <w:rFonts w:ascii="Arial" w:cs="Arial" w:eastAsia="Arial" w:hAnsi="Arial"/>
                <w:sz w:val="17"/>
                <w:szCs w:val="17"/>
                <w:color w:val="0000FF"/>
                <w:w w:val="93"/>
              </w:rPr>
              <w:t>ExlService Holdings, Inc. and Rohit Kapoor, dated as of August 12, 2022.</w:t>
            </w:r>
          </w:p>
        </w:tc>
        <w:tc>
          <w:tcPr>
            <w:tcW w:w="264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8"/>
        </w:trPr>
        <w:tc>
          <w:tcPr>
            <w:tcW w:w="820" w:type="dxa"/>
            <w:vAlign w:val="bottom"/>
          </w:tcPr>
          <w:p>
            <w:pPr>
              <w:spacing w:after="0"/>
              <w:rPr>
                <w:sz w:val="20"/>
                <w:szCs w:val="20"/>
                <w:color w:val="auto"/>
              </w:rPr>
            </w:pPr>
            <w:r>
              <w:rPr>
                <w:rFonts w:ascii="Arial" w:cs="Arial" w:eastAsia="Arial" w:hAnsi="Arial"/>
                <w:sz w:val="17"/>
                <w:szCs w:val="17"/>
                <w:color w:val="auto"/>
              </w:rPr>
              <w:t>31.1</w:t>
            </w:r>
          </w:p>
        </w:tc>
        <w:tc>
          <w:tcPr>
            <w:tcW w:w="8020" w:type="dxa"/>
            <w:vAlign w:val="bottom"/>
            <w:gridSpan w:val="19"/>
          </w:tcPr>
          <w:p>
            <w:pPr>
              <w:spacing w:after="0"/>
              <w:rPr>
                <w:sz w:val="20"/>
                <w:szCs w:val="20"/>
                <w:color w:val="auto"/>
              </w:rPr>
            </w:pPr>
            <w:r>
              <w:rPr>
                <w:rFonts w:ascii="Arial" w:cs="Arial" w:eastAsia="Arial" w:hAnsi="Arial"/>
                <w:sz w:val="17"/>
                <w:szCs w:val="17"/>
                <w:color w:val="0000FF"/>
              </w:rPr>
              <w:t>Certification of the Chief Executive Officer of ExlService Holdings, pursuant to Rule 13a-14(a) of the</w:t>
            </w:r>
          </w:p>
        </w:tc>
      </w:tr>
      <w:tr>
        <w:trPr>
          <w:trHeight w:val="150"/>
        </w:trPr>
        <w:tc>
          <w:tcPr>
            <w:tcW w:w="820" w:type="dxa"/>
            <w:vAlign w:val="bottom"/>
          </w:tcPr>
          <w:p>
            <w:pPr>
              <w:spacing w:after="0"/>
              <w:rPr>
                <w:sz w:val="13"/>
                <w:szCs w:val="13"/>
                <w:color w:val="auto"/>
              </w:rPr>
            </w:pPr>
          </w:p>
        </w:tc>
        <w:tc>
          <w:tcPr>
            <w:tcW w:w="6060" w:type="dxa"/>
            <w:vAlign w:val="bottom"/>
            <w:tcBorders>
              <w:top w:val="single" w:sz="8" w:color="0000FF"/>
              <w:bottom w:val="single" w:sz="8" w:color="0000FF"/>
            </w:tcBorders>
            <w:gridSpan w:val="7"/>
          </w:tcPr>
          <w:p>
            <w:pPr>
              <w:spacing w:after="0" w:line="150" w:lineRule="exact"/>
              <w:rPr>
                <w:sz w:val="20"/>
                <w:szCs w:val="20"/>
                <w:color w:val="auto"/>
              </w:rPr>
            </w:pPr>
            <w:r>
              <w:rPr>
                <w:rFonts w:ascii="Arial" w:cs="Arial" w:eastAsia="Arial" w:hAnsi="Arial"/>
                <w:sz w:val="17"/>
                <w:szCs w:val="17"/>
                <w:color w:val="0000FF"/>
                <w:w w:val="92"/>
              </w:rPr>
              <w:t>Exchange Act, as adopted pursuant to Section 302 of the Sarbanes-Oxley Act of 2002.</w:t>
            </w:r>
          </w:p>
        </w:tc>
        <w:tc>
          <w:tcPr>
            <w:tcW w:w="1860" w:type="dxa"/>
            <w:vAlign w:val="bottom"/>
            <w:tcBorders>
              <w:top w:val="single" w:sz="8" w:color="0000FF"/>
            </w:tcBorders>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8"/>
        </w:trPr>
        <w:tc>
          <w:tcPr>
            <w:tcW w:w="820" w:type="dxa"/>
            <w:vAlign w:val="bottom"/>
          </w:tcPr>
          <w:p>
            <w:pPr>
              <w:spacing w:after="0"/>
              <w:rPr>
                <w:sz w:val="20"/>
                <w:szCs w:val="20"/>
                <w:color w:val="auto"/>
              </w:rPr>
            </w:pPr>
            <w:r>
              <w:rPr>
                <w:rFonts w:ascii="Arial" w:cs="Arial" w:eastAsia="Arial" w:hAnsi="Arial"/>
                <w:sz w:val="17"/>
                <w:szCs w:val="17"/>
                <w:color w:val="auto"/>
              </w:rPr>
              <w:t>31.2</w:t>
            </w:r>
          </w:p>
        </w:tc>
        <w:tc>
          <w:tcPr>
            <w:tcW w:w="8020" w:type="dxa"/>
            <w:vAlign w:val="bottom"/>
            <w:gridSpan w:val="19"/>
          </w:tcPr>
          <w:p>
            <w:pPr>
              <w:spacing w:after="0"/>
              <w:rPr>
                <w:sz w:val="20"/>
                <w:szCs w:val="20"/>
                <w:color w:val="auto"/>
              </w:rPr>
            </w:pPr>
            <w:r>
              <w:rPr>
                <w:rFonts w:ascii="Arial" w:cs="Arial" w:eastAsia="Arial" w:hAnsi="Arial"/>
                <w:sz w:val="17"/>
                <w:szCs w:val="17"/>
                <w:color w:val="0000FF"/>
                <w:w w:val="97"/>
              </w:rPr>
              <w:t>Certification of the Chief Financial Officer of ExlService Holdings, pursuant to Rule 13a-14(a) of the Exchange</w:t>
            </w:r>
          </w:p>
        </w:tc>
      </w:tr>
      <w:tr>
        <w:trPr>
          <w:trHeight w:val="150"/>
        </w:trPr>
        <w:tc>
          <w:tcPr>
            <w:tcW w:w="820" w:type="dxa"/>
            <w:vAlign w:val="bottom"/>
          </w:tcPr>
          <w:p>
            <w:pPr>
              <w:spacing w:after="0"/>
              <w:rPr>
                <w:sz w:val="13"/>
                <w:szCs w:val="13"/>
                <w:color w:val="auto"/>
              </w:rPr>
            </w:pPr>
          </w:p>
        </w:tc>
        <w:tc>
          <w:tcPr>
            <w:tcW w:w="5320" w:type="dxa"/>
            <w:vAlign w:val="bottom"/>
            <w:tcBorders>
              <w:top w:val="single" w:sz="8" w:color="0000FF"/>
              <w:bottom w:val="single" w:sz="8" w:color="0000FF"/>
            </w:tcBorders>
            <w:gridSpan w:val="4"/>
          </w:tcPr>
          <w:p>
            <w:pPr>
              <w:spacing w:after="0" w:line="150" w:lineRule="exact"/>
              <w:rPr>
                <w:sz w:val="20"/>
                <w:szCs w:val="20"/>
                <w:color w:val="auto"/>
              </w:rPr>
            </w:pPr>
            <w:r>
              <w:rPr>
                <w:rFonts w:ascii="Arial" w:cs="Arial" w:eastAsia="Arial" w:hAnsi="Arial"/>
                <w:sz w:val="17"/>
                <w:szCs w:val="17"/>
                <w:color w:val="0000FF"/>
                <w:w w:val="92"/>
              </w:rPr>
              <w:t>Act, as adopted pursuant to Section 302 of the Sarbanes-Oxley Act of 2002.</w:t>
            </w:r>
          </w:p>
        </w:tc>
        <w:tc>
          <w:tcPr>
            <w:tcW w:w="266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8"/>
        </w:trPr>
        <w:tc>
          <w:tcPr>
            <w:tcW w:w="820" w:type="dxa"/>
            <w:vAlign w:val="bottom"/>
          </w:tcPr>
          <w:p>
            <w:pPr>
              <w:spacing w:after="0"/>
              <w:rPr>
                <w:sz w:val="20"/>
                <w:szCs w:val="20"/>
                <w:color w:val="auto"/>
              </w:rPr>
            </w:pPr>
            <w:r>
              <w:rPr>
                <w:rFonts w:ascii="Arial" w:cs="Arial" w:eastAsia="Arial" w:hAnsi="Arial"/>
                <w:sz w:val="17"/>
                <w:szCs w:val="17"/>
                <w:color w:val="auto"/>
              </w:rPr>
              <w:t>32.1</w:t>
            </w:r>
          </w:p>
        </w:tc>
        <w:tc>
          <w:tcPr>
            <w:tcW w:w="8020" w:type="dxa"/>
            <w:vAlign w:val="bottom"/>
            <w:gridSpan w:val="19"/>
          </w:tcPr>
          <w:p>
            <w:pPr>
              <w:spacing w:after="0"/>
              <w:rPr>
                <w:sz w:val="20"/>
                <w:szCs w:val="20"/>
                <w:color w:val="auto"/>
              </w:rPr>
            </w:pPr>
            <w:r>
              <w:rPr>
                <w:rFonts w:ascii="Arial" w:cs="Arial" w:eastAsia="Arial" w:hAnsi="Arial"/>
                <w:sz w:val="17"/>
                <w:szCs w:val="17"/>
                <w:color w:val="0000FF"/>
              </w:rPr>
              <w:t>Certification of the Chief Executive Officer pursuant to Rule 13a-14(b) of the Exchange Act and 18 U.S.C.</w:t>
            </w:r>
          </w:p>
        </w:tc>
      </w:tr>
      <w:tr>
        <w:trPr>
          <w:trHeight w:val="150"/>
        </w:trPr>
        <w:tc>
          <w:tcPr>
            <w:tcW w:w="820" w:type="dxa"/>
            <w:vAlign w:val="bottom"/>
          </w:tcPr>
          <w:p>
            <w:pPr>
              <w:spacing w:after="0"/>
              <w:rPr>
                <w:sz w:val="13"/>
                <w:szCs w:val="13"/>
                <w:color w:val="auto"/>
              </w:rPr>
            </w:pPr>
          </w:p>
        </w:tc>
        <w:tc>
          <w:tcPr>
            <w:tcW w:w="6000" w:type="dxa"/>
            <w:vAlign w:val="bottom"/>
            <w:tcBorders>
              <w:top w:val="single" w:sz="8" w:color="0000FF"/>
              <w:bottom w:val="single" w:sz="8" w:color="0000FF"/>
            </w:tcBorders>
            <w:gridSpan w:val="6"/>
          </w:tcPr>
          <w:p>
            <w:pPr>
              <w:spacing w:after="0" w:line="150" w:lineRule="exact"/>
              <w:rPr>
                <w:sz w:val="20"/>
                <w:szCs w:val="20"/>
                <w:color w:val="auto"/>
              </w:rPr>
            </w:pPr>
            <w:r>
              <w:rPr>
                <w:rFonts w:ascii="Arial" w:cs="Arial" w:eastAsia="Arial" w:hAnsi="Arial"/>
                <w:sz w:val="17"/>
                <w:szCs w:val="17"/>
                <w:color w:val="0000FF"/>
                <w:w w:val="92"/>
              </w:rPr>
              <w:t>Section 1350, as adopted pursuant to Section 906 of the Sarbanes-Oxley Act of 2002.</w:t>
            </w:r>
          </w:p>
        </w:tc>
        <w:tc>
          <w:tcPr>
            <w:tcW w:w="1880" w:type="dxa"/>
            <w:vAlign w:val="bottom"/>
            <w:tcBorders>
              <w:top w:val="single" w:sz="8" w:color="0000FF"/>
            </w:tcBorders>
            <w:gridSpan w:val="6"/>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68"/>
        </w:trPr>
        <w:tc>
          <w:tcPr>
            <w:tcW w:w="820" w:type="dxa"/>
            <w:vAlign w:val="bottom"/>
          </w:tcPr>
          <w:p>
            <w:pPr>
              <w:spacing w:after="0"/>
              <w:rPr>
                <w:sz w:val="20"/>
                <w:szCs w:val="20"/>
                <w:color w:val="auto"/>
              </w:rPr>
            </w:pPr>
            <w:r>
              <w:rPr>
                <w:rFonts w:ascii="Arial" w:cs="Arial" w:eastAsia="Arial" w:hAnsi="Arial"/>
                <w:sz w:val="17"/>
                <w:szCs w:val="17"/>
                <w:color w:val="auto"/>
              </w:rPr>
              <w:t>32.2</w:t>
            </w:r>
          </w:p>
        </w:tc>
        <w:tc>
          <w:tcPr>
            <w:tcW w:w="8020" w:type="dxa"/>
            <w:vAlign w:val="bottom"/>
            <w:gridSpan w:val="19"/>
          </w:tcPr>
          <w:p>
            <w:pPr>
              <w:spacing w:after="0"/>
              <w:rPr>
                <w:sz w:val="20"/>
                <w:szCs w:val="20"/>
                <w:color w:val="auto"/>
              </w:rPr>
            </w:pPr>
            <w:r>
              <w:rPr>
                <w:rFonts w:ascii="Arial" w:cs="Arial" w:eastAsia="Arial" w:hAnsi="Arial"/>
                <w:sz w:val="17"/>
                <w:szCs w:val="17"/>
                <w:color w:val="0000FF"/>
              </w:rPr>
              <w:t>Certification of the Chief Financial Officer pursuant to Rule 13a-14(b) of the Exchange Act and 18 U.S.C.</w:t>
            </w:r>
          </w:p>
        </w:tc>
      </w:tr>
      <w:tr>
        <w:trPr>
          <w:trHeight w:val="150"/>
        </w:trPr>
        <w:tc>
          <w:tcPr>
            <w:tcW w:w="820" w:type="dxa"/>
            <w:vAlign w:val="bottom"/>
          </w:tcPr>
          <w:p>
            <w:pPr>
              <w:spacing w:after="0"/>
              <w:rPr>
                <w:sz w:val="13"/>
                <w:szCs w:val="13"/>
                <w:color w:val="auto"/>
              </w:rPr>
            </w:pPr>
          </w:p>
        </w:tc>
        <w:tc>
          <w:tcPr>
            <w:tcW w:w="8000" w:type="dxa"/>
            <w:vAlign w:val="bottom"/>
            <w:tcBorders>
              <w:top w:val="single" w:sz="8" w:color="0000FF"/>
            </w:tcBorders>
            <w:gridSpan w:val="18"/>
          </w:tcPr>
          <w:p>
            <w:pPr>
              <w:spacing w:after="0" w:line="150" w:lineRule="exact"/>
              <w:rPr>
                <w:sz w:val="20"/>
                <w:szCs w:val="20"/>
                <w:color w:val="auto"/>
              </w:rPr>
            </w:pPr>
            <w:r>
              <w:rPr>
                <w:rFonts w:ascii="Arial" w:cs="Arial" w:eastAsia="Arial" w:hAnsi="Arial"/>
                <w:sz w:val="17"/>
                <w:szCs w:val="17"/>
                <w:color w:val="0000FF"/>
              </w:rPr>
              <w:t>Section 1350, as adopted pursuant to Section 906 of the Sarbanes-Oxley Act of 2002.</w:t>
            </w:r>
          </w:p>
        </w:tc>
        <w:tc>
          <w:tcPr>
            <w:tcW w:w="20" w:type="dxa"/>
            <w:vAlign w:val="bottom"/>
          </w:tcPr>
          <w:p>
            <w:pPr>
              <w:spacing w:after="0"/>
              <w:rPr>
                <w:sz w:val="13"/>
                <w:szCs w:val="13"/>
                <w:color w:val="auto"/>
              </w:rPr>
            </w:pPr>
          </w:p>
        </w:tc>
      </w:tr>
      <w:tr>
        <w:trPr>
          <w:trHeight w:val="307"/>
        </w:trPr>
        <w:tc>
          <w:tcPr>
            <w:tcW w:w="820" w:type="dxa"/>
            <w:vAlign w:val="bottom"/>
          </w:tcPr>
          <w:p>
            <w:pPr>
              <w:spacing w:after="0"/>
              <w:rPr>
                <w:sz w:val="20"/>
                <w:szCs w:val="20"/>
                <w:color w:val="auto"/>
              </w:rPr>
            </w:pPr>
            <w:r>
              <w:rPr>
                <w:rFonts w:ascii="Arial" w:cs="Arial" w:eastAsia="Arial" w:hAnsi="Arial"/>
                <w:sz w:val="17"/>
                <w:szCs w:val="17"/>
                <w:color w:val="auto"/>
              </w:rPr>
              <w:t>101.INS</w:t>
            </w:r>
          </w:p>
        </w:tc>
        <w:tc>
          <w:tcPr>
            <w:tcW w:w="5980" w:type="dxa"/>
            <w:vAlign w:val="bottom"/>
            <w:tcBorders>
              <w:top w:val="single" w:sz="8" w:color="0000FF"/>
            </w:tcBorders>
            <w:gridSpan w:val="5"/>
          </w:tcPr>
          <w:p>
            <w:pPr>
              <w:spacing w:after="0"/>
              <w:rPr>
                <w:sz w:val="20"/>
                <w:szCs w:val="20"/>
                <w:color w:val="auto"/>
              </w:rPr>
            </w:pPr>
            <w:r>
              <w:rPr>
                <w:rFonts w:ascii="Arial" w:cs="Arial" w:eastAsia="Arial" w:hAnsi="Arial"/>
                <w:sz w:val="17"/>
                <w:szCs w:val="17"/>
                <w:color w:val="auto"/>
              </w:rPr>
              <w:t>XBRL Instance Document</w:t>
            </w:r>
          </w:p>
        </w:tc>
        <w:tc>
          <w:tcPr>
            <w:tcW w:w="2040" w:type="dxa"/>
            <w:vAlign w:val="bottom"/>
            <w:gridSpan w:val="14"/>
          </w:tcPr>
          <w:p>
            <w:pPr>
              <w:spacing w:after="0"/>
              <w:rPr>
                <w:sz w:val="24"/>
                <w:szCs w:val="24"/>
                <w:color w:val="auto"/>
              </w:rPr>
            </w:pPr>
          </w:p>
        </w:tc>
      </w:tr>
      <w:tr>
        <w:trPr>
          <w:trHeight w:val="275"/>
        </w:trPr>
        <w:tc>
          <w:tcPr>
            <w:tcW w:w="820" w:type="dxa"/>
            <w:vAlign w:val="bottom"/>
          </w:tcPr>
          <w:p>
            <w:pPr>
              <w:spacing w:after="0"/>
              <w:rPr>
                <w:sz w:val="20"/>
                <w:szCs w:val="20"/>
                <w:color w:val="auto"/>
              </w:rPr>
            </w:pPr>
            <w:r>
              <w:rPr>
                <w:rFonts w:ascii="Arial" w:cs="Arial" w:eastAsia="Arial" w:hAnsi="Arial"/>
                <w:sz w:val="17"/>
                <w:szCs w:val="17"/>
                <w:color w:val="auto"/>
              </w:rPr>
              <w:t>101.SCH</w:t>
            </w:r>
          </w:p>
        </w:tc>
        <w:tc>
          <w:tcPr>
            <w:tcW w:w="8020" w:type="dxa"/>
            <w:vAlign w:val="bottom"/>
            <w:gridSpan w:val="19"/>
          </w:tcPr>
          <w:p>
            <w:pPr>
              <w:spacing w:after="0"/>
              <w:rPr>
                <w:sz w:val="20"/>
                <w:szCs w:val="20"/>
                <w:color w:val="auto"/>
              </w:rPr>
            </w:pPr>
            <w:r>
              <w:rPr>
                <w:rFonts w:ascii="Arial" w:cs="Arial" w:eastAsia="Arial" w:hAnsi="Arial"/>
                <w:sz w:val="17"/>
                <w:szCs w:val="17"/>
                <w:color w:val="auto"/>
              </w:rPr>
              <w:t>XBRL Taxonomy Extension Scheme</w:t>
            </w:r>
          </w:p>
        </w:tc>
      </w:tr>
      <w:tr>
        <w:trPr>
          <w:trHeight w:val="275"/>
        </w:trPr>
        <w:tc>
          <w:tcPr>
            <w:tcW w:w="820" w:type="dxa"/>
            <w:vAlign w:val="bottom"/>
          </w:tcPr>
          <w:p>
            <w:pPr>
              <w:spacing w:after="0"/>
              <w:rPr>
                <w:sz w:val="20"/>
                <w:szCs w:val="20"/>
                <w:color w:val="auto"/>
              </w:rPr>
            </w:pPr>
            <w:r>
              <w:rPr>
                <w:rFonts w:ascii="Arial" w:cs="Arial" w:eastAsia="Arial" w:hAnsi="Arial"/>
                <w:sz w:val="17"/>
                <w:szCs w:val="17"/>
                <w:color w:val="auto"/>
              </w:rPr>
              <w:t>101.CAL</w:t>
            </w:r>
          </w:p>
        </w:tc>
        <w:tc>
          <w:tcPr>
            <w:tcW w:w="8020" w:type="dxa"/>
            <w:vAlign w:val="bottom"/>
            <w:gridSpan w:val="19"/>
          </w:tcPr>
          <w:p>
            <w:pPr>
              <w:spacing w:after="0"/>
              <w:rPr>
                <w:sz w:val="20"/>
                <w:szCs w:val="20"/>
                <w:color w:val="auto"/>
              </w:rPr>
            </w:pPr>
            <w:r>
              <w:rPr>
                <w:rFonts w:ascii="Arial" w:cs="Arial" w:eastAsia="Arial" w:hAnsi="Arial"/>
                <w:sz w:val="17"/>
                <w:szCs w:val="17"/>
                <w:color w:val="auto"/>
              </w:rPr>
              <w:t>XBRL Taxonomy Extension Calculation Linkbase</w:t>
            </w:r>
          </w:p>
        </w:tc>
      </w:tr>
      <w:tr>
        <w:trPr>
          <w:trHeight w:val="275"/>
        </w:trPr>
        <w:tc>
          <w:tcPr>
            <w:tcW w:w="820" w:type="dxa"/>
            <w:vAlign w:val="bottom"/>
          </w:tcPr>
          <w:p>
            <w:pPr>
              <w:spacing w:after="0"/>
              <w:rPr>
                <w:sz w:val="20"/>
                <w:szCs w:val="20"/>
                <w:color w:val="auto"/>
              </w:rPr>
            </w:pPr>
            <w:r>
              <w:rPr>
                <w:rFonts w:ascii="Arial" w:cs="Arial" w:eastAsia="Arial" w:hAnsi="Arial"/>
                <w:sz w:val="17"/>
                <w:szCs w:val="17"/>
                <w:color w:val="auto"/>
              </w:rPr>
              <w:t>101.DEF</w:t>
            </w:r>
          </w:p>
        </w:tc>
        <w:tc>
          <w:tcPr>
            <w:tcW w:w="8020" w:type="dxa"/>
            <w:vAlign w:val="bottom"/>
            <w:gridSpan w:val="19"/>
          </w:tcPr>
          <w:p>
            <w:pPr>
              <w:spacing w:after="0"/>
              <w:rPr>
                <w:sz w:val="20"/>
                <w:szCs w:val="20"/>
                <w:color w:val="auto"/>
              </w:rPr>
            </w:pPr>
            <w:r>
              <w:rPr>
                <w:rFonts w:ascii="Arial" w:cs="Arial" w:eastAsia="Arial" w:hAnsi="Arial"/>
                <w:sz w:val="17"/>
                <w:szCs w:val="17"/>
                <w:color w:val="auto"/>
              </w:rPr>
              <w:t>XBRL Taxonomy Extension Definition Linkbase</w:t>
            </w:r>
          </w:p>
        </w:tc>
      </w:tr>
      <w:tr>
        <w:trPr>
          <w:trHeight w:val="275"/>
        </w:trPr>
        <w:tc>
          <w:tcPr>
            <w:tcW w:w="820" w:type="dxa"/>
            <w:vAlign w:val="bottom"/>
          </w:tcPr>
          <w:p>
            <w:pPr>
              <w:spacing w:after="0"/>
              <w:rPr>
                <w:sz w:val="20"/>
                <w:szCs w:val="20"/>
                <w:color w:val="auto"/>
              </w:rPr>
            </w:pPr>
            <w:r>
              <w:rPr>
                <w:rFonts w:ascii="Arial" w:cs="Arial" w:eastAsia="Arial" w:hAnsi="Arial"/>
                <w:sz w:val="17"/>
                <w:szCs w:val="17"/>
                <w:color w:val="auto"/>
              </w:rPr>
              <w:t>101.LAB</w:t>
            </w:r>
          </w:p>
        </w:tc>
        <w:tc>
          <w:tcPr>
            <w:tcW w:w="8020" w:type="dxa"/>
            <w:vAlign w:val="bottom"/>
            <w:gridSpan w:val="19"/>
          </w:tcPr>
          <w:p>
            <w:pPr>
              <w:spacing w:after="0"/>
              <w:rPr>
                <w:sz w:val="20"/>
                <w:szCs w:val="20"/>
                <w:color w:val="auto"/>
              </w:rPr>
            </w:pPr>
            <w:r>
              <w:rPr>
                <w:rFonts w:ascii="Arial" w:cs="Arial" w:eastAsia="Arial" w:hAnsi="Arial"/>
                <w:sz w:val="17"/>
                <w:szCs w:val="17"/>
                <w:color w:val="auto"/>
              </w:rPr>
              <w:t>XBRL Taxonomy Extension Label Linkbase</w:t>
            </w:r>
          </w:p>
        </w:tc>
      </w:tr>
      <w:tr>
        <w:trPr>
          <w:trHeight w:val="275"/>
        </w:trPr>
        <w:tc>
          <w:tcPr>
            <w:tcW w:w="820" w:type="dxa"/>
            <w:vAlign w:val="bottom"/>
          </w:tcPr>
          <w:p>
            <w:pPr>
              <w:spacing w:after="0"/>
              <w:rPr>
                <w:sz w:val="20"/>
                <w:szCs w:val="20"/>
                <w:color w:val="auto"/>
              </w:rPr>
            </w:pPr>
            <w:r>
              <w:rPr>
                <w:rFonts w:ascii="Arial" w:cs="Arial" w:eastAsia="Arial" w:hAnsi="Arial"/>
                <w:sz w:val="17"/>
                <w:szCs w:val="17"/>
                <w:color w:val="auto"/>
              </w:rPr>
              <w:t>101.PRE</w:t>
            </w:r>
          </w:p>
        </w:tc>
        <w:tc>
          <w:tcPr>
            <w:tcW w:w="8020" w:type="dxa"/>
            <w:vAlign w:val="bottom"/>
            <w:gridSpan w:val="19"/>
          </w:tcPr>
          <w:p>
            <w:pPr>
              <w:spacing w:after="0"/>
              <w:rPr>
                <w:sz w:val="20"/>
                <w:szCs w:val="20"/>
                <w:color w:val="auto"/>
              </w:rPr>
            </w:pPr>
            <w:r>
              <w:rPr>
                <w:rFonts w:ascii="Arial" w:cs="Arial" w:eastAsia="Arial" w:hAnsi="Arial"/>
                <w:sz w:val="17"/>
                <w:szCs w:val="17"/>
                <w:color w:val="auto"/>
              </w:rPr>
              <w:t>XBRL Extension Presentation Linkbase</w:t>
            </w:r>
          </w:p>
        </w:tc>
      </w:tr>
    </w:tbl>
    <w:p>
      <w:pPr>
        <w:spacing w:after="0" w:line="54" w:lineRule="exact"/>
        <w:rPr>
          <w:sz w:val="20"/>
          <w:szCs w:val="20"/>
          <w:color w:val="auto"/>
        </w:rPr>
      </w:pPr>
    </w:p>
    <w:p>
      <w:pPr>
        <w:ind w:left="840" w:hanging="818"/>
        <w:spacing w:after="0"/>
        <w:tabs>
          <w:tab w:leader="none" w:pos="8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71"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-690245</wp:posOffset>
            </wp:positionV>
            <wp:extent cx="4660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466090" cy="8255"/>
                    </a:xfrm>
                    <a:prstGeom prst="rect">
                      <a:avLst/>
                    </a:prstGeom>
                    <a:noFill/>
                  </pic:spPr>
                </pic:pic>
              </a:graphicData>
            </a:graphic>
          </wp:anchor>
        </w:drawing>
      </w:r>
    </w:p>
    <w:p>
      <w:pPr>
        <w:sectPr>
          <w:pgSz w:w="11900" w:h="16838" w:orient="portrait"/>
          <w:cols w:equalWidth="0" w:num="1">
            <w:col w:w="10139"/>
          </w:cols>
          <w:pgMar w:left="320" w:top="357" w:right="1440"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right="780" w:firstLine="433"/>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280" w:type="dxa"/>
            <w:vAlign w:val="bottom"/>
          </w:tcPr>
          <w:p>
            <w:pPr>
              <w:spacing w:after="0"/>
              <w:rPr>
                <w:sz w:val="20"/>
                <w:szCs w:val="20"/>
                <w:color w:val="auto"/>
              </w:rPr>
            </w:pPr>
            <w:r>
              <w:rPr>
                <w:rFonts w:ascii="Arial" w:cs="Arial" w:eastAsia="Arial" w:hAnsi="Arial"/>
                <w:sz w:val="17"/>
                <w:szCs w:val="17"/>
                <w:color w:val="auto"/>
              </w:rPr>
              <w:t>Date: October 27, 2022</w:t>
            </w:r>
          </w:p>
        </w:tc>
        <w:tc>
          <w:tcPr>
            <w:tcW w:w="7920" w:type="dxa"/>
            <w:vAlign w:val="bottom"/>
            <w:gridSpan w:val="2"/>
          </w:tcPr>
          <w:p>
            <w:pPr>
              <w:ind w:left="1640"/>
              <w:spacing w:after="0"/>
              <w:rPr>
                <w:sz w:val="20"/>
                <w:szCs w:val="20"/>
                <w:color w:val="auto"/>
              </w:rPr>
            </w:pPr>
            <w:r>
              <w:rPr>
                <w:rFonts w:ascii="Arial" w:cs="Arial" w:eastAsia="Arial" w:hAnsi="Arial"/>
                <w:sz w:val="17"/>
                <w:szCs w:val="17"/>
                <w:b w:val="1"/>
                <w:bCs w:val="1"/>
                <w:color w:val="auto"/>
              </w:rPr>
              <w:t>EXLSERVICE HOLDINGS, INC.</w:t>
            </w:r>
          </w:p>
        </w:tc>
      </w:tr>
      <w:tr>
        <w:trPr>
          <w:trHeight w:val="499"/>
        </w:trPr>
        <w:tc>
          <w:tcPr>
            <w:tcW w:w="3280" w:type="dxa"/>
            <w:vAlign w:val="bottom"/>
          </w:tcPr>
          <w:p>
            <w:pPr>
              <w:spacing w:after="0"/>
              <w:rPr>
                <w:sz w:val="24"/>
                <w:szCs w:val="24"/>
                <w:color w:val="auto"/>
              </w:rPr>
            </w:pPr>
          </w:p>
        </w:tc>
        <w:tc>
          <w:tcPr>
            <w:tcW w:w="2240" w:type="dxa"/>
            <w:vAlign w:val="bottom"/>
          </w:tcPr>
          <w:p>
            <w:pPr>
              <w:ind w:left="1640"/>
              <w:spacing w:after="0"/>
              <w:rPr>
                <w:sz w:val="20"/>
                <w:szCs w:val="20"/>
                <w:color w:val="auto"/>
              </w:rPr>
            </w:pPr>
            <w:r>
              <w:rPr>
                <w:rFonts w:ascii="Arial" w:cs="Arial" w:eastAsia="Arial" w:hAnsi="Arial"/>
                <w:sz w:val="17"/>
                <w:szCs w:val="17"/>
                <w:color w:val="auto"/>
              </w:rPr>
              <w:t>By:</w:t>
            </w: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xml:space="preserve">/ </w:t>
            </w:r>
            <w:r>
              <w:rPr>
                <w:rFonts w:ascii="Arial" w:cs="Arial" w:eastAsia="Arial" w:hAnsi="Arial"/>
                <w:sz w:val="13"/>
                <w:szCs w:val="13"/>
                <w:color w:val="auto"/>
              </w:rPr>
              <w:t>MAURIZIO NICOLELLI</w:t>
            </w:r>
          </w:p>
        </w:tc>
      </w:tr>
      <w:tr>
        <w:trPr>
          <w:trHeight w:val="124"/>
        </w:trPr>
        <w:tc>
          <w:tcPr>
            <w:tcW w:w="32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5680" w:type="dxa"/>
            <w:vAlign w:val="bottom"/>
          </w:tcPr>
          <w:p>
            <w:pPr>
              <w:ind w:left="20"/>
              <w:spacing w:after="0" w:line="125" w:lineRule="exact"/>
              <w:rPr>
                <w:sz w:val="20"/>
                <w:szCs w:val="20"/>
                <w:color w:val="auto"/>
              </w:rPr>
            </w:pPr>
            <w:r>
              <w:rPr>
                <w:rFonts w:ascii="Arial" w:cs="Arial" w:eastAsia="Arial" w:hAnsi="Arial"/>
                <w:sz w:val="14"/>
                <w:szCs w:val="14"/>
                <w:b w:val="1"/>
                <w:bCs w:val="1"/>
                <w:color w:val="auto"/>
              </w:rPr>
              <w:t>MAURIZIO NICOLELLI</w:t>
            </w:r>
          </w:p>
        </w:tc>
      </w:tr>
      <w:tr>
        <w:trPr>
          <w:trHeight w:val="151"/>
        </w:trPr>
        <w:tc>
          <w:tcPr>
            <w:tcW w:w="32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5680" w:type="dxa"/>
            <w:vAlign w:val="bottom"/>
          </w:tcPr>
          <w:p>
            <w:pPr>
              <w:ind w:left="20"/>
              <w:spacing w:after="0" w:line="151" w:lineRule="exact"/>
              <w:rPr>
                <w:sz w:val="20"/>
                <w:szCs w:val="20"/>
                <w:color w:val="auto"/>
              </w:rPr>
            </w:pPr>
            <w:r>
              <w:rPr>
                <w:rFonts w:ascii="Arial" w:cs="Arial" w:eastAsia="Arial" w:hAnsi="Arial"/>
                <w:sz w:val="14"/>
                <w:szCs w:val="14"/>
                <w:b w:val="1"/>
                <w:bCs w:val="1"/>
                <w:color w:val="auto"/>
              </w:rPr>
              <w:t>Chief Financial Officer</w:t>
            </w:r>
          </w:p>
        </w:tc>
      </w:tr>
    </w:tbl>
    <w:p>
      <w:pPr>
        <w:ind w:left="5560"/>
        <w:spacing w:after="0"/>
        <w:rPr>
          <w:sz w:val="20"/>
          <w:szCs w:val="20"/>
          <w:color w:val="auto"/>
        </w:rPr>
      </w:pPr>
      <w:r>
        <w:rPr>
          <w:rFonts w:ascii="Arial" w:cs="Arial" w:eastAsia="Arial" w:hAnsi="Arial"/>
          <w:sz w:val="14"/>
          <w:szCs w:val="14"/>
          <w:b w:val="1"/>
          <w:bCs w:val="1"/>
          <w:color w:val="auto"/>
        </w:rPr>
        <w:t>(Duly Authorized Signatory, 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220"/>
          </w:cols>
          <w:pgMar w:left="320" w:top="357" w:right="359" w:bottom="1440" w:gutter="0" w:footer="0" w:header="0"/>
        </w:sectPr>
      </w:pPr>
    </w:p>
    <w:bookmarkStart w:id="64" w:name="page65"/>
    <w:bookmarkEnd w:id="64"/>
    <w:p>
      <w:pPr>
        <w:ind w:left="10340"/>
        <w:spacing w:after="0"/>
        <w:rPr>
          <w:sz w:val="20"/>
          <w:szCs w:val="20"/>
          <w:color w:val="auto"/>
        </w:rPr>
      </w:pPr>
      <w:r>
        <w:rPr>
          <w:rFonts w:ascii="Arial" w:cs="Arial" w:eastAsia="Arial" w:hAnsi="Arial"/>
          <w:sz w:val="16"/>
          <w:szCs w:val="16"/>
          <w:b w:val="1"/>
          <w:bCs w:val="1"/>
          <w:color w:val="auto"/>
        </w:rPr>
        <w:t>Exhibit 10.1</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AMENDMENT TO SECOND AMENDED AND RESTATED EMPLOYMENT AND NON-COMPETITION AGREEMENT</w:t>
      </w:r>
    </w:p>
    <w:p>
      <w:pPr>
        <w:spacing w:after="0" w:line="237" w:lineRule="exact"/>
        <w:rPr>
          <w:sz w:val="20"/>
          <w:szCs w:val="20"/>
          <w:color w:val="auto"/>
        </w:rPr>
      </w:pPr>
    </w:p>
    <w:p>
      <w:pPr>
        <w:jc w:val="both"/>
        <w:ind w:firstLine="629"/>
        <w:spacing w:after="0"/>
        <w:rPr>
          <w:sz w:val="20"/>
          <w:szCs w:val="20"/>
          <w:color w:val="auto"/>
        </w:rPr>
      </w:pPr>
      <w:r>
        <w:rPr>
          <w:rFonts w:ascii="Arial" w:cs="Arial" w:eastAsia="Arial" w:hAnsi="Arial"/>
          <w:sz w:val="21"/>
          <w:szCs w:val="21"/>
          <w:color w:val="auto"/>
        </w:rPr>
        <w:t>The Companies and Executive are currently parties to the Second Amended and Restated Employment and Non-Competition Agreement dated as of August 3, 2020 (the “</w:t>
      </w:r>
      <w:r>
        <w:rPr>
          <w:rFonts w:ascii="Arial" w:cs="Arial" w:eastAsia="Arial" w:hAnsi="Arial"/>
          <w:sz w:val="21"/>
          <w:szCs w:val="21"/>
          <w:u w:val="single" w:color="auto"/>
          <w:color w:val="auto"/>
        </w:rPr>
        <w:t>Agreement</w:t>
      </w:r>
      <w:r>
        <w:rPr>
          <w:rFonts w:ascii="Arial" w:cs="Arial" w:eastAsia="Arial" w:hAnsi="Arial"/>
          <w:sz w:val="21"/>
          <w:szCs w:val="21"/>
          <w:color w:val="auto"/>
        </w:rPr>
        <w:t>”; capitalized terms used and not defined herein have the meaning ascribed to them in the Agreement).</w:t>
      </w:r>
    </w:p>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Executive’s United States automobile lease referenced in Section 3(i) of Schedule 6 to the Agreement has expired</w:t>
      </w:r>
      <w:r>
        <w:rPr>
          <w:rFonts w:ascii="Arial" w:cs="Arial" w:eastAsia="Arial" w:hAnsi="Arial"/>
          <w:sz w:val="21"/>
          <w:szCs w:val="21"/>
          <w:b w:val="1"/>
          <w:bCs w:val="1"/>
          <w:color w:val="auto"/>
        </w:rPr>
        <w:t xml:space="preserve"> </w:t>
      </w:r>
      <w:r>
        <w:rPr>
          <w:rFonts w:ascii="Arial" w:cs="Arial" w:eastAsia="Arial" w:hAnsi="Arial"/>
          <w:sz w:val="21"/>
          <w:szCs w:val="21"/>
          <w:color w:val="auto"/>
        </w:rPr>
        <w:t>and a new lease for a similar model automobile will exceed the current maximum monthly payment;</w:t>
      </w:r>
    </w:p>
    <w:p>
      <w:pPr>
        <w:spacing w:after="0" w:line="175" w:lineRule="exact"/>
        <w:rPr>
          <w:sz w:val="20"/>
          <w:szCs w:val="20"/>
          <w:color w:val="auto"/>
        </w:rPr>
      </w:pPr>
    </w:p>
    <w:p>
      <w:pPr>
        <w:jc w:val="both"/>
        <w:ind w:firstLine="629"/>
        <w:spacing w:after="0" w:line="252"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Company and Executive wish to amend Section 3(i) of Schedule 6 to the Agreement so as to increase the</w:t>
      </w:r>
      <w:r>
        <w:rPr>
          <w:rFonts w:ascii="Arial" w:cs="Arial" w:eastAsia="Arial" w:hAnsi="Arial"/>
          <w:sz w:val="21"/>
          <w:szCs w:val="21"/>
          <w:b w:val="1"/>
          <w:bCs w:val="1"/>
          <w:color w:val="auto"/>
        </w:rPr>
        <w:t xml:space="preserve"> </w:t>
      </w:r>
      <w:r>
        <w:rPr>
          <w:rFonts w:ascii="Arial" w:cs="Arial" w:eastAsia="Arial" w:hAnsi="Arial"/>
          <w:sz w:val="21"/>
          <w:szCs w:val="21"/>
          <w:color w:val="auto"/>
        </w:rPr>
        <w:t>maximum amount for lease or loan payments;</w:t>
      </w:r>
    </w:p>
    <w:p>
      <w:pPr>
        <w:spacing w:after="0" w:line="188" w:lineRule="exact"/>
        <w:rPr>
          <w:sz w:val="20"/>
          <w:szCs w:val="20"/>
          <w:color w:val="auto"/>
        </w:rPr>
      </w:pPr>
    </w:p>
    <w:p>
      <w:pPr>
        <w:jc w:val="both"/>
        <w:ind w:firstLine="629"/>
        <w:spacing w:after="0" w:line="252"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pursuant to Section 12(c) of the Employment Agreement, any modification of the Agreement must be agreed to</w:t>
      </w:r>
      <w:r>
        <w:rPr>
          <w:rFonts w:ascii="Arial" w:cs="Arial" w:eastAsia="Arial" w:hAnsi="Arial"/>
          <w:sz w:val="21"/>
          <w:szCs w:val="21"/>
          <w:b w:val="1"/>
          <w:bCs w:val="1"/>
          <w:color w:val="auto"/>
        </w:rPr>
        <w:t xml:space="preserve"> </w:t>
      </w:r>
      <w:r>
        <w:rPr>
          <w:rFonts w:ascii="Arial" w:cs="Arial" w:eastAsia="Arial" w:hAnsi="Arial"/>
          <w:sz w:val="21"/>
          <w:szCs w:val="21"/>
          <w:color w:val="auto"/>
        </w:rPr>
        <w:t>in a writing signed by Executive and an officer of the Company (other than Executive);</w:t>
      </w:r>
    </w:p>
    <w:p>
      <w:pPr>
        <w:spacing w:after="0" w:line="194"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21"/>
          <w:szCs w:val="21"/>
          <w:color w:val="auto"/>
        </w:rPr>
        <w:t>Accordingly, in consideration of the premises and the respective covenants and agreements of the parties set forth below, and intending to be legally bound hereby, the parties agree as follows:</w:t>
      </w:r>
    </w:p>
    <w:p>
      <w:pPr>
        <w:spacing w:after="0" w:line="174" w:lineRule="exact"/>
        <w:rPr>
          <w:sz w:val="20"/>
          <w:szCs w:val="20"/>
          <w:color w:val="auto"/>
        </w:rPr>
      </w:pPr>
    </w:p>
    <w:p>
      <w:pPr>
        <w:ind w:left="620" w:hanging="314"/>
        <w:spacing w:after="0" w:line="259" w:lineRule="auto"/>
        <w:tabs>
          <w:tab w:leader="none" w:pos="60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u w:val="single" w:color="auto"/>
          <w:color w:val="auto"/>
        </w:rPr>
        <w:t>US Automobile Payments</w:t>
      </w:r>
      <w:r>
        <w:rPr>
          <w:rFonts w:ascii="Arial" w:cs="Arial" w:eastAsia="Arial" w:hAnsi="Arial"/>
          <w:sz w:val="21"/>
          <w:szCs w:val="21"/>
          <w:color w:val="auto"/>
        </w:rPr>
        <w:t>. Section 3(i) of Schedule 6 to the Agreement is amended to replace “$1,400 per month” with</w:t>
      </w:r>
      <w:r>
        <w:rPr>
          <w:rFonts w:ascii="Arial" w:cs="Arial" w:eastAsia="Arial" w:hAnsi="Arial"/>
          <w:sz w:val="21"/>
          <w:szCs w:val="21"/>
          <w:u w:val="single" w:color="auto"/>
          <w:color w:val="auto"/>
        </w:rPr>
        <w:t xml:space="preserve"> </w:t>
      </w:r>
      <w:r>
        <w:rPr>
          <w:rFonts w:ascii="Arial" w:cs="Arial" w:eastAsia="Arial" w:hAnsi="Arial"/>
          <w:sz w:val="21"/>
          <w:szCs w:val="21"/>
          <w:color w:val="auto"/>
        </w:rPr>
        <w:t>“$2,067 per month”.</w:t>
      </w:r>
    </w:p>
    <w:p>
      <w:pPr>
        <w:spacing w:after="0" w:line="174" w:lineRule="exact"/>
        <w:rPr>
          <w:sz w:val="20"/>
          <w:szCs w:val="20"/>
          <w:color w:val="auto"/>
        </w:rPr>
      </w:pPr>
    </w:p>
    <w:p>
      <w:pPr>
        <w:ind w:left="640" w:hanging="320"/>
        <w:spacing w:after="0" w:line="259" w:lineRule="auto"/>
        <w:tabs>
          <w:tab w:leader="none" w:pos="628"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No Other Changes</w:t>
      </w:r>
      <w:r>
        <w:rPr>
          <w:rFonts w:ascii="Arial" w:cs="Arial" w:eastAsia="Arial" w:hAnsi="Arial"/>
          <w:sz w:val="21"/>
          <w:szCs w:val="21"/>
          <w:color w:val="auto"/>
        </w:rPr>
        <w:t>. Except as amended by this Amendment, all other terms of the Agreement shall continue to be in full force and effect and are hereby ratified and confirmed.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[Remainder of Page Left Blank Intentionally; Signature Page Follows]</w:t>
      </w:r>
    </w:p>
    <w:p>
      <w:pPr>
        <w:sectPr>
          <w:pgSz w:w="11900" w:h="16838" w:orient="portrait"/>
          <w:cols w:equalWidth="0" w:num="1">
            <w:col w:w="11240"/>
          </w:cols>
          <w:pgMar w:left="320" w:top="1380" w:right="339" w:bottom="1440" w:gutter="0" w:footer="0" w:header="0"/>
        </w:sectPr>
      </w:pPr>
    </w:p>
    <w:bookmarkStart w:id="65" w:name="page66"/>
    <w:bookmarkEnd w:id="65"/>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to this Amendment have executed this Amendment as of August 12, 2022.</w:t>
      </w:r>
    </w:p>
    <w:p>
      <w:pPr>
        <w:sectPr>
          <w:pgSz w:w="11900" w:h="16838" w:orient="portrait"/>
          <w:cols w:equalWidth="0" w:num="1">
            <w:col w:w="9660"/>
          </w:cols>
          <w:pgMar w:left="960" w:top="1440" w:right="1279" w:bottom="1440" w:gutter="0" w:footer="0" w:header="0"/>
        </w:sectPr>
      </w:pPr>
    </w:p>
    <w:p>
      <w:pPr>
        <w:spacing w:after="0" w:line="42" w:lineRule="exact"/>
        <w:rPr>
          <w:sz w:val="20"/>
          <w:szCs w:val="20"/>
          <w:color w:val="auto"/>
        </w:rPr>
      </w:pPr>
    </w:p>
    <w:p>
      <w:pPr>
        <w:ind w:left="3140"/>
        <w:spacing w:after="0"/>
        <w:rPr>
          <w:sz w:val="20"/>
          <w:szCs w:val="20"/>
          <w:color w:val="auto"/>
        </w:rPr>
      </w:pPr>
      <w:r>
        <w:rPr>
          <w:rFonts w:ascii="Arial" w:cs="Arial" w:eastAsia="Arial" w:hAnsi="Arial"/>
          <w:sz w:val="21"/>
          <w:szCs w:val="21"/>
          <w:b w:val="1"/>
          <w:bCs w:val="1"/>
          <w:color w:val="auto"/>
        </w:rPr>
        <w:t>EXLSERVICE HOLDINGS, INC.</w:t>
      </w:r>
    </w:p>
    <w:p>
      <w:pPr>
        <w:spacing w:after="0" w:line="199"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Ajay Ayyappan</w:t>
      </w:r>
      <w:r>
        <w:rPr>
          <w:rFonts w:ascii="Arial" w:cs="Arial" w:eastAsia="Arial" w:hAnsi="Arial"/>
          <w:sz w:val="19"/>
          <w:szCs w:val="19"/>
          <w:color w:val="auto"/>
        </w:rPr>
        <w:t>____________</w:t>
      </w:r>
    </w:p>
    <w:p>
      <w:pPr>
        <w:spacing w:after="0" w:line="17"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Name: Ajay Ayyappan</w:t>
      </w:r>
    </w:p>
    <w:p>
      <w:pPr>
        <w:ind w:left="3140"/>
        <w:spacing w:after="0"/>
        <w:rPr>
          <w:sz w:val="20"/>
          <w:szCs w:val="20"/>
          <w:color w:val="auto"/>
        </w:rPr>
      </w:pPr>
      <w:r>
        <w:rPr>
          <w:rFonts w:ascii="Arial" w:cs="Arial" w:eastAsia="Arial" w:hAnsi="Arial"/>
          <w:sz w:val="21"/>
          <w:szCs w:val="21"/>
          <w:color w:val="auto"/>
        </w:rPr>
        <w:t>Title: Corporate Secretary</w:t>
      </w:r>
    </w:p>
    <w:p>
      <w:pPr>
        <w:spacing w:after="0" w:line="207" w:lineRule="exact"/>
        <w:rPr>
          <w:sz w:val="20"/>
          <w:szCs w:val="20"/>
          <w:color w:val="auto"/>
        </w:rPr>
      </w:pPr>
    </w:p>
    <w:p>
      <w:pPr>
        <w:ind w:left="3140"/>
        <w:spacing w:after="0"/>
        <w:rPr>
          <w:sz w:val="20"/>
          <w:szCs w:val="20"/>
          <w:color w:val="auto"/>
        </w:rPr>
      </w:pPr>
      <w:r>
        <w:rPr>
          <w:rFonts w:ascii="Arial" w:cs="Arial" w:eastAsia="Arial" w:hAnsi="Arial"/>
          <w:sz w:val="21"/>
          <w:szCs w:val="21"/>
          <w:b w:val="1"/>
          <w:bCs w:val="1"/>
          <w:color w:val="auto"/>
        </w:rPr>
        <w:t>ROHIT KAPOOR</w:t>
      </w:r>
    </w:p>
    <w:p>
      <w:pPr>
        <w:spacing w:after="0" w:line="237"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Rohit Kapoor</w:t>
      </w:r>
      <w:r>
        <w:rPr>
          <w:rFonts w:ascii="Arial" w:cs="Arial" w:eastAsia="Arial" w:hAnsi="Arial"/>
          <w:sz w:val="19"/>
          <w:szCs w:val="19"/>
          <w:color w:val="auto"/>
        </w:rPr>
        <w:t>______________</w:t>
      </w:r>
    </w:p>
    <w:p>
      <w:pPr>
        <w:spacing w:after="0" w:line="22"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Name: Rohit Kapoor</w:t>
      </w:r>
    </w:p>
    <w:p>
      <w:pPr>
        <w:sectPr>
          <w:pgSz w:w="11900" w:h="16838" w:orient="portrait"/>
          <w:cols w:equalWidth="0" w:num="1">
            <w:col w:w="9660"/>
          </w:cols>
          <w:pgMar w:left="960" w:top="1440" w:right="1279" w:bottom="1440" w:gutter="0" w:footer="0" w:header="0"/>
          <w:type w:val="continuous"/>
        </w:sectPr>
      </w:pPr>
    </w:p>
    <w:bookmarkStart w:id="66" w:name="page67"/>
    <w:bookmarkEnd w:id="66"/>
    <w:p>
      <w:pPr>
        <w:jc w:val="right"/>
        <w:spacing w:after="0"/>
        <w:rPr>
          <w:sz w:val="20"/>
          <w:szCs w:val="20"/>
          <w:color w:val="auto"/>
        </w:rPr>
      </w:pPr>
      <w:r>
        <w:rPr>
          <w:rFonts w:ascii="Arial" w:cs="Arial" w:eastAsia="Arial" w:hAnsi="Arial"/>
          <w:sz w:val="17"/>
          <w:szCs w:val="17"/>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CERTIFICATION</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 Rohit Kapoor, certify that:</w:t>
      </w:r>
    </w:p>
    <w:p>
      <w:pPr>
        <w:spacing w:after="0" w:line="224" w:lineRule="exact"/>
        <w:rPr>
          <w:sz w:val="20"/>
          <w:szCs w:val="20"/>
          <w:color w:val="auto"/>
        </w:rPr>
      </w:pPr>
    </w:p>
    <w:p>
      <w:pPr>
        <w:ind w:left="400" w:hanging="395"/>
        <w:spacing w:after="0"/>
        <w:tabs>
          <w:tab w:leader="none" w:pos="4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have reviewed this Quarterly Report of ExlService Holdings, Inc.;</w:t>
      </w:r>
    </w:p>
    <w:p>
      <w:pPr>
        <w:spacing w:after="0" w:line="224" w:lineRule="exact"/>
        <w:rPr>
          <w:rFonts w:ascii="Arial" w:cs="Arial" w:eastAsia="Arial" w:hAnsi="Arial"/>
          <w:sz w:val="17"/>
          <w:szCs w:val="17"/>
          <w:color w:val="auto"/>
        </w:rPr>
      </w:pPr>
    </w:p>
    <w:p>
      <w:pPr>
        <w:ind w:left="400" w:hanging="395"/>
        <w:spacing w:after="0" w:line="322" w:lineRule="auto"/>
        <w:tabs>
          <w:tab w:leader="none" w:pos="4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left="400" w:hanging="395"/>
        <w:spacing w:after="0" w:line="289" w:lineRule="auto"/>
        <w:tabs>
          <w:tab w:leader="none" w:pos="4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jc w:val="both"/>
        <w:ind w:left="400" w:hanging="395"/>
        <w:spacing w:after="0" w:line="273" w:lineRule="auto"/>
        <w:tabs>
          <w:tab w:leader="none" w:pos="4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jc w:val="both"/>
        <w:ind w:left="720" w:hanging="322"/>
        <w:spacing w:after="0" w:line="273" w:lineRule="auto"/>
        <w:tabs>
          <w:tab w:leader="none" w:pos="717"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jc w:val="both"/>
        <w:ind w:left="720" w:hanging="322"/>
        <w:spacing w:after="0" w:line="273" w:lineRule="auto"/>
        <w:tabs>
          <w:tab w:leader="none" w:pos="714"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720" w:hanging="322"/>
        <w:spacing w:after="0" w:line="289" w:lineRule="auto"/>
        <w:tabs>
          <w:tab w:leader="none" w:pos="717"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jc w:val="both"/>
        <w:ind w:left="720" w:hanging="322"/>
        <w:spacing w:after="0" w:line="273" w:lineRule="auto"/>
        <w:tabs>
          <w:tab w:leader="none" w:pos="714"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400" w:hanging="395"/>
        <w:spacing w:after="0" w:line="289" w:lineRule="auto"/>
        <w:tabs>
          <w:tab w:leader="none" w:pos="4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7"/>
          <w:szCs w:val="17"/>
          <w:color w:val="auto"/>
        </w:rPr>
      </w:pPr>
    </w:p>
    <w:p>
      <w:pPr>
        <w:ind w:left="720" w:hanging="322"/>
        <w:spacing w:after="0" w:line="289" w:lineRule="auto"/>
        <w:tabs>
          <w:tab w:leader="none" w:pos="717"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720" w:hanging="322"/>
        <w:spacing w:after="0" w:line="289" w:lineRule="auto"/>
        <w:tabs>
          <w:tab w:leader="none" w:pos="714" w:val="left"/>
        </w:tabs>
        <w:numPr>
          <w:ilvl w:val="1"/>
          <w:numId w:val="1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6100" w:type="dxa"/>
            <w:vAlign w:val="bottom"/>
          </w:tcPr>
          <w:p>
            <w:pPr>
              <w:spacing w:after="0"/>
              <w:rPr>
                <w:sz w:val="20"/>
                <w:szCs w:val="20"/>
                <w:color w:val="auto"/>
              </w:rPr>
            </w:pPr>
            <w:r>
              <w:rPr>
                <w:rFonts w:ascii="Arial" w:cs="Arial" w:eastAsia="Arial" w:hAnsi="Arial"/>
                <w:sz w:val="17"/>
                <w:szCs w:val="17"/>
                <w:color w:val="auto"/>
              </w:rPr>
              <w:t>Date: October 27, 2022</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Rohit Kapoor</w:t>
            </w:r>
          </w:p>
        </w:tc>
      </w:tr>
      <w:tr>
        <w:trPr>
          <w:trHeight w:val="216"/>
        </w:trPr>
        <w:tc>
          <w:tcPr>
            <w:tcW w:w="610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7"/>
                <w:szCs w:val="17"/>
                <w:color w:val="auto"/>
              </w:rPr>
              <w:t>Rohit Kapoor</w:t>
            </w:r>
          </w:p>
        </w:tc>
      </w:tr>
      <w:tr>
        <w:trPr>
          <w:trHeight w:val="223"/>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7"/>
                <w:szCs w:val="17"/>
                <w:color w:val="auto"/>
              </w:rPr>
              <w:t>Vice-Chairman and Chief Executive Officer</w:t>
            </w:r>
          </w:p>
        </w:tc>
      </w:tr>
    </w:tbl>
    <w:p>
      <w:pPr>
        <w:sectPr>
          <w:pgSz w:w="11900" w:h="16838" w:orient="portrait"/>
          <w:cols w:equalWidth="0" w:num="1">
            <w:col w:w="11240"/>
          </w:cols>
          <w:pgMar w:left="320" w:top="869"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7"/>
          <w:szCs w:val="17"/>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CERTIFICATION</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 Maurizio Nicolelli, certify that:</w:t>
      </w:r>
    </w:p>
    <w:p>
      <w:pPr>
        <w:spacing w:after="0" w:line="355" w:lineRule="exact"/>
        <w:rPr>
          <w:sz w:val="20"/>
          <w:szCs w:val="20"/>
          <w:color w:val="auto"/>
        </w:rPr>
      </w:pPr>
    </w:p>
    <w:p>
      <w:pPr>
        <w:ind w:left="400" w:hanging="395"/>
        <w:spacing w:after="0"/>
        <w:tabs>
          <w:tab w:leader="none" w:pos="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 have reviewed this Quarterly Report of ExlService Holdings, Inc.;</w:t>
      </w:r>
    </w:p>
    <w:p>
      <w:pPr>
        <w:spacing w:after="0" w:line="224" w:lineRule="exact"/>
        <w:rPr>
          <w:rFonts w:ascii="Arial" w:cs="Arial" w:eastAsia="Arial" w:hAnsi="Arial"/>
          <w:sz w:val="17"/>
          <w:szCs w:val="17"/>
          <w:color w:val="auto"/>
        </w:rPr>
      </w:pPr>
    </w:p>
    <w:p>
      <w:pPr>
        <w:ind w:left="400" w:hanging="395"/>
        <w:spacing w:after="0" w:line="322" w:lineRule="auto"/>
        <w:tabs>
          <w:tab w:leader="none" w:pos="4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left="400" w:hanging="395"/>
        <w:spacing w:after="0" w:line="289" w:lineRule="auto"/>
        <w:tabs>
          <w:tab w:leader="none" w:pos="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jc w:val="both"/>
        <w:ind w:left="400" w:hanging="395"/>
        <w:spacing w:after="0" w:line="273" w:lineRule="auto"/>
        <w:tabs>
          <w:tab w:leader="none" w:pos="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jc w:val="both"/>
        <w:ind w:left="720" w:hanging="322"/>
        <w:spacing w:after="0" w:line="273" w:lineRule="auto"/>
        <w:tabs>
          <w:tab w:leader="none" w:pos="717"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jc w:val="both"/>
        <w:ind w:left="720" w:hanging="322"/>
        <w:spacing w:after="0" w:line="273" w:lineRule="auto"/>
        <w:tabs>
          <w:tab w:leader="none" w:pos="714"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720" w:hanging="322"/>
        <w:spacing w:after="0" w:line="289" w:lineRule="auto"/>
        <w:tabs>
          <w:tab w:leader="none" w:pos="717"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jc w:val="both"/>
        <w:ind w:left="720" w:hanging="322"/>
        <w:spacing w:after="0" w:line="273" w:lineRule="auto"/>
        <w:tabs>
          <w:tab w:leader="none" w:pos="714"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400" w:hanging="395"/>
        <w:spacing w:after="0" w:line="289" w:lineRule="auto"/>
        <w:tabs>
          <w:tab w:leader="none" w:pos="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7"/>
          <w:szCs w:val="17"/>
          <w:color w:val="auto"/>
        </w:rPr>
      </w:pPr>
    </w:p>
    <w:p>
      <w:pPr>
        <w:ind w:left="720" w:hanging="322"/>
        <w:spacing w:after="0" w:line="289" w:lineRule="auto"/>
        <w:tabs>
          <w:tab w:leader="none" w:pos="717"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720" w:hanging="322"/>
        <w:spacing w:after="0" w:line="289" w:lineRule="auto"/>
        <w:tabs>
          <w:tab w:leader="none" w:pos="714" w:val="left"/>
        </w:tabs>
        <w:numPr>
          <w:ilvl w:val="1"/>
          <w:numId w:val="2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5800" w:type="dxa"/>
            <w:vAlign w:val="bottom"/>
          </w:tcPr>
          <w:p>
            <w:pPr>
              <w:spacing w:after="0"/>
              <w:rPr>
                <w:sz w:val="20"/>
                <w:szCs w:val="20"/>
                <w:color w:val="auto"/>
              </w:rPr>
            </w:pPr>
            <w:r>
              <w:rPr>
                <w:rFonts w:ascii="Arial" w:cs="Arial" w:eastAsia="Arial" w:hAnsi="Arial"/>
                <w:sz w:val="17"/>
                <w:szCs w:val="17"/>
                <w:color w:val="auto"/>
              </w:rPr>
              <w:t>Date: October 27,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Maurizio Nicolelli</w:t>
            </w:r>
          </w:p>
        </w:tc>
      </w:tr>
      <w:tr>
        <w:trPr>
          <w:trHeight w:val="216"/>
        </w:trPr>
        <w:tc>
          <w:tcPr>
            <w:tcW w:w="58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7"/>
                <w:szCs w:val="17"/>
                <w:color w:val="auto"/>
              </w:rPr>
              <w:t>Maurizio Nicolelli</w:t>
            </w:r>
          </w:p>
        </w:tc>
      </w:tr>
      <w:tr>
        <w:trPr>
          <w:trHeight w:val="223"/>
        </w:trPr>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240"/>
          </w:cols>
          <w:pgMar w:left="320" w:top="869"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7"/>
          <w:szCs w:val="17"/>
          <w:b w:val="1"/>
          <w:bCs w:val="1"/>
          <w:color w:val="auto"/>
        </w:rPr>
        <w:t>Exhibit 32.1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Quarterly Report of ExlService Holdings, Inc. (the “Company”) on Form 10-Q for the period ended September 30, 2022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12" w:lineRule="exact"/>
        <w:rPr>
          <w:sz w:val="20"/>
          <w:szCs w:val="20"/>
          <w:color w:val="auto"/>
        </w:rPr>
      </w:pPr>
    </w:p>
    <w:p>
      <w:pPr>
        <w:ind w:left="320" w:hanging="315"/>
        <w:spacing w:after="0"/>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71" w:lineRule="exact"/>
        <w:rPr>
          <w:rFonts w:ascii="Arial" w:cs="Arial" w:eastAsia="Arial" w:hAnsi="Arial"/>
          <w:sz w:val="17"/>
          <w:szCs w:val="17"/>
          <w:color w:val="auto"/>
        </w:rPr>
      </w:pPr>
    </w:p>
    <w:p>
      <w:pPr>
        <w:ind w:left="320" w:hanging="315"/>
        <w:spacing w:after="0"/>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62788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6278880"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Rohit Kapoor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Vice-Chairman and Chief Executive Officer</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7"/>
          <w:szCs w:val="17"/>
          <w:color w:val="auto"/>
        </w:rPr>
        <w:t>October 27, 2022</w:t>
      </w:r>
    </w:p>
    <w:p>
      <w:pPr>
        <w:sectPr>
          <w:pgSz w:w="11900" w:h="16838" w:orient="portrait"/>
          <w:cols w:equalWidth="0" w:num="1">
            <w:col w:w="11240"/>
          </w:cols>
          <w:pgMar w:left="320" w:top="869"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7"/>
          <w:szCs w:val="17"/>
          <w:b w:val="1"/>
          <w:bCs w:val="1"/>
          <w:color w:val="auto"/>
        </w:rPr>
        <w:t>Exhibit 32.2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Quarterly Report of ExlService Holdings, Inc. (the “Company”) on Form 10-Q for the period ended September 30, 2022 as filed with the Securities and Exchange Commission on the date hereof (the “Report”), I, Maurizio Nicolelli, Chief Financial Officer of the Company, certify, pursuant to 18 U.S.C. Section 1350, as adopted pursuant to Section 906 of the Sarbanes-Oxley Act of 2002, that:</w:t>
      </w:r>
    </w:p>
    <w:p>
      <w:pPr>
        <w:spacing w:after="0" w:line="172" w:lineRule="exact"/>
        <w:rPr>
          <w:sz w:val="20"/>
          <w:szCs w:val="20"/>
          <w:color w:val="auto"/>
        </w:rPr>
      </w:pPr>
    </w:p>
    <w:p>
      <w:pPr>
        <w:ind w:left="320" w:hanging="315"/>
        <w:spacing w:after="0"/>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24" w:lineRule="exact"/>
        <w:rPr>
          <w:rFonts w:ascii="Arial" w:cs="Arial" w:eastAsia="Arial" w:hAnsi="Arial"/>
          <w:sz w:val="17"/>
          <w:szCs w:val="17"/>
          <w:color w:val="auto"/>
        </w:rPr>
      </w:pPr>
    </w:p>
    <w:p>
      <w:pPr>
        <w:ind w:left="320" w:hanging="315"/>
        <w:spacing w:after="0"/>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48882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4888230"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Maurizio Nicolelli</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Financial Officer</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7"/>
          <w:szCs w:val="17"/>
          <w:color w:val="auto"/>
        </w:rPr>
        <w:t>October 27, 2022</w:t>
      </w:r>
    </w:p>
    <w:sectPr>
      <w:pgSz w:w="11900" w:h="16838" w:orient="portrait"/>
      <w:cols w:equalWidth="0" w:num="1">
        <w:col w:w="11240"/>
      </w:cols>
      <w:pgMar w:left="320" w:top="8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0"/>
    </w:lvl>
  </w:abstractNum>
  <w:abstractNum w:abstractNumId="7">
    <w:nsid w:val="1BEFD79F"/>
    <w:multiLevelType w:val="hybridMultilevel"/>
    <w:lvl w:ilvl="0">
      <w:lvlJc w:val="left"/>
      <w:lvlText w:val="%1"/>
      <w:numFmt w:val="decimal"/>
      <w:start w:val="1"/>
    </w:lvl>
    <w:lvl w:ilvl="1">
      <w:lvlJc w:val="left"/>
      <w:lvlText w:val="(%2)"/>
      <w:numFmt w:val="decimal"/>
      <w:start w:val="1"/>
    </w:lvl>
  </w:abstractNum>
  <w:abstractNum w:abstractNumId="8">
    <w:nsid w:val="41A7C4C9"/>
    <w:multiLevelType w:val="hybridMultilevel"/>
    <w:lvl w:ilvl="0">
      <w:lvlJc w:val="left"/>
      <w:lvlText w:val="%1."/>
      <w:numFmt w:val="decimal"/>
      <w:start w:val="16"/>
    </w:lvl>
    <w:lvl w:ilvl="1">
      <w:lvlJc w:val="left"/>
      <w:lvlText w:val="%2"/>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04"/>
    </w:lvl>
  </w:abstractNum>
  <w:abstractNum w:abstractNumId="17">
    <w:nsid w:val="62BBD95A"/>
    <w:multiLevelType w:val="hybridMultilevel"/>
    <w:lvl w:ilvl="0">
      <w:lvlJc w:val="left"/>
      <w:lvlText w:val="%1."/>
      <w:numFmt w:val="upperLetter"/>
      <w:start w:val="2"/>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0" Type="http://schemas.openxmlformats.org/officeDocument/2006/relationships/hyperlink" Target="http://www.sec.gov/Archives/edgar/data/1297989/000119312506214684/dex31.htm" TargetMode="External"/><Relationship Id="rId91" Type="http://schemas.openxmlformats.org/officeDocument/2006/relationships/hyperlink" Target="https://www.sec.gov/Archives/edgar/data/1297989/000104746919002609/a2238453zdef14a.htm" TargetMode="External"/><Relationship Id="rId92" Type="http://schemas.openxmlformats.org/officeDocument/2006/relationships/hyperlink" Target="https://www.sec.gov/Archives/edgar/data/1297989/000114420419031504/tv523830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2022-10-27T16:04:56Z</dcterms:created>
  <dcterms:modified xsi:type="dcterms:W3CDTF">2022-10-27T16:04:56Z</dcterms:modified>
</cp:coreProperties>
</file>