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231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2311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MITTAL SOM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06/22/2018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34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6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16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340" w:type="dxa"/>
            <w:vAlign w:val="bottom"/>
            <w:gridSpan w:val="2"/>
          </w:tcPr>
          <w:p>
            <w:pPr>
              <w:jc w:val="center"/>
              <w:ind w:left="28"/>
              <w:spacing w:after="0"/>
              <w:rPr>
                <w:sz w:val="20"/>
                <w:szCs w:val="20"/>
                <w:color w:val="auto"/>
              </w:rPr>
            </w:pPr>
            <w:r>
              <w:rPr>
                <w:rFonts w:ascii="Arial" w:cs="Arial" w:eastAsia="Arial" w:hAnsi="Arial"/>
                <w:sz w:val="18"/>
                <w:szCs w:val="18"/>
                <w:color w:val="0000FF"/>
                <w:w w:val="88"/>
              </w:rPr>
              <w:t>06/22/2018</w:t>
            </w: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ind w:left="160"/>
              <w:spacing w:after="0"/>
              <w:rPr>
                <w:sz w:val="20"/>
                <w:szCs w:val="20"/>
                <w:color w:val="auto"/>
              </w:rPr>
            </w:pPr>
            <w:r>
              <w:rPr>
                <w:rFonts w:ascii="Arial" w:cs="Arial" w:eastAsia="Arial" w:hAnsi="Arial"/>
                <w:sz w:val="14"/>
                <w:szCs w:val="14"/>
                <w:color w:val="0000FF"/>
              </w:rPr>
              <w:t>M</w:t>
            </w:r>
          </w:p>
        </w:tc>
        <w:tc>
          <w:tcPr>
            <w:tcW w:w="340" w:type="dxa"/>
            <w:vAlign w:val="bottom"/>
          </w:tcPr>
          <w:p>
            <w:pPr>
              <w:spacing w:after="0"/>
              <w:rPr>
                <w:sz w:val="23"/>
                <w:szCs w:val="23"/>
                <w:color w:val="auto"/>
              </w:rPr>
            </w:pPr>
          </w:p>
        </w:tc>
        <w:tc>
          <w:tcPr>
            <w:tcW w:w="560" w:type="dxa"/>
            <w:vAlign w:val="bottom"/>
            <w:gridSpan w:val="2"/>
          </w:tcPr>
          <w:p>
            <w:pPr>
              <w:ind w:left="160"/>
              <w:spacing w:after="0"/>
              <w:rPr>
                <w:sz w:val="20"/>
                <w:szCs w:val="20"/>
                <w:color w:val="auto"/>
              </w:rPr>
            </w:pPr>
            <w:r>
              <w:rPr>
                <w:rFonts w:ascii="Arial" w:cs="Arial" w:eastAsia="Arial" w:hAnsi="Arial"/>
                <w:sz w:val="18"/>
                <w:szCs w:val="18"/>
                <w:color w:val="0000FF"/>
                <w:w w:val="84"/>
              </w:rPr>
              <w:t>1,854</w:t>
            </w:r>
          </w:p>
        </w:tc>
        <w:tc>
          <w:tcPr>
            <w:tcW w:w="64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right"/>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360" w:type="dxa"/>
            <w:vAlign w:val="bottom"/>
            <w:gridSpan w:val="3"/>
          </w:tcPr>
          <w:p>
            <w:pPr>
              <w:ind w:left="520"/>
              <w:spacing w:after="0"/>
              <w:rPr>
                <w:sz w:val="20"/>
                <w:szCs w:val="20"/>
                <w:color w:val="auto"/>
              </w:rPr>
            </w:pPr>
            <w:r>
              <w:rPr>
                <w:rFonts w:ascii="Arial" w:cs="Arial" w:eastAsia="Arial" w:hAnsi="Arial"/>
                <w:sz w:val="18"/>
                <w:szCs w:val="18"/>
                <w:color w:val="0000FF"/>
              </w:rPr>
              <w:t>3,800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100" w:type="dxa"/>
            <w:vAlign w:val="bottom"/>
            <w:tcBorders>
              <w:bottom w:val="single" w:sz="8" w:color="2C2C2C"/>
            </w:tcBorders>
            <w:gridSpan w:val="6"/>
          </w:tcPr>
          <w:p>
            <w:pPr>
              <w:spacing w:after="0"/>
              <w:rPr>
                <w:sz w:val="8"/>
                <w:szCs w:val="8"/>
                <w:color w:val="auto"/>
              </w:rPr>
            </w:pPr>
          </w:p>
        </w:tc>
        <w:tc>
          <w:tcPr>
            <w:tcW w:w="260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1"/>
          </w:tcPr>
          <w:p>
            <w:pPr>
              <w:jc w:val="right"/>
              <w:ind w:right="1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jc w:val="center"/>
              <w:ind w:right="458"/>
              <w:spacing w:after="0"/>
              <w:rPr>
                <w:sz w:val="20"/>
                <w:szCs w:val="20"/>
                <w:color w:val="auto"/>
              </w:rPr>
            </w:pPr>
            <w:r>
              <w:rPr>
                <w:rFonts w:ascii="Arial" w:cs="Arial" w:eastAsia="Arial" w:hAnsi="Arial"/>
                <w:sz w:val="12"/>
                <w:szCs w:val="12"/>
                <w:b w:val="1"/>
                <w:bCs w:val="1"/>
                <w:color w:val="auto"/>
                <w:w w:val="99"/>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jc w:val="center"/>
              <w:ind w:right="458"/>
              <w:spacing w:after="0" w:line="135" w:lineRule="exact"/>
              <w:rPr>
                <w:sz w:val="20"/>
                <w:szCs w:val="20"/>
                <w:color w:val="auto"/>
              </w:rPr>
            </w:pPr>
            <w:r>
              <w:rPr>
                <w:rFonts w:ascii="Arial" w:cs="Arial" w:eastAsia="Arial" w:hAnsi="Arial"/>
                <w:sz w:val="12"/>
                <w:szCs w:val="12"/>
                <w:b w:val="1"/>
                <w:bCs w:val="1"/>
                <w:color w:val="auto"/>
                <w:w w:val="93"/>
              </w:rPr>
              <w:t>8)</w:t>
            </w: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2"/>
                <w:szCs w:val="12"/>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12"/>
                <w:szCs w:val="12"/>
                <w:color w:val="auto"/>
              </w:rPr>
            </w:pPr>
          </w:p>
        </w:tc>
        <w:tc>
          <w:tcPr>
            <w:tcW w:w="640" w:type="dxa"/>
            <w:vAlign w:val="bottom"/>
          </w:tcPr>
          <w:p>
            <w:pPr>
              <w:ind w:left="8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jc w:val="right"/>
              <w:ind w:right="36"/>
              <w:spacing w:after="0"/>
              <w:rPr>
                <w:sz w:val="20"/>
                <w:szCs w:val="20"/>
                <w:color w:val="auto"/>
              </w:rPr>
            </w:pPr>
            <w:r>
              <w:rPr>
                <w:rFonts w:ascii="Arial" w:cs="Arial" w:eastAsia="Arial" w:hAnsi="Arial"/>
                <w:sz w:val="18"/>
                <w:szCs w:val="18"/>
                <w:color w:val="0000FF"/>
                <w:w w:val="93"/>
              </w:rPr>
              <w:t>1,854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ind w:left="260"/>
              <w:spacing w:after="0" w:line="149" w:lineRule="exact"/>
              <w:rPr>
                <w:sz w:val="20"/>
                <w:szCs w:val="20"/>
                <w:color w:val="auto"/>
              </w:rPr>
            </w:pPr>
            <w:r>
              <w:rPr>
                <w:rFonts w:ascii="Arial" w:cs="Arial" w:eastAsia="Arial" w:hAnsi="Arial"/>
                <w:sz w:val="14"/>
                <w:szCs w:val="14"/>
                <w:color w:val="0000FF"/>
              </w:rPr>
              <w:t>06/22/2018</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920" w:type="dxa"/>
            <w:vAlign w:val="bottom"/>
          </w:tcPr>
          <w:p>
            <w:pPr>
              <w:ind w:left="480"/>
              <w:spacing w:after="0" w:line="149" w:lineRule="exact"/>
              <w:rPr>
                <w:sz w:val="20"/>
                <w:szCs w:val="20"/>
                <w:color w:val="auto"/>
              </w:rPr>
            </w:pPr>
            <w:r>
              <w:rPr>
                <w:rFonts w:ascii="Arial" w:cs="Arial" w:eastAsia="Arial" w:hAnsi="Arial"/>
                <w:sz w:val="14"/>
                <w:szCs w:val="14"/>
                <w:color w:val="0000FF"/>
              </w:rPr>
              <w:t>1,854</w:t>
            </w:r>
          </w:p>
        </w:tc>
        <w:tc>
          <w:tcPr>
            <w:tcW w:w="6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20"/>
              <w:spacing w:after="0" w:line="149" w:lineRule="exact"/>
              <w:rPr>
                <w:sz w:val="20"/>
                <w:szCs w:val="20"/>
                <w:color w:val="auto"/>
              </w:rPr>
            </w:pPr>
            <w:r>
              <w:rPr>
                <w:rFonts w:ascii="Arial" w:cs="Arial" w:eastAsia="Arial" w:hAnsi="Arial"/>
                <w:sz w:val="14"/>
                <w:szCs w:val="14"/>
                <w:color w:val="0000FF"/>
                <w:w w:val="88"/>
              </w:rPr>
              <w:t>10,731</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ind w:left="6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June 22, 2017, the reporting person was granted 1,854 restricted stock units, that vest upon the earlier of (i) the first anniversary of the date of grant, (ii) the end of the reporting person's term on the Board if such person is not subsequently elected to a new term on the Board, and (iii) the occurrence of a "Change of Control", as defined in the Plan, and such awards settle upon the earlier of (i) the reporting person's death, (ii) the occurrence of a "Change of Control", as defined in the Plan or (iii) the vesting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06/26/2018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9148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2019-12-04T01:52:54Z</dcterms:created>
  <dcterms:modified xsi:type="dcterms:W3CDTF">2019-12-04T01:52:54Z</dcterms:modified>
</cp:coreProperties>
</file>