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728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7283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Bloom William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06/19/2013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Pres., Global Client Services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4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0000FF"/>
                <w:w w:val="88"/>
              </w:rPr>
              <w:t>Common Stock, par value $0.001 per</w:t>
            </w:r>
          </w:p>
        </w:tc>
        <w:tc>
          <w:tcPr>
            <w:tcW w:w="1540" w:type="dxa"/>
            <w:vAlign w:val="bottom"/>
            <w:gridSpan w:val="2"/>
            <w:vMerge w:val="restart"/>
          </w:tcPr>
          <w:p>
            <w:pPr>
              <w:ind w:left="560"/>
              <w:spacing w:after="0"/>
              <w:rPr>
                <w:sz w:val="20"/>
                <w:szCs w:val="20"/>
                <w:color w:val="auto"/>
              </w:rPr>
            </w:pPr>
            <w:r>
              <w:rPr>
                <w:rFonts w:ascii="Arial" w:cs="Arial" w:eastAsia="Arial" w:hAnsi="Arial"/>
                <w:sz w:val="18"/>
                <w:szCs w:val="18"/>
                <w:color w:val="0000FF"/>
              </w:rPr>
              <w:t>06/19/2013</w:t>
            </w:r>
          </w:p>
        </w:tc>
        <w:tc>
          <w:tcPr>
            <w:tcW w:w="1140" w:type="dxa"/>
            <w:vAlign w:val="bottom"/>
            <w:gridSpan w:val="2"/>
            <w:vMerge w:val="restart"/>
          </w:tcPr>
          <w:p>
            <w:pPr>
              <w:ind w:left="160"/>
              <w:spacing w:after="0"/>
              <w:rPr>
                <w:sz w:val="20"/>
                <w:szCs w:val="20"/>
                <w:color w:val="auto"/>
              </w:rPr>
            </w:pPr>
            <w:r>
              <w:rPr>
                <w:rFonts w:ascii="Arial" w:cs="Arial" w:eastAsia="Arial" w:hAnsi="Arial"/>
                <w:sz w:val="18"/>
                <w:szCs w:val="18"/>
                <w:color w:val="0000FF"/>
              </w:rPr>
              <w:t>06/20/2013</w:t>
            </w:r>
          </w:p>
        </w:tc>
        <w:tc>
          <w:tcPr>
            <w:tcW w:w="820" w:type="dxa"/>
            <w:vAlign w:val="bottom"/>
            <w:vMerge w:val="restart"/>
          </w:tcPr>
          <w:p>
            <w:pPr>
              <w:ind w:left="100"/>
              <w:spacing w:after="0"/>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4"/>
              </w:rPr>
              <w:t>7,000</w:t>
            </w:r>
          </w:p>
        </w:tc>
        <w:tc>
          <w:tcPr>
            <w:tcW w:w="58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680" w:type="dxa"/>
            <w:vAlign w:val="bottom"/>
            <w:vMerge w:val="restart"/>
          </w:tcPr>
          <w:p>
            <w:pPr>
              <w:ind w:left="180"/>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17.75</w:t>
            </w:r>
          </w:p>
        </w:tc>
        <w:tc>
          <w:tcPr>
            <w:tcW w:w="200" w:type="dxa"/>
            <w:vAlign w:val="bottom"/>
          </w:tcPr>
          <w:p>
            <w:pPr>
              <w:spacing w:after="0"/>
              <w:rPr>
                <w:sz w:val="22"/>
                <w:szCs w:val="22"/>
                <w:color w:val="auto"/>
              </w:rPr>
            </w:pPr>
          </w:p>
        </w:tc>
        <w:tc>
          <w:tcPr>
            <w:tcW w:w="1240" w:type="dxa"/>
            <w:vAlign w:val="bottom"/>
            <w:gridSpan w:val="2"/>
            <w:vMerge w:val="restart"/>
          </w:tcPr>
          <w:p>
            <w:pPr>
              <w:ind w:left="360"/>
              <w:spacing w:after="0"/>
              <w:rPr>
                <w:sz w:val="20"/>
                <w:szCs w:val="20"/>
                <w:color w:val="auto"/>
              </w:rPr>
            </w:pPr>
            <w:r>
              <w:rPr>
                <w:rFonts w:ascii="Arial" w:cs="Arial" w:eastAsia="Arial" w:hAnsi="Arial"/>
                <w:sz w:val="18"/>
                <w:szCs w:val="18"/>
                <w:color w:val="0000FF"/>
              </w:rPr>
              <w:t>19,379</w:t>
            </w:r>
          </w:p>
        </w:tc>
        <w:tc>
          <w:tcPr>
            <w:tcW w:w="26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2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0000FF"/>
                <w:w w:val="88"/>
              </w:rPr>
              <w:t>Common Stock, par value $0.001 per</w:t>
            </w:r>
          </w:p>
        </w:tc>
        <w:tc>
          <w:tcPr>
            <w:tcW w:w="1540" w:type="dxa"/>
            <w:vAlign w:val="bottom"/>
            <w:gridSpan w:val="2"/>
            <w:vMerge w:val="restart"/>
          </w:tcPr>
          <w:p>
            <w:pPr>
              <w:ind w:left="560"/>
              <w:spacing w:after="0"/>
              <w:rPr>
                <w:sz w:val="20"/>
                <w:szCs w:val="20"/>
                <w:color w:val="auto"/>
              </w:rPr>
            </w:pPr>
            <w:r>
              <w:rPr>
                <w:rFonts w:ascii="Arial" w:cs="Arial" w:eastAsia="Arial" w:hAnsi="Arial"/>
                <w:sz w:val="18"/>
                <w:szCs w:val="18"/>
                <w:color w:val="0000FF"/>
              </w:rPr>
              <w:t>06/19/2013</w:t>
            </w:r>
          </w:p>
        </w:tc>
        <w:tc>
          <w:tcPr>
            <w:tcW w:w="1140" w:type="dxa"/>
            <w:vAlign w:val="bottom"/>
            <w:gridSpan w:val="2"/>
            <w:vMerge w:val="restart"/>
          </w:tcPr>
          <w:p>
            <w:pPr>
              <w:ind w:left="160"/>
              <w:spacing w:after="0"/>
              <w:rPr>
                <w:sz w:val="20"/>
                <w:szCs w:val="20"/>
                <w:color w:val="auto"/>
              </w:rPr>
            </w:pPr>
            <w:r>
              <w:rPr>
                <w:rFonts w:ascii="Arial" w:cs="Arial" w:eastAsia="Arial" w:hAnsi="Arial"/>
                <w:sz w:val="18"/>
                <w:szCs w:val="18"/>
                <w:color w:val="0000FF"/>
              </w:rPr>
              <w:t>06/20/2013</w:t>
            </w: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4"/>
              </w:rPr>
              <w:t>7,000</w:t>
            </w:r>
          </w:p>
        </w:tc>
        <w:tc>
          <w:tcPr>
            <w:tcW w:w="5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880" w:type="dxa"/>
            <w:vAlign w:val="bottom"/>
            <w:gridSpan w:val="2"/>
            <w:vMerge w:val="restart"/>
          </w:tcPr>
          <w:p>
            <w:pPr>
              <w:ind w:left="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30.8651</w:t>
            </w:r>
            <w:r>
              <w:rPr>
                <w:rFonts w:ascii="Arial" w:cs="Arial" w:eastAsia="Arial" w:hAnsi="Arial"/>
                <w:sz w:val="22"/>
                <w:szCs w:val="22"/>
                <w:color w:val="008000"/>
                <w:w w:val="90"/>
                <w:vertAlign w:val="superscript"/>
              </w:rPr>
              <w:t>(3)</w:t>
            </w:r>
          </w:p>
        </w:tc>
        <w:tc>
          <w:tcPr>
            <w:tcW w:w="1240" w:type="dxa"/>
            <w:vAlign w:val="bottom"/>
            <w:gridSpan w:val="2"/>
            <w:vMerge w:val="restart"/>
          </w:tcPr>
          <w:p>
            <w:pPr>
              <w:ind w:left="360"/>
              <w:spacing w:after="0"/>
              <w:rPr>
                <w:sz w:val="20"/>
                <w:szCs w:val="20"/>
                <w:color w:val="auto"/>
              </w:rPr>
            </w:pPr>
            <w:r>
              <w:rPr>
                <w:rFonts w:ascii="Arial" w:cs="Arial" w:eastAsia="Arial" w:hAnsi="Arial"/>
                <w:sz w:val="18"/>
                <w:szCs w:val="18"/>
                <w:color w:val="0000FF"/>
              </w:rPr>
              <w:t>12,379</w:t>
            </w:r>
          </w:p>
        </w:tc>
        <w:tc>
          <w:tcPr>
            <w:tcW w:w="26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440" w:type="dxa"/>
            <w:vAlign w:val="bottom"/>
            <w:tcBorders>
              <w:bottom w:val="single" w:sz="8" w:color="2C2C2C"/>
            </w:tcBorders>
            <w:gridSpan w:val="11"/>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1"/>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540" w:type="dxa"/>
            <w:vAlign w:val="bottom"/>
            <w:gridSpan w:val="8"/>
          </w:tcPr>
          <w:p>
            <w:pPr>
              <w:ind w:left="6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vMerge w:val="restart"/>
          </w:tcPr>
          <w:p>
            <w:pPr>
              <w:ind w:left="80"/>
              <w:spacing w:after="0" w:line="297"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(4)</w:t>
            </w:r>
          </w:p>
        </w:tc>
        <w:tc>
          <w:tcPr>
            <w:tcW w:w="780" w:type="dxa"/>
            <w:vAlign w:val="bottom"/>
          </w:tcPr>
          <w:p>
            <w:pPr>
              <w:spacing w:after="0"/>
              <w:rPr>
                <w:sz w:val="12"/>
                <w:szCs w:val="12"/>
                <w:color w:val="auto"/>
              </w:rPr>
            </w:pPr>
          </w:p>
        </w:tc>
        <w:tc>
          <w:tcPr>
            <w:tcW w:w="58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680" w:type="dxa"/>
            <w:vAlign w:val="bottom"/>
            <w:vMerge w:val="restart"/>
          </w:tcPr>
          <w:p>
            <w:pPr>
              <w:ind w:left="180"/>
              <w:spacing w:after="0"/>
              <w:rPr>
                <w:sz w:val="20"/>
                <w:szCs w:val="20"/>
                <w:color w:val="auto"/>
              </w:rPr>
            </w:pPr>
            <w:r>
              <w:rPr>
                <w:rFonts w:ascii="Arial" w:cs="Arial" w:eastAsia="Arial" w:hAnsi="Arial"/>
                <w:sz w:val="18"/>
                <w:szCs w:val="18"/>
                <w:color w:val="0000FF"/>
              </w:rPr>
              <w:t>7,000</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17.75</w:t>
            </w:r>
          </w:p>
        </w:tc>
        <w:tc>
          <w:tcPr>
            <w:tcW w:w="1180" w:type="dxa"/>
            <w:vAlign w:val="bottom"/>
          </w:tcPr>
          <w:p>
            <w:pPr>
              <w:ind w:left="260"/>
              <w:spacing w:after="0" w:line="149" w:lineRule="exact"/>
              <w:rPr>
                <w:sz w:val="20"/>
                <w:szCs w:val="20"/>
                <w:color w:val="auto"/>
              </w:rPr>
            </w:pPr>
            <w:r>
              <w:rPr>
                <w:rFonts w:ascii="Arial" w:cs="Arial" w:eastAsia="Arial" w:hAnsi="Arial"/>
                <w:sz w:val="14"/>
                <w:szCs w:val="14"/>
                <w:color w:val="0000FF"/>
              </w:rPr>
              <w:t>06/19/2013</w:t>
            </w:r>
          </w:p>
        </w:tc>
        <w:tc>
          <w:tcPr>
            <w:tcW w:w="1100" w:type="dxa"/>
            <w:vAlign w:val="bottom"/>
          </w:tcPr>
          <w:p>
            <w:pPr>
              <w:ind w:left="220"/>
              <w:spacing w:after="0" w:line="149" w:lineRule="exact"/>
              <w:rPr>
                <w:sz w:val="20"/>
                <w:szCs w:val="20"/>
                <w:color w:val="auto"/>
              </w:rPr>
            </w:pPr>
            <w:r>
              <w:rPr>
                <w:rFonts w:ascii="Arial" w:cs="Arial" w:eastAsia="Arial" w:hAnsi="Arial"/>
                <w:sz w:val="14"/>
                <w:szCs w:val="14"/>
                <w:color w:val="0000FF"/>
              </w:rPr>
              <w:t>06/20/2013</w:t>
            </w:r>
          </w:p>
        </w:tc>
        <w:tc>
          <w:tcPr>
            <w:tcW w:w="4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ind w:left="360"/>
              <w:spacing w:after="0" w:line="149" w:lineRule="exact"/>
              <w:rPr>
                <w:sz w:val="20"/>
                <w:szCs w:val="20"/>
                <w:color w:val="auto"/>
              </w:rPr>
            </w:pPr>
            <w:r>
              <w:rPr>
                <w:rFonts w:ascii="Arial" w:cs="Arial" w:eastAsia="Arial" w:hAnsi="Arial"/>
                <w:sz w:val="14"/>
                <w:szCs w:val="14"/>
                <w:color w:val="0000FF"/>
                <w:w w:val="96"/>
              </w:rPr>
              <w:t>7,000</w:t>
            </w:r>
          </w:p>
        </w:tc>
        <w:tc>
          <w:tcPr>
            <w:tcW w:w="820" w:type="dxa"/>
            <w:vAlign w:val="bottom"/>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0000FF"/>
                <w:w w:val="85"/>
              </w:rPr>
              <w:t>07/12/2020</w:t>
            </w:r>
          </w:p>
        </w:tc>
        <w:tc>
          <w:tcPr>
            <w:tcW w:w="580" w:type="dxa"/>
            <w:vAlign w:val="bottom"/>
          </w:tcPr>
          <w:p>
            <w:pPr>
              <w:ind w:left="80"/>
              <w:spacing w:after="0" w:line="149" w:lineRule="exact"/>
              <w:rPr>
                <w:sz w:val="20"/>
                <w:szCs w:val="20"/>
                <w:color w:val="auto"/>
              </w:rPr>
            </w:pPr>
            <w:r>
              <w:rPr>
                <w:rFonts w:ascii="Arial" w:cs="Arial" w:eastAsia="Arial" w:hAnsi="Arial"/>
                <w:sz w:val="14"/>
                <w:szCs w:val="14"/>
                <w:color w:val="0000FF"/>
                <w:w w:val="83"/>
              </w:rPr>
              <w:t>par value</w:t>
            </w:r>
          </w:p>
        </w:tc>
        <w:tc>
          <w:tcPr>
            <w:tcW w:w="6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tcPr>
          <w:p>
            <w:pPr>
              <w:ind w:left="260"/>
              <w:spacing w:after="0" w:line="149" w:lineRule="exact"/>
              <w:rPr>
                <w:sz w:val="20"/>
                <w:szCs w:val="20"/>
                <w:color w:val="auto"/>
              </w:rPr>
            </w:pPr>
            <w:r>
              <w:rPr>
                <w:rFonts w:ascii="Arial" w:cs="Arial" w:eastAsia="Arial" w:hAnsi="Arial"/>
                <w:sz w:val="14"/>
                <w:szCs w:val="14"/>
                <w:color w:val="0000FF"/>
                <w:w w:val="86"/>
              </w:rPr>
              <w:t>243,000</w:t>
            </w:r>
          </w:p>
        </w:tc>
        <w:tc>
          <w:tcPr>
            <w:tcW w:w="26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ind w:left="140"/>
              <w:spacing w:after="0" w:line="149" w:lineRule="exact"/>
              <w:rPr>
                <w:sz w:val="20"/>
                <w:szCs w:val="20"/>
                <w:color w:val="auto"/>
              </w:rPr>
            </w:pPr>
            <w:r>
              <w:rPr>
                <w:rFonts w:ascii="Arial" w:cs="Arial" w:eastAsia="Arial" w:hAnsi="Arial"/>
                <w:sz w:val="14"/>
                <w:szCs w:val="14"/>
                <w:color w:val="0000FF"/>
                <w:w w:val="97"/>
              </w:rPr>
              <w:t>$0.001</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Arial" w:cs="Arial" w:eastAsia="Arial" w:hAnsi="Arial"/>
                <w:sz w:val="14"/>
                <w:szCs w:val="14"/>
                <w:color w:val="0000FF"/>
                <w:w w:val="81"/>
              </w:rPr>
              <w:t>per share</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June 19, 2013 the reporting person exercised previously issued options to purchase an aggregate of 7,000 shares of common stock of ExlService Holdings,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1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$30.52 to $30.93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68,000 of these options are currently vested and exercisable; 75,000 will vest on July 12, 2013; and the balance of 100,000 will vest on July 12, 2014.</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06/24/2013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732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2019-12-16T15:26:40Z</dcterms:created>
  <dcterms:modified xsi:type="dcterms:W3CDTF">2019-12-16T15:26:40Z</dcterms:modified>
</cp:coreProperties>
</file>