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13d-1(b)</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13d-1(c)</w:t>
      </w:r>
    </w:p>
    <w:p>
      <w:pPr>
        <w:spacing w:after="0" w:line="279" w:lineRule="exact"/>
        <w:rPr>
          <w:sz w:val="24"/>
          <w:szCs w:val="24"/>
          <w:color w:val="auto"/>
        </w:rPr>
      </w:pPr>
    </w:p>
    <w:p>
      <w:pPr>
        <w:ind w:left="2240" w:hanging="287"/>
        <w:spacing w:after="0"/>
        <w:tabs>
          <w:tab w:leader="none" w:pos="2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rFonts w:ascii="Arial" w:cs="Arial" w:eastAsia="Arial" w:hAnsi="Arial"/>
          <w:sz w:val="18"/>
          <w:szCs w:val="18"/>
          <w:color w:val="auto"/>
        </w:rPr>
      </w:pPr>
    </w:p>
    <w:p>
      <w:pPr>
        <w:ind w:left="660" w:right="220" w:hanging="648"/>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917575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Oak Hill Capital Partners,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5,403,942</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5,403,942</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5,403,942</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Oak Hill Capital Management Partners,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138,562</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138,562</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138,562</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OHCP GenPar,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5,542,504</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5,542,504</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5,542,504</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OHCP MGP, LLC</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5,542,504</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5,542,504</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5,542,504</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6 of 9 Pages</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10240" w:type="dxa"/>
            <w:vAlign w:val="bottom"/>
          </w:tcPr>
          <w:p>
            <w:pPr>
              <w:ind w:left="440"/>
              <w:spacing w:after="0"/>
              <w:rPr>
                <w:sz w:val="20"/>
                <w:szCs w:val="20"/>
                <w:color w:val="auto"/>
              </w:rPr>
            </w:pPr>
            <w:r>
              <w:rPr>
                <w:rFonts w:ascii="Arial" w:cs="Arial" w:eastAsia="Arial" w:hAnsi="Arial"/>
                <w:sz w:val="18"/>
                <w:szCs w:val="18"/>
                <w:color w:val="auto"/>
              </w:rPr>
              <w:t>Name of Issuer:</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ExlService Holdings, Inc.</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Item1(b).</w:t>
            </w:r>
          </w:p>
        </w:tc>
        <w:tc>
          <w:tcPr>
            <w:tcW w:w="10240" w:type="dxa"/>
            <w:vAlign w:val="bottom"/>
          </w:tcPr>
          <w:p>
            <w:pPr>
              <w:ind w:left="440"/>
              <w:spacing w:after="0"/>
              <w:rPr>
                <w:sz w:val="20"/>
                <w:szCs w:val="20"/>
                <w:color w:val="auto"/>
              </w:rPr>
            </w:pPr>
            <w:r>
              <w:rPr>
                <w:rFonts w:ascii="Arial" w:cs="Arial" w:eastAsia="Arial" w:hAnsi="Arial"/>
                <w:sz w:val="18"/>
                <w:szCs w:val="18"/>
                <w:color w:val="auto"/>
              </w:rPr>
              <w:t>Address of Issuer’s Principal Executive Offices:</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280 Park Avenue</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New York, New York 10017</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2(a).</w:t>
            </w:r>
          </w:p>
        </w:tc>
        <w:tc>
          <w:tcPr>
            <w:tcW w:w="10240" w:type="dxa"/>
            <w:vAlign w:val="bottom"/>
          </w:tcPr>
          <w:p>
            <w:pPr>
              <w:ind w:left="440"/>
              <w:spacing w:after="0"/>
              <w:rPr>
                <w:sz w:val="20"/>
                <w:szCs w:val="20"/>
                <w:color w:val="auto"/>
              </w:rPr>
            </w:pPr>
            <w:r>
              <w:rPr>
                <w:rFonts w:ascii="Arial" w:cs="Arial" w:eastAsia="Arial" w:hAnsi="Arial"/>
                <w:sz w:val="18"/>
                <w:szCs w:val="18"/>
                <w:color w:val="auto"/>
              </w:rPr>
              <w:t>Name of Persons Filing:</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Oak Hill Capital Partners, L.P. (“OHCP”);</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Oak Hill Capital Management Partners, L.P. (“OHCMP”);</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OHCP GenPar, L.P. (“OHCP GenPar”); and</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OHCP MGP, LLC (“OHCP MGP” and together with OHCP, OHCMP and OHCP GenPar, the “Reporting Persons”).</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w w:val="91"/>
              </w:rPr>
              <w:t>The Reporting Persons are making this single, joint filing because they may be deemed to constitute a “group” within the meaning</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w w:val="96"/>
              </w:rPr>
              <w:t>of Section 13(d)(3) of the Act, although neither the fact of this filing nor anything contained herein shall be deemed to be an</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admission by the Reporting Persons that such a group exists.</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2(b).</w:t>
            </w:r>
          </w:p>
        </w:tc>
        <w:tc>
          <w:tcPr>
            <w:tcW w:w="10240" w:type="dxa"/>
            <w:vAlign w:val="bottom"/>
          </w:tcPr>
          <w:p>
            <w:pPr>
              <w:ind w:left="440"/>
              <w:spacing w:after="0"/>
              <w:rPr>
                <w:sz w:val="20"/>
                <w:szCs w:val="20"/>
                <w:color w:val="auto"/>
              </w:rPr>
            </w:pPr>
            <w:r>
              <w:rPr>
                <w:rFonts w:ascii="Arial" w:cs="Arial" w:eastAsia="Arial" w:hAnsi="Arial"/>
                <w:sz w:val="18"/>
                <w:szCs w:val="18"/>
                <w:color w:val="auto"/>
              </w:rPr>
              <w:t>Address of Principal Business Office or, if none, Residence of each Reporting Person:</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201 Main Street</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Suite 1018</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Fort Worth, TX 76102</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2(c).</w:t>
            </w:r>
          </w:p>
        </w:tc>
        <w:tc>
          <w:tcPr>
            <w:tcW w:w="10240" w:type="dxa"/>
            <w:vAlign w:val="bottom"/>
          </w:tcPr>
          <w:p>
            <w:pPr>
              <w:ind w:left="440"/>
              <w:spacing w:after="0"/>
              <w:rPr>
                <w:sz w:val="20"/>
                <w:szCs w:val="20"/>
                <w:color w:val="auto"/>
              </w:rPr>
            </w:pPr>
            <w:r>
              <w:rPr>
                <w:rFonts w:ascii="Arial" w:cs="Arial" w:eastAsia="Arial" w:hAnsi="Arial"/>
                <w:sz w:val="18"/>
                <w:szCs w:val="18"/>
                <w:color w:val="auto"/>
              </w:rPr>
              <w:t>Citizenship:</w:t>
            </w:r>
          </w:p>
        </w:tc>
      </w:tr>
      <w:tr>
        <w:trPr>
          <w:trHeight w:val="472"/>
        </w:trPr>
        <w:tc>
          <w:tcPr>
            <w:tcW w:w="1180" w:type="dxa"/>
            <w:vAlign w:val="bottom"/>
          </w:tcPr>
          <w:p>
            <w:pPr>
              <w:spacing w:after="0"/>
              <w:rPr>
                <w:sz w:val="24"/>
                <w:szCs w:val="24"/>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 Delaware</w:t>
            </w:r>
          </w:p>
        </w:tc>
      </w:tr>
      <w:tr>
        <w:trPr>
          <w:trHeight w:val="216"/>
        </w:trPr>
        <w:tc>
          <w:tcPr>
            <w:tcW w:w="118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OHCMP - Delaware</w:t>
            </w:r>
          </w:p>
        </w:tc>
      </w:tr>
      <w:tr>
        <w:trPr>
          <w:trHeight w:val="216"/>
        </w:trPr>
        <w:tc>
          <w:tcPr>
            <w:tcW w:w="118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GenPar - Delaware</w:t>
            </w:r>
          </w:p>
        </w:tc>
      </w:tr>
      <w:tr>
        <w:trPr>
          <w:trHeight w:val="230"/>
        </w:trPr>
        <w:tc>
          <w:tcPr>
            <w:tcW w:w="118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MGP - Delaware</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2(d).</w:t>
            </w:r>
          </w:p>
        </w:tc>
        <w:tc>
          <w:tcPr>
            <w:tcW w:w="10240" w:type="dxa"/>
            <w:vAlign w:val="bottom"/>
          </w:tcPr>
          <w:p>
            <w:pPr>
              <w:ind w:left="440"/>
              <w:spacing w:after="0"/>
              <w:rPr>
                <w:sz w:val="20"/>
                <w:szCs w:val="20"/>
                <w:color w:val="auto"/>
              </w:rPr>
            </w:pPr>
            <w:r>
              <w:rPr>
                <w:rFonts w:ascii="Arial" w:cs="Arial" w:eastAsia="Arial" w:hAnsi="Arial"/>
                <w:sz w:val="18"/>
                <w:szCs w:val="18"/>
                <w:color w:val="auto"/>
              </w:rPr>
              <w:t>Title of Class of Securities:</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Common Stock, par value $0.001 per share (the “Common Stock”)</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2(e).</w:t>
            </w:r>
          </w:p>
        </w:tc>
        <w:tc>
          <w:tcPr>
            <w:tcW w:w="10240" w:type="dxa"/>
            <w:vAlign w:val="bottom"/>
          </w:tcPr>
          <w:p>
            <w:pPr>
              <w:ind w:left="440"/>
              <w:spacing w:after="0"/>
              <w:rPr>
                <w:sz w:val="20"/>
                <w:szCs w:val="20"/>
                <w:color w:val="auto"/>
              </w:rPr>
            </w:pPr>
            <w:r>
              <w:rPr>
                <w:rFonts w:ascii="Arial" w:cs="Arial" w:eastAsia="Arial" w:hAnsi="Arial"/>
                <w:sz w:val="18"/>
                <w:szCs w:val="18"/>
                <w:color w:val="auto"/>
              </w:rPr>
              <w:t>CUSIP Number:</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302081104</w:t>
            </w:r>
          </w:p>
        </w:tc>
      </w:tr>
      <w:tr>
        <w:trPr>
          <w:trHeight w:val="956"/>
        </w:trPr>
        <w:tc>
          <w:tcPr>
            <w:tcW w:w="118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7 of 9 Pages</w:t>
            </w:r>
          </w:p>
        </w:tc>
      </w:tr>
    </w:tbl>
    <w:p>
      <w:pPr>
        <w:spacing w:after="0" w:line="200" w:lineRule="exact"/>
        <w:rPr>
          <w:sz w:val="20"/>
          <w:szCs w:val="20"/>
          <w:color w:val="auto"/>
        </w:rPr>
      </w:pPr>
    </w:p>
    <w:p>
      <w:pPr>
        <w:spacing w:after="0" w:line="3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 (c).</w:t>
      </w:r>
    </w:p>
    <w:p>
      <w:pPr>
        <w:spacing w:after="0" w:line="27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w:t>
      </w:r>
    </w:p>
    <w:p>
      <w:pPr>
        <w:spacing w:after="0" w:line="279" w:lineRule="exact"/>
        <w:rPr>
          <w:sz w:val="20"/>
          <w:szCs w:val="20"/>
          <w:color w:val="auto"/>
        </w:rPr>
      </w:pPr>
    </w:p>
    <w:p>
      <w:pPr>
        <w:ind w:left="1960" w:right="40"/>
        <w:spacing w:after="0" w:line="286" w:lineRule="auto"/>
        <w:rPr>
          <w:sz w:val="20"/>
          <w:szCs w:val="20"/>
          <w:color w:val="auto"/>
        </w:rPr>
      </w:pPr>
      <w:r>
        <w:rPr>
          <w:rFonts w:ascii="Arial" w:cs="Arial" w:eastAsia="Arial" w:hAnsi="Arial"/>
          <w:sz w:val="17"/>
          <w:szCs w:val="17"/>
          <w:color w:val="auto"/>
        </w:rPr>
        <w:t>OHCP beneficially owns an aggregate of 5,403,942 shares of Common Stock, which represents approximately 17.3% of the issued and outstanding shares of Common Stock. OHCP has the sole power to vote or direct the vote of 5,403,942 shares of Common Stock and the sole power to dispose or to direct the disposition of 5,403,942 shares of Common Stock.</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OHCMP</w:t>
      </w:r>
    </w:p>
    <w:p>
      <w:pPr>
        <w:spacing w:after="0" w:line="279" w:lineRule="exact"/>
        <w:rPr>
          <w:sz w:val="20"/>
          <w:szCs w:val="20"/>
          <w:color w:val="auto"/>
        </w:rPr>
      </w:pPr>
    </w:p>
    <w:p>
      <w:pPr>
        <w:ind w:left="1960" w:right="100"/>
        <w:spacing w:after="0" w:line="286" w:lineRule="auto"/>
        <w:rPr>
          <w:sz w:val="20"/>
          <w:szCs w:val="20"/>
          <w:color w:val="auto"/>
        </w:rPr>
      </w:pPr>
      <w:r>
        <w:rPr>
          <w:rFonts w:ascii="Arial" w:cs="Arial" w:eastAsia="Arial" w:hAnsi="Arial"/>
          <w:sz w:val="17"/>
          <w:szCs w:val="17"/>
          <w:color w:val="auto"/>
        </w:rPr>
        <w:t>OHCMP beneficially owns an aggregate of 138,562 shares of Common Stock, which represents approximately 0.4% of the issued and outstanding shares of Common Stock. OHCMP has the sole power to vote or direct the vote of 138,562 shares of Common Stock and the sole power to dispose or to direct the disposition of 138,562 shares of Common Stock.</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 GenPar</w:t>
      </w:r>
    </w:p>
    <w:p>
      <w:pPr>
        <w:spacing w:after="0" w:line="279" w:lineRule="exact"/>
        <w:rPr>
          <w:sz w:val="20"/>
          <w:szCs w:val="20"/>
          <w:color w:val="auto"/>
        </w:rPr>
      </w:pPr>
    </w:p>
    <w:p>
      <w:pPr>
        <w:ind w:left="1960" w:right="80"/>
        <w:spacing w:after="0" w:line="257" w:lineRule="auto"/>
        <w:rPr>
          <w:sz w:val="20"/>
          <w:szCs w:val="20"/>
          <w:color w:val="auto"/>
        </w:rPr>
      </w:pPr>
      <w:r>
        <w:rPr>
          <w:rFonts w:ascii="Arial" w:cs="Arial" w:eastAsia="Arial" w:hAnsi="Arial"/>
          <w:sz w:val="18"/>
          <w:szCs w:val="18"/>
          <w:color w:val="auto"/>
        </w:rPr>
        <w:t>OHCP GenPar is the sole general partner of both OHCP and OHCMP. As the sole general partner of OHCP and OHCMP, OHCP GenPar beneficially owns an aggregate of 5,542,504 shares of Common Stock, which represents approximately 17.7% of the issued and outstanding shares of Common Stock. As the sole general partner of OHCP and OHCMP, OHCP GenPar has the sole power to vote or direct the vote of 5,542,504 shares of Common Stock and the sole power to dispose or to direct the disposition of 5,542,504 shares of Common Stock.</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 MGP</w:t>
      </w:r>
    </w:p>
    <w:p>
      <w:pPr>
        <w:spacing w:after="0" w:line="279" w:lineRule="exact"/>
        <w:rPr>
          <w:sz w:val="20"/>
          <w:szCs w:val="20"/>
          <w:color w:val="auto"/>
        </w:rPr>
      </w:pPr>
    </w:p>
    <w:p>
      <w:pPr>
        <w:ind w:left="1960" w:right="140"/>
        <w:spacing w:after="0" w:line="257" w:lineRule="auto"/>
        <w:rPr>
          <w:sz w:val="20"/>
          <w:szCs w:val="20"/>
          <w:color w:val="auto"/>
        </w:rPr>
      </w:pPr>
      <w:r>
        <w:rPr>
          <w:rFonts w:ascii="Arial" w:cs="Arial" w:eastAsia="Arial" w:hAnsi="Arial"/>
          <w:sz w:val="18"/>
          <w:szCs w:val="18"/>
          <w:color w:val="auto"/>
        </w:rPr>
        <w:t>OHCP MGP is the sole general partner of OHCP GenPar. As the sole general partner of OHCP GenPar, OHCP MGP may be deemed to beneficially own an aggregate of 5,542,504 shares of Common Stock, which represents approximately 17.7% of the issued and outstanding shares of Common Stock. As the sole general partner of OHCP GenPar, OHCP MGP may be deemed to have the sole power to vote or direct the vote of 5,542,504 shares of Common Stock and the sole power to dispose or to direct the disposition of 5,542,504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589915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8 of 9 Pages</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0300" w:type="dxa"/>
            <w:vAlign w:val="bottom"/>
          </w:tcPr>
          <w:p>
            <w:pPr>
              <w:ind w:left="500"/>
              <w:spacing w:after="0"/>
              <w:rPr>
                <w:sz w:val="20"/>
                <w:szCs w:val="20"/>
                <w:color w:val="auto"/>
              </w:rPr>
            </w:pPr>
            <w:r>
              <w:rPr>
                <w:rFonts w:ascii="Arial" w:cs="Arial" w:eastAsia="Arial" w:hAnsi="Arial"/>
                <w:sz w:val="18"/>
                <w:szCs w:val="18"/>
                <w:color w:val="auto"/>
              </w:rPr>
              <w:t>Ownership of Five Percent or Less of a Class</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0300" w:type="dxa"/>
            <w:vAlign w:val="bottom"/>
          </w:tcPr>
          <w:p>
            <w:pPr>
              <w:ind w:left="5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72"/>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10300" w:type="dxa"/>
            <w:vAlign w:val="bottom"/>
          </w:tcPr>
          <w:p>
            <w:pPr>
              <w:ind w:left="500"/>
              <w:spacing w:after="0"/>
              <w:rPr>
                <w:sz w:val="20"/>
                <w:szCs w:val="20"/>
                <w:color w:val="auto"/>
              </w:rPr>
            </w:pPr>
            <w:r>
              <w:rPr>
                <w:rFonts w:ascii="Arial" w:cs="Arial" w:eastAsia="Arial" w:hAnsi="Arial"/>
                <w:sz w:val="18"/>
                <w:szCs w:val="18"/>
                <w:color w:val="auto"/>
                <w:w w:val="92"/>
              </w:rPr>
              <w:t>Identification and Classification of the Subsidiary Which Acquired the Security Being Reported on By the Parent Holding Company or</w:t>
            </w:r>
          </w:p>
        </w:tc>
      </w:tr>
      <w:tr>
        <w:trPr>
          <w:trHeight w:val="230"/>
        </w:trPr>
        <w:tc>
          <w:tcPr>
            <w:tcW w:w="1120" w:type="dxa"/>
            <w:vAlign w:val="bottom"/>
          </w:tcPr>
          <w:p>
            <w:pPr>
              <w:spacing w:after="0"/>
              <w:rPr>
                <w:sz w:val="20"/>
                <w:szCs w:val="20"/>
                <w:color w:val="auto"/>
              </w:rPr>
            </w:pPr>
          </w:p>
        </w:tc>
        <w:tc>
          <w:tcPr>
            <w:tcW w:w="10300" w:type="dxa"/>
            <w:vAlign w:val="bottom"/>
          </w:tcPr>
          <w:p>
            <w:pPr>
              <w:ind w:left="500"/>
              <w:spacing w:after="0"/>
              <w:rPr>
                <w:sz w:val="20"/>
                <w:szCs w:val="20"/>
                <w:color w:val="auto"/>
              </w:rPr>
            </w:pPr>
            <w:r>
              <w:rPr>
                <w:rFonts w:ascii="Arial" w:cs="Arial" w:eastAsia="Arial" w:hAnsi="Arial"/>
                <w:sz w:val="18"/>
                <w:szCs w:val="18"/>
                <w:color w:val="auto"/>
              </w:rPr>
              <w:t>Control Person</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10300" w:type="dxa"/>
            <w:vAlign w:val="bottom"/>
          </w:tcPr>
          <w:p>
            <w:pPr>
              <w:ind w:left="5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10300" w:type="dxa"/>
            <w:vAlign w:val="bottom"/>
          </w:tcPr>
          <w:p>
            <w:pPr>
              <w:ind w:left="500"/>
              <w:spacing w:after="0"/>
              <w:rPr>
                <w:sz w:val="20"/>
                <w:szCs w:val="20"/>
                <w:color w:val="auto"/>
              </w:rPr>
            </w:pPr>
            <w:r>
              <w:rPr>
                <w:rFonts w:ascii="Arial" w:cs="Arial" w:eastAsia="Arial" w:hAnsi="Arial"/>
                <w:sz w:val="18"/>
                <w:szCs w:val="18"/>
                <w:color w:val="auto"/>
              </w:rPr>
              <w:t>Notice of Dissolution of Group</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10300" w:type="dxa"/>
            <w:vAlign w:val="bottom"/>
          </w:tcPr>
          <w:p>
            <w:pPr>
              <w:ind w:left="500"/>
              <w:spacing w:after="0"/>
              <w:rPr>
                <w:sz w:val="20"/>
                <w:szCs w:val="20"/>
                <w:color w:val="auto"/>
              </w:rPr>
            </w:pPr>
            <w:r>
              <w:rPr>
                <w:rFonts w:ascii="Arial" w:cs="Arial" w:eastAsia="Arial" w:hAnsi="Arial"/>
                <w:sz w:val="18"/>
                <w:szCs w:val="18"/>
                <w:color w:val="auto"/>
              </w:rPr>
              <w:t>Certifications</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956"/>
        </w:trPr>
        <w:tc>
          <w:tcPr>
            <w:tcW w:w="112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9 of 9 Pages</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2012</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MANAGEMENT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GENPAR,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MGP,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655320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par value $0.001 per share, of ExlService Holdings, Inc.</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Joint Filing Agreement on January 25, 2012.</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MANAGEMENT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GENPAR,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MGP,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2019-12-09T17:19:16Z</dcterms:created>
  <dcterms:modified xsi:type="dcterms:W3CDTF">2019-12-09T17:19:16Z</dcterms:modified>
</cp:coreProperties>
</file>