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8,300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02/19/2020</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8,300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02/19/2030</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8,300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19, 2021. Vesting will be accelerated upon certain termination of employment events and upon a "Change in Control" (as defined in the ExlService Holdings, Inc. 2018 Omnibus Incentive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500"/>
        <w:spacing w:after="0" w:line="233" w:lineRule="auto"/>
        <w:rPr>
          <w:sz w:val="20"/>
          <w:szCs w:val="20"/>
          <w:color w:val="auto"/>
        </w:rPr>
      </w:pPr>
      <w:r>
        <w:rPr>
          <w:rFonts w:ascii="Arial" w:cs="Arial" w:eastAsia="Arial" w:hAnsi="Arial"/>
          <w:sz w:val="14"/>
          <w:szCs w:val="14"/>
          <w:color w:val="008000"/>
        </w:rPr>
        <w:t>Note: On February 19, 2020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3"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2020-02-21T16:10:17Z</dcterms:created>
  <dcterms:modified xsi:type="dcterms:W3CDTF">2020-02-21T16:10:17Z</dcterms:modified>
</cp:coreProperties>
</file>