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87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8795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Kapoor Rohit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01/27/2025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6"/>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35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10022</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(State)</w:t>
            </w:r>
          </w:p>
        </w:tc>
        <w:tc>
          <w:tcPr>
            <w:tcW w:w="10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700" w:type="dxa"/>
            <w:vAlign w:val="bottom"/>
            <w:tcBorders>
              <w:top w:val="single" w:sz="8" w:color="EEEEEE"/>
            </w:tcBorders>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4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12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01/27/2025</w:t>
            </w:r>
          </w:p>
        </w:tc>
        <w:tc>
          <w:tcPr>
            <w:tcW w:w="114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150,990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vMerge w:val="restart"/>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640,635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12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01/27/2025</w:t>
            </w:r>
          </w:p>
        </w:tc>
        <w:tc>
          <w:tcPr>
            <w:tcW w:w="114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226,470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vMerge w:val="restart"/>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867,105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838" w:orient="portrait"/>
          <w:cols w:equalWidth="0" w:num="1">
            <w:col w:w="11000"/>
          </w:cols>
          <w:pgMar w:left="460" w:top="219" w:right="439" w:bottom="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par value $0.001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color w:val="0000FF"/>
                <w:w w:val="97"/>
              </w:rPr>
              <w:t>885,670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(3)</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(4)</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color w:val="0000FF"/>
                <w:w w:val="97"/>
              </w:rPr>
              <w:t>420,000</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(5)</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color w:val="0000FF"/>
                <w:w w:val="97"/>
              </w:rPr>
              <w:t>665,925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5"/>
              </w:rPr>
              <w:t>Footnote</w:t>
            </w:r>
            <w:r>
              <w:rPr>
                <w:rFonts w:ascii="Times New Roman" w:cs="Times New Roman" w:eastAsia="Times New Roman" w:hAnsi="Times New Roman"/>
                <w:sz w:val="22"/>
                <w:szCs w:val="22"/>
                <w:color w:val="008000"/>
                <w:w w:val="95"/>
                <w:vertAlign w:val="superscript"/>
              </w:rPr>
              <w:t>(6)</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color w:val="0000FF"/>
                <w:w w:val="97"/>
              </w:rPr>
              <w:t>201,095</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580" w:space="720"/>
            <w:col w:w="2700"/>
          </w:cols>
          <w:pgMar w:left="460" w:top="219"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16, 2022. Such shares of Common Stock were deemed earned on January 27, 2025 based on the Compensation Committee of the Board of Directors administering the award certifying the achievement of performance targets applicable to the PRSUs for the performance period ending on December 31, 2024.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838" w:orient="portrait"/>
          <w:cols w:equalWidth="0" w:num="1">
            <w:col w:w="11000"/>
          </w:cols>
          <w:pgMar w:left="460" w:top="219" w:right="439" w:bottom="0" w:gutter="0" w:footer="0" w:header="0"/>
          <w:type w:val="continuous"/>
        </w:sectPr>
      </w:pPr>
    </w:p>
    <w:p>
      <w:pPr>
        <w:spacing w:after="0" w:line="75"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Ajay Ayyappan, Attorney-</w:t>
        <w:tab/>
        <w:t>01/29/2025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2025-01-29T16:28:32Z</dcterms:created>
  <dcterms:modified xsi:type="dcterms:W3CDTF">2025-01-29T16:28:32Z</dcterms:modified>
</cp:coreProperties>
</file>