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2015</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440" w:type="dxa"/>
        <w:tblCellMar>
          <w:top w:w="0" w:type="dxa"/>
          <w:left w:w="0" w:type="dxa"/>
          <w:bottom w:w="0" w:type="dxa"/>
          <w:right w:w="0" w:type="dxa"/>
        </w:tblCellMar>
      </w:tblPr>
      <w:tr>
        <w:trPr>
          <w:trHeight w:val="210"/>
        </w:trPr>
        <w:tc>
          <w:tcPr>
            <w:tcW w:w="3200" w:type="dxa"/>
            <w:vAlign w:val="bottom"/>
          </w:tcPr>
          <w:p>
            <w:pPr>
              <w:jc w:val="center"/>
              <w:ind w:right="503"/>
              <w:spacing w:after="0"/>
              <w:rPr>
                <w:sz w:val="20"/>
                <w:szCs w:val="20"/>
                <w:color w:val="auto"/>
              </w:rPr>
            </w:pPr>
            <w:r>
              <w:rPr>
                <w:rFonts w:ascii="Arial" w:cs="Arial" w:eastAsia="Arial" w:hAnsi="Arial"/>
                <w:sz w:val="16"/>
                <w:szCs w:val="16"/>
                <w:b w:val="1"/>
                <w:bCs w:val="1"/>
                <w:color w:val="auto"/>
                <w:w w:val="97"/>
              </w:rPr>
              <w:t>DELAWARE</w:t>
            </w:r>
          </w:p>
        </w:tc>
        <w:tc>
          <w:tcPr>
            <w:tcW w:w="4540" w:type="dxa"/>
            <w:vAlign w:val="bottom"/>
          </w:tcPr>
          <w:p>
            <w:pPr>
              <w:jc w:val="right"/>
              <w:ind w:right="83"/>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3200" w:type="dxa"/>
            <w:vAlign w:val="bottom"/>
          </w:tcPr>
          <w:p>
            <w:pPr>
              <w:jc w:val="center"/>
              <w:ind w:right="503"/>
              <w:spacing w:after="0"/>
              <w:rPr>
                <w:sz w:val="20"/>
                <w:szCs w:val="20"/>
                <w:color w:val="auto"/>
              </w:rPr>
            </w:pPr>
            <w:r>
              <w:rPr>
                <w:rFonts w:ascii="Arial" w:cs="Arial" w:eastAsia="Arial" w:hAnsi="Arial"/>
                <w:sz w:val="14"/>
                <w:szCs w:val="14"/>
                <w:b w:val="1"/>
                <w:bCs w:val="1"/>
                <w:color w:val="auto"/>
                <w:w w:val="92"/>
              </w:rPr>
              <w:t>(State or other jurisdiction of</w:t>
            </w:r>
          </w:p>
        </w:tc>
        <w:tc>
          <w:tcPr>
            <w:tcW w:w="4540" w:type="dxa"/>
            <w:vAlign w:val="bottom"/>
          </w:tcPr>
          <w:p>
            <w:pPr>
              <w:jc w:val="center"/>
              <w:ind w:left="334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200" w:type="dxa"/>
            <w:vAlign w:val="bottom"/>
          </w:tcPr>
          <w:p>
            <w:pPr>
              <w:jc w:val="center"/>
              <w:ind w:right="503"/>
              <w:spacing w:after="0"/>
              <w:rPr>
                <w:sz w:val="20"/>
                <w:szCs w:val="20"/>
                <w:color w:val="auto"/>
              </w:rPr>
            </w:pPr>
            <w:r>
              <w:rPr>
                <w:rFonts w:ascii="Arial" w:cs="Arial" w:eastAsia="Arial" w:hAnsi="Arial"/>
                <w:sz w:val="14"/>
                <w:szCs w:val="14"/>
                <w:b w:val="1"/>
                <w:bCs w:val="1"/>
                <w:color w:val="auto"/>
                <w:w w:val="93"/>
              </w:rPr>
              <w:t>incorporation or organization)</w:t>
            </w:r>
          </w:p>
        </w:tc>
        <w:tc>
          <w:tcPr>
            <w:tcW w:w="4540" w:type="dxa"/>
            <w:vAlign w:val="bottom"/>
          </w:tcPr>
          <w:p>
            <w:pPr>
              <w:jc w:val="center"/>
              <w:ind w:left="3343"/>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3200" w:type="dxa"/>
            <w:vAlign w:val="bottom"/>
          </w:tcPr>
          <w:p>
            <w:pPr>
              <w:jc w:val="center"/>
              <w:ind w:right="503"/>
              <w:spacing w:after="0"/>
              <w:rPr>
                <w:sz w:val="20"/>
                <w:szCs w:val="20"/>
                <w:color w:val="auto"/>
              </w:rPr>
            </w:pPr>
            <w:r>
              <w:rPr>
                <w:rFonts w:ascii="Arial" w:cs="Arial" w:eastAsia="Arial" w:hAnsi="Arial"/>
                <w:sz w:val="16"/>
                <w:szCs w:val="16"/>
                <w:b w:val="1"/>
                <w:bCs w:val="1"/>
                <w:color w:val="auto"/>
                <w:w w:val="98"/>
              </w:rPr>
              <w:t>280 PARK AVENUE, 38 TH FLOOR,</w:t>
            </w:r>
          </w:p>
        </w:tc>
        <w:tc>
          <w:tcPr>
            <w:tcW w:w="4540" w:type="dxa"/>
            <w:vAlign w:val="bottom"/>
          </w:tcPr>
          <w:p>
            <w:pPr>
              <w:spacing w:after="0"/>
              <w:rPr>
                <w:sz w:val="24"/>
                <w:szCs w:val="24"/>
                <w:color w:val="auto"/>
              </w:rPr>
            </w:pPr>
          </w:p>
        </w:tc>
      </w:tr>
      <w:tr>
        <w:trPr>
          <w:trHeight w:val="210"/>
        </w:trPr>
        <w:tc>
          <w:tcPr>
            <w:tcW w:w="3200" w:type="dxa"/>
            <w:vAlign w:val="bottom"/>
          </w:tcPr>
          <w:p>
            <w:pPr>
              <w:jc w:val="center"/>
              <w:ind w:right="503"/>
              <w:spacing w:after="0"/>
              <w:rPr>
                <w:sz w:val="20"/>
                <w:szCs w:val="20"/>
                <w:color w:val="auto"/>
              </w:rPr>
            </w:pPr>
            <w:r>
              <w:rPr>
                <w:rFonts w:ascii="Arial" w:cs="Arial" w:eastAsia="Arial" w:hAnsi="Arial"/>
                <w:sz w:val="16"/>
                <w:szCs w:val="16"/>
                <w:b w:val="1"/>
                <w:bCs w:val="1"/>
                <w:color w:val="auto"/>
              </w:rPr>
              <w:t>NEW YORK, NEW YORK</w:t>
            </w:r>
          </w:p>
        </w:tc>
        <w:tc>
          <w:tcPr>
            <w:tcW w:w="4540" w:type="dxa"/>
            <w:vAlign w:val="bottom"/>
          </w:tcPr>
          <w:p>
            <w:pPr>
              <w:jc w:val="right"/>
              <w:ind w:right="283"/>
              <w:spacing w:after="0"/>
              <w:rPr>
                <w:sz w:val="20"/>
                <w:szCs w:val="20"/>
                <w:color w:val="auto"/>
              </w:rPr>
            </w:pPr>
            <w:r>
              <w:rPr>
                <w:rFonts w:ascii="Arial" w:cs="Arial" w:eastAsia="Arial" w:hAnsi="Arial"/>
                <w:sz w:val="16"/>
                <w:szCs w:val="16"/>
                <w:b w:val="1"/>
                <w:bCs w:val="1"/>
                <w:color w:val="auto"/>
              </w:rPr>
              <w:t>10017</w:t>
            </w:r>
          </w:p>
        </w:tc>
      </w:tr>
      <w:tr>
        <w:trPr>
          <w:trHeight w:val="224"/>
        </w:trPr>
        <w:tc>
          <w:tcPr>
            <w:tcW w:w="3200" w:type="dxa"/>
            <w:vAlign w:val="bottom"/>
          </w:tcPr>
          <w:p>
            <w:pPr>
              <w:jc w:val="center"/>
              <w:ind w:right="50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40" w:type="dxa"/>
            <w:vAlign w:val="bottom"/>
          </w:tcPr>
          <w:p>
            <w:pPr>
              <w:jc w:val="center"/>
              <w:ind w:left="3363"/>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3200" w:type="dxa"/>
            <w:vAlign w:val="bottom"/>
          </w:tcPr>
          <w:p>
            <w:pPr>
              <w:spacing w:after="0"/>
              <w:rPr>
                <w:sz w:val="22"/>
                <w:szCs w:val="22"/>
                <w:color w:val="auto"/>
              </w:rPr>
            </w:pPr>
          </w:p>
        </w:tc>
        <w:tc>
          <w:tcPr>
            <w:tcW w:w="4540" w:type="dxa"/>
            <w:vAlign w:val="bottom"/>
          </w:tcPr>
          <w:p>
            <w:pPr>
              <w:jc w:val="right"/>
              <w:ind w:right="2883"/>
              <w:spacing w:after="0"/>
              <w:rPr>
                <w:sz w:val="20"/>
                <w:szCs w:val="20"/>
                <w:color w:val="auto"/>
              </w:rPr>
            </w:pPr>
            <w:r>
              <w:rPr>
                <w:rFonts w:ascii="Arial" w:cs="Arial" w:eastAsia="Arial" w:hAnsi="Arial"/>
                <w:sz w:val="16"/>
                <w:szCs w:val="16"/>
                <w:b w:val="1"/>
                <w:bCs w:val="1"/>
                <w:color w:val="auto"/>
              </w:rPr>
              <w:t>(212) 277-7100</w:t>
            </w:r>
          </w:p>
        </w:tc>
      </w:tr>
    </w:tbl>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5"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Title of Each Class:</w:t>
            </w:r>
          </w:p>
        </w:tc>
        <w:tc>
          <w:tcPr>
            <w:tcW w:w="1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44"/>
        </w:trPr>
        <w:tc>
          <w:tcPr>
            <w:tcW w:w="4540" w:type="dxa"/>
            <w:vAlign w:val="bottom"/>
            <w:gridSpan w:val="3"/>
          </w:tcPr>
          <w:p>
            <w:pPr>
              <w:jc w:val="center"/>
              <w:ind w:left="197"/>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2320" w:type="dxa"/>
            <w:vAlign w:val="bottom"/>
          </w:tcPr>
          <w:p>
            <w:pPr>
              <w:spacing w:after="0"/>
              <w:rPr>
                <w:sz w:val="21"/>
                <w:szCs w:val="21"/>
                <w:color w:val="auto"/>
              </w:rPr>
            </w:pPr>
          </w:p>
        </w:tc>
        <w:tc>
          <w:tcPr>
            <w:tcW w:w="2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300" w:type="dxa"/>
            <w:vAlign w:val="bottom"/>
            <w:gridSpan w:val="3"/>
          </w:tcPr>
          <w:p>
            <w:pPr>
              <w:jc w:val="center"/>
              <w:ind w:right="503"/>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780" w:type="dxa"/>
            <w:vAlign w:val="bottom"/>
            <w:gridSpan w:val="2"/>
          </w:tcPr>
          <w:p>
            <w:pPr>
              <w:jc w:val="center"/>
              <w:ind w:right="2023"/>
              <w:spacing w:after="0"/>
              <w:rPr>
                <w:sz w:val="20"/>
                <w:szCs w:val="20"/>
                <w:color w:val="auto"/>
              </w:rPr>
            </w:pPr>
            <w:r>
              <w:rPr>
                <w:rFonts w:ascii="Arial" w:cs="Arial" w:eastAsia="Arial" w:hAnsi="Arial"/>
                <w:sz w:val="16"/>
                <w:szCs w:val="16"/>
                <w:b w:val="1"/>
                <w:bCs w:val="1"/>
                <w:color w:val="auto"/>
                <w:w w:val="89"/>
              </w:rPr>
              <w:t>None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20" w:type="dxa"/>
            <w:vAlign w:val="bottom"/>
            <w:gridSpan w:val="5"/>
          </w:tcPr>
          <w:p>
            <w:pPr>
              <w:jc w:val="center"/>
              <w:ind w:left="2337"/>
              <w:spacing w:after="0" w:line="195" w:lineRule="exact"/>
              <w:rPr>
                <w:sz w:val="20"/>
                <w:szCs w:val="20"/>
                <w:color w:val="auto"/>
              </w:rPr>
            </w:pPr>
            <w:r>
              <w:rPr>
                <w:rFonts w:ascii="Arial" w:cs="Arial" w:eastAsia="Arial" w:hAnsi="Arial"/>
                <w:sz w:val="18"/>
                <w:szCs w:val="18"/>
                <w:b w:val="1"/>
                <w:bCs w:val="1"/>
                <w:color w:val="auto"/>
                <w:w w:val="90"/>
              </w:rPr>
              <w:t>_________________________________________________________</w:t>
            </w:r>
          </w:p>
        </w:tc>
        <w:tc>
          <w:tcPr>
            <w:tcW w:w="140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3"/>
        </w:trPr>
        <w:tc>
          <w:tcPr>
            <w:tcW w:w="832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832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140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firstLine="324"/>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33" w:lineRule="exact"/>
        <w:rPr>
          <w:sz w:val="24"/>
          <w:szCs w:val="24"/>
          <w:color w:val="auto"/>
        </w:rPr>
      </w:pPr>
    </w:p>
    <w:p>
      <w:pPr>
        <w:ind w:firstLine="324"/>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445" w:right="259" w:bottom="1440" w:gutter="0" w:footer="0" w:header="0"/>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200" w:space="720"/>
            <w:col w:w="4560" w:space="720"/>
            <w:col w:w="1900" w:space="720"/>
            <w:col w:w="580"/>
          </w:cols>
          <w:pgMar w:left="240" w:top="445" w:right="25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2200" w:space="720"/>
            <w:col w:w="4560" w:space="720"/>
            <w:col w:w="1900" w:space="720"/>
            <w:col w:w="580"/>
          </w:cols>
          <w:pgMar w:left="240" w:top="445" w:right="25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33" w:lineRule="exact"/>
        <w:rPr>
          <w:sz w:val="24"/>
          <w:szCs w:val="24"/>
          <w:color w:val="auto"/>
        </w:rPr>
      </w:pPr>
    </w:p>
    <w:p>
      <w:pPr>
        <w:sectPr>
          <w:pgSz w:w="11900" w:h="16838" w:orient="portrait"/>
          <w:cols w:equalWidth="0" w:num="5">
            <w:col w:w="7700" w:space="160"/>
            <w:col w:w="220" w:space="80"/>
            <w:col w:w="160" w:space="160"/>
            <w:col w:w="200" w:space="80"/>
            <w:col w:w="2640"/>
          </w:cols>
          <w:pgMar w:left="240" w:top="445"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As of June 30, 2015, the aggregate market value of common stock held by non-affiliates was approximately $1,103,165,005.</w:t>
      </w:r>
    </w:p>
    <w:p>
      <w:pPr>
        <w:spacing w:after="0" w:line="19" w:lineRule="exact"/>
        <w:rPr>
          <w:sz w:val="24"/>
          <w:szCs w:val="24"/>
          <w:color w:val="auto"/>
        </w:rPr>
      </w:pPr>
    </w:p>
    <w:p>
      <w:pPr>
        <w:ind w:right="160" w:firstLine="324"/>
        <w:spacing w:after="0" w:line="246" w:lineRule="auto"/>
        <w:rPr>
          <w:sz w:val="20"/>
          <w:szCs w:val="20"/>
          <w:color w:val="auto"/>
        </w:rPr>
      </w:pPr>
      <w:r>
        <w:rPr>
          <w:rFonts w:ascii="Arial" w:cs="Arial" w:eastAsia="Arial" w:hAnsi="Arial"/>
          <w:sz w:val="16"/>
          <w:szCs w:val="16"/>
          <w:color w:val="auto"/>
        </w:rPr>
        <w:t>As of February 22, 2016, there were 33,269,976 shares of the registrant’s common stock outstanding (including 129,638 shares of restricted stock), par value $0.001 per share.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right="120"/>
        <w:spacing w:after="0" w:line="257" w:lineRule="auto"/>
        <w:rPr>
          <w:sz w:val="20"/>
          <w:szCs w:val="20"/>
          <w:color w:val="auto"/>
        </w:rPr>
      </w:pPr>
      <w:r>
        <w:rPr>
          <w:rFonts w:ascii="Arial" w:cs="Arial" w:eastAsia="Arial" w:hAnsi="Arial"/>
          <w:sz w:val="16"/>
          <w:szCs w:val="16"/>
          <w:color w:val="auto"/>
        </w:rPr>
        <w:t>Part III incorporates information from certain portions of the registrant’s definitive proxy statement to be filed with the Securities and Exchange Commission within 120 days after the fiscal year end of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60" w:type="dxa"/>
            <w:vAlign w:val="bottom"/>
            <w:gridSpan w:val="11"/>
          </w:tcPr>
          <w:p>
            <w:pPr>
              <w:ind w:left="2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723"/>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30"/>
        </w:trPr>
        <w:tc>
          <w:tcPr>
            <w:tcW w:w="206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w:t>
            </w:r>
          </w:p>
        </w:tc>
        <w:tc>
          <w:tcPr>
            <w:tcW w:w="86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1A.</w:t>
            </w:r>
          </w:p>
        </w:tc>
        <w:tc>
          <w:tcPr>
            <w:tcW w:w="8640" w:type="dxa"/>
            <w:vAlign w:val="bottom"/>
            <w:gridSpan w:val="21"/>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68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18</w:t>
              </w:r>
            </w:hyperlink>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1B.</w:t>
            </w:r>
          </w:p>
        </w:tc>
        <w:tc>
          <w:tcPr>
            <w:tcW w:w="8640" w:type="dxa"/>
            <w:vAlign w:val="bottom"/>
            <w:gridSpan w:val="21"/>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6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21"/>
                <w:szCs w:val="21"/>
                <w:color w:val="auto"/>
              </w:rPr>
            </w:pPr>
          </w:p>
        </w:tc>
        <w:tc>
          <w:tcPr>
            <w:tcW w:w="6600" w:type="dxa"/>
            <w:vAlign w:val="bottom"/>
            <w:gridSpan w:val="1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7300" w:type="dxa"/>
            <w:vAlign w:val="bottom"/>
            <w:gridSpan w:val="1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4.</w:t>
            </w:r>
          </w:p>
        </w:tc>
        <w:tc>
          <w:tcPr>
            <w:tcW w:w="8640" w:type="dxa"/>
            <w:vAlign w:val="bottom"/>
            <w:gridSpan w:val="2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68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50"/>
        </w:trPr>
        <w:tc>
          <w:tcPr>
            <w:tcW w:w="7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36">
              <w:r>
                <w:rPr>
                  <w:rFonts w:ascii="Arial" w:cs="Arial" w:eastAsia="Arial" w:hAnsi="Arial"/>
                  <w:sz w:val="18"/>
                  <w:szCs w:val="18"/>
                  <w:b w:val="1"/>
                  <w:bCs w:val="1"/>
                  <w:color w:val="0000EE"/>
                  <w:w w:val="98"/>
                </w:rPr>
                <w:t>PART II.</w:t>
              </w:r>
            </w:hyperlink>
          </w:p>
        </w:tc>
        <w:tc>
          <w:tcPr>
            <w:tcW w:w="1360" w:type="dxa"/>
            <w:vAlign w:val="bottom"/>
            <w:gridSpan w:val="4"/>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Selected Financial Data</w:t>
              </w:r>
            </w:hyperlink>
          </w:p>
        </w:tc>
        <w:tc>
          <w:tcPr>
            <w:tcW w:w="6920" w:type="dxa"/>
            <w:vAlign w:val="bottom"/>
            <w:gridSpan w:val="1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38</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7.</w:t>
            </w:r>
          </w:p>
        </w:tc>
        <w:tc>
          <w:tcPr>
            <w:tcW w:w="8640" w:type="dxa"/>
            <w:vAlign w:val="bottom"/>
            <w:gridSpan w:val="2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Quantitative and Qualitative Disclosures About Market Risk</w:t>
              </w:r>
            </w:hyperlink>
          </w:p>
        </w:tc>
        <w:tc>
          <w:tcPr>
            <w:tcW w:w="218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280" w:type="dxa"/>
            <w:vAlign w:val="bottom"/>
            <w:gridSpan w:val="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60</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w:t>
            </w:r>
          </w:p>
        </w:tc>
        <w:tc>
          <w:tcPr>
            <w:tcW w:w="8640" w:type="dxa"/>
            <w:vAlign w:val="bottom"/>
            <w:gridSpan w:val="21"/>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Changes in and Disagreement with Accountants on Accounting and Financial Disclosure</w:t>
              </w:r>
            </w:hyperlink>
          </w:p>
        </w:tc>
        <w:tc>
          <w:tcPr>
            <w:tcW w:w="68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Controls and Procedures</w:t>
              </w:r>
            </w:hyperlink>
          </w:p>
        </w:tc>
        <w:tc>
          <w:tcPr>
            <w:tcW w:w="4620" w:type="dxa"/>
            <w:vAlign w:val="bottom"/>
            <w:tcBorders>
              <w:top w:val="single" w:sz="8" w:color="0000EE"/>
            </w:tcBorders>
            <w:gridSpan w:val="10"/>
          </w:tcPr>
          <w:p>
            <w:pPr>
              <w:spacing w:after="0"/>
              <w:rPr>
                <w:sz w:val="21"/>
                <w:szCs w:val="21"/>
                <w:color w:val="auto"/>
              </w:rPr>
            </w:pPr>
          </w:p>
        </w:tc>
        <w:tc>
          <w:tcPr>
            <w:tcW w:w="2240" w:type="dxa"/>
            <w:vAlign w:val="bottom"/>
            <w:gridSpan w:val="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2">
              <w:r>
                <w:rPr>
                  <w:rFonts w:ascii="Arial" w:cs="Arial" w:eastAsia="Arial" w:hAnsi="Arial"/>
                  <w:sz w:val="18"/>
                  <w:szCs w:val="18"/>
                  <w:color w:val="auto"/>
                </w:rPr>
                <w:t>60</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9B.</w:t>
            </w:r>
          </w:p>
        </w:tc>
        <w:tc>
          <w:tcPr>
            <w:tcW w:w="8640" w:type="dxa"/>
            <w:vAlign w:val="bottom"/>
            <w:gridSpan w:val="21"/>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680" w:type="dxa"/>
            <w:vAlign w:val="bottom"/>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61</w:t>
              </w:r>
            </w:hyperlink>
          </w:p>
        </w:tc>
      </w:tr>
      <w:tr>
        <w:trPr>
          <w:trHeight w:val="250"/>
        </w:trPr>
        <w:tc>
          <w:tcPr>
            <w:tcW w:w="2060" w:type="dxa"/>
            <w:vAlign w:val="bottom"/>
            <w:gridSpan w:val="5"/>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PART III.</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Directors, Executive Officers and Corporate Governance</w:t>
              </w:r>
            </w:hyperlink>
          </w:p>
        </w:tc>
        <w:tc>
          <w:tcPr>
            <w:tcW w:w="4540" w:type="dxa"/>
            <w:vAlign w:val="bottom"/>
            <w:gridSpan w:val="7"/>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11.</w:t>
            </w:r>
          </w:p>
        </w:tc>
        <w:tc>
          <w:tcPr>
            <w:tcW w:w="8640" w:type="dxa"/>
            <w:vAlign w:val="bottom"/>
            <w:gridSpan w:val="2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Executive Compensation</w:t>
              </w:r>
            </w:hyperlink>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0"/>
        </w:trPr>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64">
              <w:r>
                <w:rPr>
                  <w:rFonts w:ascii="Arial" w:cs="Arial" w:eastAsia="Arial" w:hAnsi="Arial"/>
                  <w:sz w:val="18"/>
                  <w:szCs w:val="18"/>
                  <w:color w:val="0000EE"/>
                  <w:w w:val="90"/>
                </w:rPr>
                <w:t>Security Ownership of Certain Beneficial Owners and Management and Related Stockholder Matters</w:t>
              </w:r>
            </w:hyperlink>
          </w:p>
        </w:tc>
        <w:tc>
          <w:tcPr>
            <w:tcW w:w="134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Certain Relationships and Related Transactions, and Director Independence</w:t>
              </w:r>
            </w:hyperlink>
          </w:p>
        </w:tc>
        <w:tc>
          <w:tcPr>
            <w:tcW w:w="3180" w:type="dxa"/>
            <w:vAlign w:val="bottom"/>
            <w:gridSpan w:val="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14.</w:t>
            </w:r>
          </w:p>
        </w:tc>
        <w:tc>
          <w:tcPr>
            <w:tcW w:w="8640" w:type="dxa"/>
            <w:vAlign w:val="bottom"/>
            <w:gridSpan w:val="21"/>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Principal Accountant Fees and Services</w:t>
              </w:r>
            </w:hyperlink>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62</w:t>
              </w:r>
            </w:hyperlink>
          </w:p>
        </w:tc>
      </w:tr>
      <w:tr>
        <w:trPr>
          <w:trHeight w:val="250"/>
        </w:trPr>
        <w:tc>
          <w:tcPr>
            <w:tcW w:w="2060" w:type="dxa"/>
            <w:vAlign w:val="bottom"/>
            <w:gridSpan w:val="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15.</w:t>
            </w:r>
          </w:p>
        </w:tc>
        <w:tc>
          <w:tcPr>
            <w:tcW w:w="8640" w:type="dxa"/>
            <w:vAlign w:val="bottom"/>
            <w:gridSpan w:val="21"/>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Exhibits and Financial Statement Schedules</w:t>
              </w:r>
            </w:hyperlink>
          </w:p>
        </w:tc>
        <w:tc>
          <w:tcPr>
            <w:tcW w:w="68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63</w:t>
              </w:r>
            </w:hyperlink>
          </w:p>
        </w:tc>
      </w:tr>
      <w:tr>
        <w:trPr>
          <w:trHeight w:val="37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SIGNATURES</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64</w:t>
              </w:r>
            </w:hyperlink>
          </w:p>
        </w:tc>
      </w:tr>
      <w:tr>
        <w:trPr>
          <w:trHeight w:val="372"/>
        </w:trPr>
        <w:tc>
          <w:tcPr>
            <w:tcW w:w="13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6">
              <w:r>
                <w:rPr>
                  <w:rFonts w:ascii="Arial" w:cs="Arial" w:eastAsia="Arial" w:hAnsi="Arial"/>
                  <w:sz w:val="18"/>
                  <w:szCs w:val="18"/>
                  <w:color w:val="0000EE"/>
                  <w:w w:val="99"/>
                </w:rPr>
                <w:t>EXHIBIT INDEX</w:t>
              </w:r>
            </w:hyperlink>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66">
              <w:r>
                <w:rPr>
                  <w:rFonts w:ascii="Arial" w:cs="Arial" w:eastAsia="Arial" w:hAnsi="Arial"/>
                  <w:sz w:val="18"/>
                  <w:szCs w:val="18"/>
                  <w:color w:val="auto"/>
                </w:rPr>
                <w:t>65</w:t>
              </w:r>
            </w:hyperlink>
          </w:p>
        </w:tc>
      </w:tr>
      <w:tr>
        <w:trPr>
          <w:trHeight w:val="372"/>
        </w:trPr>
        <w:tc>
          <w:tcPr>
            <w:tcW w:w="10700" w:type="dxa"/>
            <w:vAlign w:val="bottom"/>
            <w:gridSpan w:val="26"/>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INDEX TO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69">
              <w:r>
                <w:rPr>
                  <w:rFonts w:ascii="Arial" w:cs="Arial" w:eastAsia="Arial" w:hAnsi="Arial"/>
                  <w:sz w:val="18"/>
                  <w:szCs w:val="18"/>
                  <w:color w:val="auto"/>
                </w:rPr>
                <w:t>F-1</w:t>
              </w:r>
            </w:hyperlink>
          </w:p>
        </w:tc>
      </w:tr>
      <w:tr>
        <w:trPr>
          <w:trHeight w:val="20"/>
        </w:trPr>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310"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ExlService Holdings, Inc. (“EXL”, “we”, “us", "our" or the "Company"), incorporated in Delaware in 2002, is a leading Operations Management and Analytics company that helps businesses enhance growth and profitability. Using our proprietary platforms, methodologies and tools we look deeper to help companies improve global operations, enhance data-driven insights, increase customer satisfaction, and manage risk and compliance. We serve the insurance, healthcare, banking and financial services, utilities and travel, transportation and logistics industries, among others. Headquartered in New York, we have more than 24,000 professionals in locations throughout the United States, Europe, Asia (primarily India and the Philippines), Latin America, Australia and South Africa.</w:t>
      </w:r>
    </w:p>
    <w:p>
      <w:pPr>
        <w:spacing w:after="0" w:line="139"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Our operating segments are significant strategic business units that align our products and services with how we manage our business, approach our key markets and interact with our clients. Effective for the quarter and year ended December 31, 2015, we merged two of our operating segments (Operations Consulting and Finance Transformation, previously part of the Analytics and Business Transformation reportable segment) into the Consulting operating segment to reflect recent organizational changes. We have also revised our reportable segments to reflect management’s focus on the Analytics operating segment. All our other operating segments have been aggregated into the Operations Management reportable segment. The March 2015 acquisition of RPM Direct LLC and RPM Data Solutions, LLC (together “RPM”) is included in the Analytics operating segment.</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new reportable segments are as follows:</w:t>
      </w:r>
    </w:p>
    <w:p>
      <w:pPr>
        <w:spacing w:after="0" w:line="9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Operations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have restated the segment information for all prior years presented herein to conform to the current presentation. This change in segment presentation does not affect our consolidated statements of income, balance sheets or statements of cash flows.We do not allocate assets by operating segment, although our operating segments do manage and control certain assets. For further descriptions of our operating segments, including financial information regarding revenues and cost of revenues, see Note 3 of the notes to consolidated financial statements in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Operations Management</w:t>
      </w:r>
    </w:p>
    <w:p>
      <w:pPr>
        <w:spacing w:after="0" w:line="229"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Our Operations Management solutions typically involve the transfer to EXL of select business operations of a client such as claims processing, clinical operations, or financial transaction processing, after which we administer and manage those operations for our client on an ongoing basis. We use a focused industry vertical approach to provide a suite of integrated solutions to organizations in the insurance, healthcare, banking and financial services, utilities, and travel, transportation and logistics industries in addition to providing finance and accounting and consulting solutions across multiple industries. Our Operations Management solutions represented 80.6% of EXL’s revenues in 2015.</w:t>
      </w:r>
    </w:p>
    <w:p>
      <w:pPr>
        <w:spacing w:after="0" w:line="173" w:lineRule="exact"/>
        <w:rPr>
          <w:sz w:val="20"/>
          <w:szCs w:val="20"/>
          <w:color w:val="auto"/>
        </w:rPr>
      </w:pPr>
    </w:p>
    <w:p>
      <w:pPr>
        <w:jc w:val="both"/>
        <w:ind w:firstLine="392"/>
        <w:spacing w:after="0" w:line="238" w:lineRule="auto"/>
        <w:rPr>
          <w:sz w:val="20"/>
          <w:szCs w:val="20"/>
          <w:color w:val="auto"/>
        </w:rPr>
      </w:pPr>
      <w:r>
        <w:rPr>
          <w:rFonts w:ascii="Arial" w:cs="Arial" w:eastAsia="Arial" w:hAnsi="Arial"/>
          <w:sz w:val="17"/>
          <w:szCs w:val="17"/>
          <w:color w:val="auto"/>
        </w:rPr>
        <w:t>The key differentiators and salient features of our Operations Management solutions include our agile operating and delivery model utilizing domain expertise and process excellence, the Business EXLerator Framework</w:t>
      </w:r>
      <w:r>
        <w:rPr>
          <w:rFonts w:ascii="Arial" w:cs="Arial" w:eastAsia="Arial" w:hAnsi="Arial"/>
          <w:sz w:val="24"/>
          <w:szCs w:val="24"/>
          <w:color w:val="auto"/>
          <w:vertAlign w:val="superscript"/>
        </w:rPr>
        <w:t>TM</w:t>
      </w:r>
      <w:r>
        <w:rPr>
          <w:rFonts w:ascii="Arial" w:cs="Arial" w:eastAsia="Arial" w:hAnsi="Arial"/>
          <w:sz w:val="17"/>
          <w:szCs w:val="17"/>
          <w:color w:val="auto"/>
        </w:rPr>
        <w:t>, our ability to deploy a Business Process-as-a-Service (“BPaaS”) delivery model, business process automation (including robotics), consulting-driven transformation and our industry vertical focused approach.</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92"/>
        <w:spacing w:after="0" w:line="235" w:lineRule="auto"/>
        <w:rPr>
          <w:sz w:val="20"/>
          <w:szCs w:val="20"/>
          <w:color w:val="auto"/>
        </w:rPr>
      </w:pPr>
      <w:r>
        <w:rPr>
          <w:rFonts w:ascii="Arial" w:cs="Arial" w:eastAsia="Arial" w:hAnsi="Arial"/>
          <w:sz w:val="17"/>
          <w:szCs w:val="17"/>
          <w:color w:val="auto"/>
        </w:rPr>
        <w:t>The Business EXLerator Framework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is our integrated approach to operations management which enables us to drive better customer outcomes by using advanced automation (such as robotics), workflow management, data visualization and embedded analytics. Inbuilt analytics provides superior decision-making and prioritization to facilitate input optimization and better business outcomes. The Business EXLerator Framework</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correlates data from multiple sources to create actionable insights for front-line operations and customer service executives and makes use of embedded technology tools, applications and platforms in our clients’ operations. We develop and adopt industry-specific best practices and operational benchmarks to allow us to measure and compare our operation management services to these benchmarks.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140335</wp:posOffset>
            </wp:positionV>
            <wp:extent cx="5848985" cy="3378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While the majority of our Operations Management services are provided to clients using client-owned or licensed technology platforms, we increasingly deliver our solutions using a BPaaS delivery model. The BPaaS delivery model includes the provision of a technology platform along with process management services. The service offering typically requires lower capital outlay, is faster to implement and is priced based on the number of transactions or usage by the client. These solutions may use standardized and shared technology and operational delivery infrastructure enabling us to leverage technology and infrastructure investments across multiple clients.</w:t>
      </w:r>
    </w:p>
    <w:p>
      <w:pPr>
        <w:spacing w:after="0" w:line="188"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b w:val="1"/>
          <w:bCs w:val="1"/>
          <w:i w:val="1"/>
          <w:iCs w:val="1"/>
          <w:color w:val="auto"/>
        </w:rPr>
        <w:t xml:space="preserve">Insurance: </w:t>
      </w:r>
      <w:r>
        <w:rPr>
          <w:rFonts w:ascii="Arial" w:cs="Arial" w:eastAsia="Arial" w:hAnsi="Arial"/>
          <w:sz w:val="16"/>
          <w:szCs w:val="16"/>
          <w:color w:val="auto"/>
        </w:rPr>
        <w:t>We are a leader in servicing the insurance industry and currently serve property and casualty (“P&amp;C”) insurance, life insurance, disability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annuity and retirement services companies. We have expertise in the areas of claims processing, subrogation, premium and benefit administration, agency management, account reconciliation, policy research, underwriting support, new business processing, policy servicing, premium audit, surveys, billing and collection, commercial and residential survey, and customer service. In 2015, the research firm Everest Group ranked EXL as a “Leader” in the both U.S. “Property &amp; Casualty Insurance BPO PEAK Matrix™ Assessment 2015”and the U.S. "Life and Pensions Insurance BPO market".</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92"/>
        <w:spacing w:after="0" w:line="324" w:lineRule="auto"/>
        <w:rPr>
          <w:sz w:val="20"/>
          <w:szCs w:val="20"/>
          <w:color w:val="auto"/>
        </w:rPr>
      </w:pPr>
      <w:r>
        <w:rPr>
          <w:rFonts w:ascii="Arial" w:cs="Arial" w:eastAsia="Arial" w:hAnsi="Arial"/>
          <w:sz w:val="17"/>
          <w:szCs w:val="17"/>
          <w:color w:val="auto"/>
        </w:rPr>
        <w:t>We have intensified our use of proprietary technology tools and platforms to provide increasingly complex services to the insurance industry. Research group HfS placed us in the Winner’s Circle in the domain of providing Insurance-As-a-Service in 2015. Additionally, we were awarded the “XCelent Award for Customer Base” in Celent’s “North American Policy Administration Systems 2015: Life, Annuities, Pension, and Health ABCD Vendor View”. We have invested in creating BPaaS solutions for the insurance industry through several of the acquisitions we have made and by building in-house technology platforms. In 2015, we continued to develop and deploy new platforms that provide distinctive services to our clients. In support of our claims management offering, we introduced a medical bill review capability that, used in conjunction with our medical record summarization product, provides a comprehensive view of medical claims. Bills are evaluated for relevancy and accuracy.</w:t>
      </w:r>
    </w:p>
    <w:p>
      <w:pPr>
        <w:spacing w:after="0" w:line="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Insurance solutions include:</w:t>
      </w:r>
    </w:p>
    <w:p>
      <w:pPr>
        <w:spacing w:after="0" w:line="344" w:lineRule="exact"/>
        <w:rPr>
          <w:sz w:val="20"/>
          <w:szCs w:val="20"/>
          <w:color w:val="auto"/>
        </w:rPr>
      </w:pPr>
    </w:p>
    <w:p>
      <w:pPr>
        <w:ind w:left="2300"/>
        <w:spacing w:after="0"/>
        <w:rPr>
          <w:sz w:val="20"/>
          <w:szCs w:val="20"/>
          <w:color w:val="auto"/>
        </w:rPr>
      </w:pPr>
      <w:r>
        <w:rPr>
          <w:rFonts w:ascii="Arial" w:cs="Arial" w:eastAsia="Arial" w:hAnsi="Arial"/>
          <w:sz w:val="25"/>
          <w:szCs w:val="25"/>
          <w:b w:val="1"/>
          <w:bCs w:val="1"/>
          <w:color w:val="FFFFFF"/>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-179705</wp:posOffset>
            </wp:positionV>
            <wp:extent cx="224663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6630" cy="222885"/>
                    </a:xfrm>
                    <a:prstGeom prst="rect">
                      <a:avLst/>
                    </a:prstGeom>
                    <a:noFill/>
                  </pic:spPr>
                </pic:pic>
              </a:graphicData>
            </a:graphic>
          </wp:anchor>
        </w:drawing>
      </w:r>
    </w:p>
    <w:p>
      <w:pPr>
        <w:spacing w:after="0" w:line="47"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40" w:type="dxa"/>
            <w:vAlign w:val="bottom"/>
          </w:tcPr>
          <w:p>
            <w:pPr>
              <w:ind w:left="20"/>
              <w:spacing w:after="0" w:line="230" w:lineRule="exact"/>
              <w:rPr>
                <w:sz w:val="20"/>
                <w:szCs w:val="20"/>
                <w:color w:val="auto"/>
              </w:rPr>
            </w:pPr>
            <w:r>
              <w:rPr>
                <w:rFonts w:ascii="Arial" w:cs="Arial" w:eastAsia="Arial" w:hAnsi="Arial"/>
                <w:sz w:val="20"/>
                <w:szCs w:val="20"/>
                <w:b w:val="1"/>
                <w:bCs w:val="1"/>
                <w:color w:val="FAAC16"/>
              </w:rPr>
              <w:t>New business</w:t>
            </w:r>
            <w:r>
              <w:rPr>
                <w:rFonts w:ascii="MS PGothic" w:cs="MS PGothic" w:eastAsia="MS PGothic" w:hAnsi="MS PGothic"/>
                <w:sz w:val="20"/>
                <w:szCs w:val="20"/>
                <w:color w:val="000000"/>
              </w:rPr>
              <w:t> </w:t>
            </w:r>
            <w:r>
              <w:rPr>
                <w:rFonts w:ascii="Arial" w:cs="Arial" w:eastAsia="Arial" w:hAnsi="Arial"/>
                <w:sz w:val="20"/>
                <w:szCs w:val="20"/>
                <w:b w:val="1"/>
                <w:bCs w:val="1"/>
                <w:color w:val="FAAC16"/>
              </w:rPr>
              <w:t>and</w:t>
            </w:r>
          </w:p>
        </w:tc>
        <w:tc>
          <w:tcPr>
            <w:tcW w:w="1540" w:type="dxa"/>
            <w:vAlign w:val="bottom"/>
          </w:tcPr>
          <w:p>
            <w:pPr>
              <w:ind w:left="100"/>
              <w:spacing w:after="0" w:line="230" w:lineRule="exact"/>
              <w:rPr>
                <w:sz w:val="20"/>
                <w:szCs w:val="20"/>
                <w:color w:val="auto"/>
              </w:rPr>
            </w:pPr>
            <w:r>
              <w:rPr>
                <w:rFonts w:ascii="Arial" w:cs="Arial" w:eastAsia="Arial" w:hAnsi="Arial"/>
                <w:sz w:val="20"/>
                <w:szCs w:val="20"/>
                <w:b w:val="1"/>
                <w:bCs w:val="1"/>
                <w:color w:val="FAAC16"/>
              </w:rPr>
              <w:t>Policy</w:t>
            </w:r>
            <w:r>
              <w:rPr>
                <w:rFonts w:ascii="MS PGothic" w:cs="MS PGothic" w:eastAsia="MS PGothic" w:hAnsi="MS PGothic"/>
                <w:sz w:val="20"/>
                <w:szCs w:val="20"/>
                <w:color w:val="000000"/>
              </w:rPr>
              <w:t> </w:t>
            </w:r>
          </w:p>
        </w:tc>
        <w:tc>
          <w:tcPr>
            <w:tcW w:w="1600" w:type="dxa"/>
            <w:vAlign w:val="bottom"/>
          </w:tcPr>
          <w:p>
            <w:pPr>
              <w:ind w:left="80"/>
              <w:spacing w:after="0" w:line="230" w:lineRule="exact"/>
              <w:rPr>
                <w:sz w:val="20"/>
                <w:szCs w:val="20"/>
                <w:color w:val="auto"/>
              </w:rPr>
            </w:pPr>
            <w:r>
              <w:rPr>
                <w:rFonts w:ascii="Arial" w:cs="Arial" w:eastAsia="Arial" w:hAnsi="Arial"/>
                <w:sz w:val="20"/>
                <w:szCs w:val="20"/>
                <w:b w:val="1"/>
                <w:bCs w:val="1"/>
                <w:color w:val="FAAC16"/>
              </w:rPr>
              <w:t>Claims</w:t>
            </w:r>
            <w:r>
              <w:rPr>
                <w:rFonts w:ascii="MS PGothic" w:cs="MS PGothic" w:eastAsia="MS PGothic" w:hAnsi="MS PGothic"/>
                <w:sz w:val="20"/>
                <w:szCs w:val="20"/>
                <w:color w:val="000000"/>
              </w:rPr>
              <w:t> </w:t>
            </w:r>
          </w:p>
        </w:tc>
        <w:tc>
          <w:tcPr>
            <w:tcW w:w="1840" w:type="dxa"/>
            <w:vAlign w:val="bottom"/>
            <w:gridSpan w:val="2"/>
          </w:tcPr>
          <w:p>
            <w:pPr>
              <w:spacing w:after="0"/>
              <w:rPr>
                <w:sz w:val="20"/>
                <w:szCs w:val="20"/>
                <w:color w:val="auto"/>
              </w:rPr>
            </w:pPr>
            <w:r>
              <w:rPr>
                <w:rFonts w:ascii="Arial" w:cs="Arial" w:eastAsia="Arial" w:hAnsi="Arial"/>
                <w:sz w:val="20"/>
                <w:szCs w:val="20"/>
                <w:b w:val="1"/>
                <w:bCs w:val="1"/>
                <w:color w:val="FAAC16"/>
              </w:rPr>
              <w:t>Premium audit,</w:t>
            </w:r>
          </w:p>
        </w:tc>
        <w:tc>
          <w:tcPr>
            <w:tcW w:w="2140" w:type="dxa"/>
            <w:vAlign w:val="bottom"/>
          </w:tcPr>
          <w:p>
            <w:pPr>
              <w:ind w:left="100"/>
              <w:spacing w:after="0"/>
              <w:rPr>
                <w:sz w:val="20"/>
                <w:szCs w:val="20"/>
                <w:color w:val="auto"/>
              </w:rPr>
            </w:pPr>
            <w:r>
              <w:rPr>
                <w:rFonts w:ascii="Arial" w:cs="Arial" w:eastAsia="Arial" w:hAnsi="Arial"/>
                <w:sz w:val="20"/>
                <w:szCs w:val="20"/>
                <w:b w:val="1"/>
                <w:bCs w:val="1"/>
                <w:color w:val="FAAC16"/>
              </w:rPr>
              <w:t>Technology</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line="230" w:lineRule="exact"/>
              <w:rPr>
                <w:sz w:val="20"/>
                <w:szCs w:val="20"/>
                <w:color w:val="auto"/>
              </w:rPr>
            </w:pPr>
            <w:r>
              <w:rPr>
                <w:rFonts w:ascii="Arial" w:cs="Arial" w:eastAsia="Arial" w:hAnsi="Arial"/>
                <w:sz w:val="20"/>
                <w:szCs w:val="20"/>
                <w:b w:val="1"/>
                <w:bCs w:val="1"/>
                <w:color w:val="FAAC16"/>
              </w:rPr>
              <w:t>agency</w:t>
            </w:r>
            <w:r>
              <w:rPr>
                <w:rFonts w:ascii="MS PGothic" w:cs="MS PGothic" w:eastAsia="MS PGothic" w:hAnsi="MS PGothic"/>
                <w:sz w:val="20"/>
                <w:szCs w:val="20"/>
                <w:color w:val="000000"/>
              </w:rPr>
              <w:t> </w:t>
            </w:r>
            <w:r>
              <w:rPr>
                <w:rFonts w:ascii="Arial" w:cs="Arial" w:eastAsia="Arial" w:hAnsi="Arial"/>
                <w:sz w:val="20"/>
                <w:szCs w:val="20"/>
                <w:b w:val="1"/>
                <w:bCs w:val="1"/>
                <w:color w:val="FAAC16"/>
              </w:rPr>
              <w:t>management</w:t>
            </w:r>
          </w:p>
        </w:tc>
        <w:tc>
          <w:tcPr>
            <w:tcW w:w="1540" w:type="dxa"/>
            <w:vAlign w:val="bottom"/>
          </w:tcPr>
          <w:p>
            <w:pPr>
              <w:ind w:left="100"/>
              <w:spacing w:after="0"/>
              <w:rPr>
                <w:sz w:val="20"/>
                <w:szCs w:val="20"/>
                <w:color w:val="auto"/>
              </w:rPr>
            </w:pPr>
            <w:r>
              <w:rPr>
                <w:rFonts w:ascii="Arial" w:cs="Arial" w:eastAsia="Arial" w:hAnsi="Arial"/>
                <w:sz w:val="20"/>
                <w:szCs w:val="20"/>
                <w:b w:val="1"/>
                <w:bCs w:val="1"/>
                <w:color w:val="FAAC16"/>
              </w:rPr>
              <w:t>administration</w:t>
            </w:r>
          </w:p>
        </w:tc>
        <w:tc>
          <w:tcPr>
            <w:tcW w:w="1600" w:type="dxa"/>
            <w:vAlign w:val="bottom"/>
          </w:tcPr>
          <w:p>
            <w:pPr>
              <w:ind w:left="80"/>
              <w:spacing w:after="0"/>
              <w:rPr>
                <w:sz w:val="20"/>
                <w:szCs w:val="20"/>
                <w:color w:val="auto"/>
              </w:rPr>
            </w:pPr>
            <w:r>
              <w:rPr>
                <w:rFonts w:ascii="Arial" w:cs="Arial" w:eastAsia="Arial" w:hAnsi="Arial"/>
                <w:sz w:val="20"/>
                <w:szCs w:val="20"/>
                <w:b w:val="1"/>
                <w:bCs w:val="1"/>
                <w:color w:val="FAAC16"/>
              </w:rPr>
              <w:t>management</w:t>
            </w:r>
          </w:p>
        </w:tc>
        <w:tc>
          <w:tcPr>
            <w:tcW w:w="1840" w:type="dxa"/>
            <w:vAlign w:val="bottom"/>
            <w:gridSpan w:val="2"/>
          </w:tcPr>
          <w:p>
            <w:pPr>
              <w:spacing w:after="0" w:line="230" w:lineRule="exact"/>
              <w:rPr>
                <w:sz w:val="20"/>
                <w:szCs w:val="20"/>
                <w:color w:val="auto"/>
              </w:rPr>
            </w:pPr>
            <w:r>
              <w:rPr>
                <w:rFonts w:ascii="Arial" w:cs="Arial" w:eastAsia="Arial" w:hAnsi="Arial"/>
                <w:sz w:val="20"/>
                <w:szCs w:val="20"/>
                <w:b w:val="1"/>
                <w:bCs w:val="1"/>
                <w:color w:val="FAAC16"/>
              </w:rPr>
              <w:t>billing</w:t>
            </w:r>
            <w:r>
              <w:rPr>
                <w:rFonts w:ascii="MS PGothic" w:cs="MS PGothic" w:eastAsia="MS PGothic" w:hAnsi="MS PGothic"/>
                <w:sz w:val="20"/>
                <w:szCs w:val="20"/>
                <w:color w:val="000000"/>
              </w:rPr>
              <w:t> </w:t>
            </w:r>
            <w:r>
              <w:rPr>
                <w:rFonts w:ascii="Arial" w:cs="Arial" w:eastAsia="Arial" w:hAnsi="Arial"/>
                <w:sz w:val="20"/>
                <w:szCs w:val="20"/>
                <w:b w:val="1"/>
                <w:bCs w:val="1"/>
                <w:color w:val="FAAC16"/>
              </w:rPr>
              <w:t>and</w:t>
            </w:r>
          </w:p>
        </w:tc>
        <w:tc>
          <w:tcPr>
            <w:tcW w:w="2140" w:type="dxa"/>
            <w:vAlign w:val="bottom"/>
          </w:tcPr>
          <w:p>
            <w:pPr>
              <w:ind w:left="100"/>
              <w:spacing w:after="0"/>
              <w:rPr>
                <w:sz w:val="20"/>
                <w:szCs w:val="20"/>
                <w:color w:val="auto"/>
              </w:rPr>
            </w:pPr>
            <w:r>
              <w:rPr>
                <w:rFonts w:ascii="Arial" w:cs="Arial" w:eastAsia="Arial" w:hAnsi="Arial"/>
                <w:sz w:val="20"/>
                <w:szCs w:val="20"/>
                <w:b w:val="1"/>
                <w:bCs w:val="1"/>
                <w:color w:val="FAAC16"/>
              </w:rPr>
              <w:t>platforms</w:t>
            </w:r>
          </w:p>
        </w:tc>
        <w:tc>
          <w:tcPr>
            <w:tcW w:w="0" w:type="dxa"/>
            <w:vAlign w:val="bottom"/>
          </w:tcPr>
          <w:p>
            <w:pPr>
              <w:spacing w:after="0"/>
              <w:rPr>
                <w:sz w:val="1"/>
                <w:szCs w:val="1"/>
                <w:color w:val="auto"/>
              </w:rPr>
            </w:pPr>
          </w:p>
        </w:tc>
      </w:tr>
      <w:tr>
        <w:trPr>
          <w:trHeight w:val="266"/>
        </w:trPr>
        <w:tc>
          <w:tcPr>
            <w:tcW w:w="20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FAAC16"/>
              </w:rPr>
              <w:t>accounting</w:t>
            </w:r>
          </w:p>
        </w:tc>
        <w:tc>
          <w:tcPr>
            <w:tcW w:w="2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2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Coverage and quote</w:t>
            </w:r>
          </w:p>
        </w:tc>
        <w:tc>
          <w:tcPr>
            <w:tcW w:w="1540" w:type="dxa"/>
            <w:vAlign w:val="bottom"/>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Customer</w:t>
            </w:r>
          </w:p>
        </w:tc>
        <w:tc>
          <w:tcPr>
            <w:tcW w:w="1600" w:type="dxa"/>
            <w:vAlign w:val="bottom"/>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First notification</w:t>
            </w: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Billing and remittance</w:t>
            </w:r>
          </w:p>
        </w:tc>
        <w:tc>
          <w:tcPr>
            <w:tcW w:w="2140" w:type="dxa"/>
            <w:vAlign w:val="bottom"/>
          </w:tcPr>
          <w:p>
            <w:pPr>
              <w:ind w:left="100"/>
              <w:spacing w:after="0" w:line="216" w:lineRule="exact"/>
              <w:rPr>
                <w:sz w:val="20"/>
                <w:szCs w:val="20"/>
                <w:color w:val="auto"/>
              </w:rPr>
            </w:pPr>
            <w:r>
              <w:rPr>
                <w:rFonts w:ascii="Arial" w:cs="Arial" w:eastAsia="Arial" w:hAnsi="Arial"/>
                <w:sz w:val="15"/>
                <w:szCs w:val="15"/>
                <w:b w:val="1"/>
                <w:bCs w:val="1"/>
                <w:color w:val="F78C34"/>
              </w:rPr>
              <w:t xml:space="preserve">&gt; </w:t>
            </w:r>
            <w:r>
              <w:rPr>
                <w:rFonts w:ascii="Arial" w:cs="Arial" w:eastAsia="Arial" w:hAnsi="Arial"/>
                <w:sz w:val="15"/>
                <w:szCs w:val="15"/>
                <w:color w:val="000000"/>
              </w:rPr>
              <w:t>EXL LifePRO</w:t>
            </w:r>
            <w:r>
              <w:rPr>
                <w:rFonts w:ascii="Arial" w:cs="Arial" w:eastAsia="Arial" w:hAnsi="Arial"/>
                <w:sz w:val="25"/>
                <w:szCs w:val="25"/>
                <w:color w:val="000000"/>
                <w:vertAlign w:val="superscript"/>
              </w:rPr>
              <w:t>®</w:t>
            </w:r>
            <w:r>
              <w:rPr>
                <w:rFonts w:ascii="Arial" w:cs="Arial" w:eastAsia="Arial" w:hAnsi="Arial"/>
                <w:sz w:val="15"/>
                <w:szCs w:val="15"/>
                <w:b w:val="1"/>
                <w:bCs w:val="1"/>
                <w:color w:val="F78C34"/>
              </w:rPr>
              <w:t xml:space="preserve"> </w:t>
            </w:r>
            <w:r>
              <w:rPr>
                <w:rFonts w:ascii="Arial" w:cs="Arial" w:eastAsia="Arial" w:hAnsi="Arial"/>
                <w:sz w:val="15"/>
                <w:szCs w:val="15"/>
                <w:color w:val="000000"/>
              </w:rPr>
              <w:t>policy</w:t>
            </w:r>
          </w:p>
        </w:tc>
        <w:tc>
          <w:tcPr>
            <w:tcW w:w="0" w:type="dxa"/>
            <w:vAlign w:val="bottom"/>
          </w:tcPr>
          <w:p>
            <w:pPr>
              <w:spacing w:after="0"/>
              <w:rPr>
                <w:sz w:val="1"/>
                <w:szCs w:val="1"/>
                <w:color w:val="auto"/>
              </w:rPr>
            </w:pPr>
          </w:p>
        </w:tc>
      </w:tr>
      <w:tr>
        <w:trPr>
          <w:trHeight w:val="195"/>
        </w:trPr>
        <w:tc>
          <w:tcPr>
            <w:tcW w:w="2040" w:type="dxa"/>
            <w:vAlign w:val="bottom"/>
          </w:tcPr>
          <w:p>
            <w:pPr>
              <w:ind w:left="180"/>
              <w:spacing w:after="0"/>
              <w:rPr>
                <w:sz w:val="20"/>
                <w:szCs w:val="20"/>
                <w:color w:val="auto"/>
              </w:rPr>
            </w:pPr>
            <w:r>
              <w:rPr>
                <w:rFonts w:ascii="Arial" w:cs="Arial" w:eastAsia="Arial" w:hAnsi="Arial"/>
                <w:sz w:val="16"/>
                <w:szCs w:val="16"/>
                <w:color w:val="auto"/>
              </w:rPr>
              <w:t>generation</w:t>
            </w:r>
          </w:p>
        </w:tc>
        <w:tc>
          <w:tcPr>
            <w:tcW w:w="1540" w:type="dxa"/>
            <w:vAlign w:val="bottom"/>
          </w:tcPr>
          <w:p>
            <w:pPr>
              <w:ind w:left="260"/>
              <w:spacing w:after="0"/>
              <w:rPr>
                <w:sz w:val="20"/>
                <w:szCs w:val="20"/>
                <w:color w:val="auto"/>
              </w:rPr>
            </w:pPr>
            <w:r>
              <w:rPr>
                <w:rFonts w:ascii="Arial" w:cs="Arial" w:eastAsia="Arial" w:hAnsi="Arial"/>
                <w:sz w:val="16"/>
                <w:szCs w:val="16"/>
                <w:color w:val="auto"/>
              </w:rPr>
              <w:t>service</w:t>
            </w:r>
          </w:p>
        </w:tc>
        <w:tc>
          <w:tcPr>
            <w:tcW w:w="1600" w:type="dxa"/>
            <w:vAlign w:val="bottom"/>
          </w:tcPr>
          <w:p>
            <w:pPr>
              <w:ind w:left="260"/>
              <w:spacing w:after="0"/>
              <w:rPr>
                <w:sz w:val="20"/>
                <w:szCs w:val="20"/>
                <w:color w:val="auto"/>
              </w:rPr>
            </w:pPr>
            <w:r>
              <w:rPr>
                <w:rFonts w:ascii="Arial" w:cs="Arial" w:eastAsia="Arial" w:hAnsi="Arial"/>
                <w:sz w:val="16"/>
                <w:szCs w:val="16"/>
                <w:color w:val="auto"/>
              </w:rPr>
              <w:t>of loss</w:t>
            </w:r>
          </w:p>
        </w:tc>
        <w:tc>
          <w:tcPr>
            <w:tcW w:w="1840" w:type="dxa"/>
            <w:vAlign w:val="bottom"/>
            <w:gridSpan w:val="2"/>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Premium</w:t>
            </w:r>
          </w:p>
        </w:tc>
        <w:tc>
          <w:tcPr>
            <w:tcW w:w="2140" w:type="dxa"/>
            <w:vAlign w:val="bottom"/>
          </w:tcPr>
          <w:p>
            <w:pPr>
              <w:ind w:left="260"/>
              <w:spacing w:after="0"/>
              <w:rPr>
                <w:sz w:val="20"/>
                <w:szCs w:val="20"/>
                <w:color w:val="auto"/>
              </w:rPr>
            </w:pPr>
            <w:r>
              <w:rPr>
                <w:rFonts w:ascii="Arial" w:cs="Arial" w:eastAsia="Arial" w:hAnsi="Arial"/>
                <w:sz w:val="16"/>
                <w:szCs w:val="16"/>
                <w:color w:val="auto"/>
              </w:rPr>
              <w:t>administration platform</w:t>
            </w:r>
          </w:p>
        </w:tc>
        <w:tc>
          <w:tcPr>
            <w:tcW w:w="0" w:type="dxa"/>
            <w:vAlign w:val="bottom"/>
          </w:tcPr>
          <w:p>
            <w:pPr>
              <w:spacing w:after="0"/>
              <w:rPr>
                <w:sz w:val="1"/>
                <w:szCs w:val="1"/>
                <w:color w:val="auto"/>
              </w:rPr>
            </w:pPr>
          </w:p>
        </w:tc>
      </w:tr>
      <w:tr>
        <w:trPr>
          <w:trHeight w:val="102"/>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Underwriting rules and</w:t>
            </w:r>
          </w:p>
        </w:tc>
        <w:tc>
          <w:tcPr>
            <w:tcW w:w="15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Renewals</w:t>
            </w:r>
          </w:p>
        </w:tc>
        <w:tc>
          <w:tcPr>
            <w:tcW w:w="160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Categorization</w:t>
            </w:r>
          </w:p>
        </w:tc>
        <w:tc>
          <w:tcPr>
            <w:tcW w:w="1840" w:type="dxa"/>
            <w:vAlign w:val="bottom"/>
            <w:gridSpan w:val="2"/>
            <w:vMerge w:val="continue"/>
          </w:tcPr>
          <w:p>
            <w:pPr>
              <w:spacing w:after="0"/>
              <w:rPr>
                <w:sz w:val="8"/>
                <w:szCs w:val="8"/>
                <w:color w:val="auto"/>
              </w:rPr>
            </w:pPr>
          </w:p>
        </w:tc>
        <w:tc>
          <w:tcPr>
            <w:tcW w:w="2140" w:type="dxa"/>
            <w:vAlign w:val="bottom"/>
            <w:vMerge w:val="restart"/>
          </w:tcPr>
          <w:p>
            <w:pPr>
              <w:ind w:left="100"/>
              <w:spacing w:after="0" w:line="292" w:lineRule="exact"/>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Subrosource</w:t>
            </w:r>
            <w:r>
              <w:rPr>
                <w:rFonts w:ascii="Arial" w:cs="Arial" w:eastAsia="Arial" w:hAnsi="Arial"/>
                <w:sz w:val="27"/>
                <w:szCs w:val="27"/>
                <w:color w:val="000000"/>
                <w:vertAlign w:val="superscript"/>
              </w:rPr>
              <w:t>®</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89"/>
        </w:trPr>
        <w:tc>
          <w:tcPr>
            <w:tcW w:w="204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rPr>
              <w:t>administration</w:t>
            </w: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40" w:type="dxa"/>
            <w:vAlign w:val="bottom"/>
          </w:tcPr>
          <w:p>
            <w:pPr>
              <w:ind w:left="180"/>
              <w:spacing w:after="0"/>
              <w:rPr>
                <w:sz w:val="20"/>
                <w:szCs w:val="20"/>
                <w:color w:val="auto"/>
              </w:rPr>
            </w:pPr>
            <w:r>
              <w:rPr>
                <w:rFonts w:ascii="Arial" w:cs="Arial" w:eastAsia="Arial" w:hAnsi="Arial"/>
                <w:sz w:val="16"/>
                <w:szCs w:val="16"/>
                <w:color w:val="auto"/>
              </w:rPr>
              <w:t>data review</w:t>
            </w:r>
          </w:p>
        </w:tc>
        <w:tc>
          <w:tcPr>
            <w:tcW w:w="15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Lapses and</w:t>
            </w:r>
          </w:p>
        </w:tc>
        <w:tc>
          <w:tcPr>
            <w:tcW w:w="1600" w:type="dxa"/>
            <w:vAlign w:val="bottom"/>
          </w:tcPr>
          <w:p>
            <w:pPr>
              <w:ind w:left="260"/>
              <w:spacing w:after="0"/>
              <w:rPr>
                <w:sz w:val="20"/>
                <w:szCs w:val="20"/>
                <w:color w:val="auto"/>
              </w:rPr>
            </w:pPr>
            <w:r>
              <w:rPr>
                <w:rFonts w:ascii="Arial" w:cs="Arial" w:eastAsia="Arial" w:hAnsi="Arial"/>
                <w:sz w:val="16"/>
                <w:szCs w:val="16"/>
                <w:color w:val="auto"/>
              </w:rPr>
              <w:t>and claims</w:t>
            </w:r>
          </w:p>
        </w:tc>
        <w:tc>
          <w:tcPr>
            <w:tcW w:w="1840" w:type="dxa"/>
            <w:vAlign w:val="bottom"/>
            <w:gridSpan w:val="2"/>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Account reconciliation</w:t>
            </w:r>
          </w:p>
        </w:tc>
        <w:tc>
          <w:tcPr>
            <w:tcW w:w="2140" w:type="dxa"/>
            <w:vAlign w:val="bottom"/>
          </w:tcPr>
          <w:p>
            <w:pPr>
              <w:ind w:left="260"/>
              <w:spacing w:after="0"/>
              <w:rPr>
                <w:sz w:val="20"/>
                <w:szCs w:val="20"/>
                <w:color w:val="auto"/>
              </w:rPr>
            </w:pPr>
            <w:r>
              <w:rPr>
                <w:rFonts w:ascii="Arial" w:cs="Arial" w:eastAsia="Arial" w:hAnsi="Arial"/>
                <w:sz w:val="16"/>
                <w:szCs w:val="16"/>
                <w:color w:val="auto"/>
              </w:rPr>
              <w:t>Subrogation recovery</w:t>
            </w:r>
          </w:p>
        </w:tc>
        <w:tc>
          <w:tcPr>
            <w:tcW w:w="0" w:type="dxa"/>
            <w:vAlign w:val="bottom"/>
          </w:tcPr>
          <w:p>
            <w:pPr>
              <w:spacing w:after="0"/>
              <w:rPr>
                <w:sz w:val="1"/>
                <w:szCs w:val="1"/>
                <w:color w:val="auto"/>
              </w:rPr>
            </w:pPr>
          </w:p>
        </w:tc>
      </w:tr>
      <w:tr>
        <w:trPr>
          <w:trHeight w:val="108"/>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Policy setup and</w:t>
            </w:r>
          </w:p>
        </w:tc>
        <w:tc>
          <w:tcPr>
            <w:tcW w:w="1540" w:type="dxa"/>
            <w:vAlign w:val="bottom"/>
            <w:vMerge w:val="continue"/>
          </w:tcPr>
          <w:p>
            <w:pPr>
              <w:spacing w:after="0"/>
              <w:rPr>
                <w:sz w:val="9"/>
                <w:szCs w:val="9"/>
                <w:color w:val="auto"/>
              </w:rPr>
            </w:pPr>
          </w:p>
        </w:tc>
        <w:tc>
          <w:tcPr>
            <w:tcW w:w="1600" w:type="dxa"/>
            <w:vAlign w:val="bottom"/>
            <w:vMerge w:val="restart"/>
          </w:tcPr>
          <w:p>
            <w:pPr>
              <w:ind w:left="260"/>
              <w:spacing w:after="0"/>
              <w:rPr>
                <w:sz w:val="20"/>
                <w:szCs w:val="20"/>
                <w:color w:val="auto"/>
              </w:rPr>
            </w:pPr>
            <w:r>
              <w:rPr>
                <w:rFonts w:ascii="Arial" w:cs="Arial" w:eastAsia="Arial" w:hAnsi="Arial"/>
                <w:sz w:val="16"/>
                <w:szCs w:val="16"/>
                <w:color w:val="auto"/>
              </w:rPr>
              <w:t>indexing</w:t>
            </w:r>
          </w:p>
        </w:tc>
        <w:tc>
          <w:tcPr>
            <w:tcW w:w="1840" w:type="dxa"/>
            <w:vAlign w:val="bottom"/>
            <w:gridSpan w:val="2"/>
            <w:vMerge w:val="continue"/>
          </w:tcPr>
          <w:p>
            <w:pPr>
              <w:spacing w:after="0"/>
              <w:rPr>
                <w:sz w:val="9"/>
                <w:szCs w:val="9"/>
                <w:color w:val="auto"/>
              </w:rPr>
            </w:pPr>
          </w:p>
        </w:tc>
        <w:tc>
          <w:tcPr>
            <w:tcW w:w="2140" w:type="dxa"/>
            <w:vAlign w:val="bottom"/>
            <w:vMerge w:val="restart"/>
          </w:tcPr>
          <w:p>
            <w:pPr>
              <w:ind w:left="260"/>
              <w:spacing w:after="0"/>
              <w:rPr>
                <w:sz w:val="20"/>
                <w:szCs w:val="20"/>
                <w:color w:val="auto"/>
              </w:rPr>
            </w:pPr>
            <w:r>
              <w:rPr>
                <w:rFonts w:ascii="Arial" w:cs="Arial" w:eastAsia="Arial" w:hAnsi="Arial"/>
                <w:sz w:val="16"/>
                <w:szCs w:val="16"/>
                <w:color w:val="auto"/>
              </w:rPr>
              <w:t>platform</w:t>
            </w:r>
          </w:p>
        </w:tc>
        <w:tc>
          <w:tcPr>
            <w:tcW w:w="0" w:type="dxa"/>
            <w:vAlign w:val="bottom"/>
          </w:tcPr>
          <w:p>
            <w:pPr>
              <w:spacing w:after="0"/>
              <w:rPr>
                <w:sz w:val="1"/>
                <w:szCs w:val="1"/>
                <w:color w:val="auto"/>
              </w:rPr>
            </w:pPr>
          </w:p>
        </w:tc>
      </w:tr>
      <w:tr>
        <w:trPr>
          <w:trHeight w:val="87"/>
        </w:trPr>
        <w:tc>
          <w:tcPr>
            <w:tcW w:w="2040" w:type="dxa"/>
            <w:vAlign w:val="bottom"/>
            <w:vMerge w:val="continue"/>
          </w:tcPr>
          <w:p>
            <w:pPr>
              <w:spacing w:after="0"/>
              <w:rPr>
                <w:sz w:val="7"/>
                <w:szCs w:val="7"/>
                <w:color w:val="auto"/>
              </w:rPr>
            </w:pPr>
          </w:p>
        </w:tc>
        <w:tc>
          <w:tcPr>
            <w:tcW w:w="1540" w:type="dxa"/>
            <w:vAlign w:val="bottom"/>
            <w:vMerge w:val="restart"/>
          </w:tcPr>
          <w:p>
            <w:pPr>
              <w:ind w:left="260"/>
              <w:spacing w:after="0"/>
              <w:rPr>
                <w:sz w:val="20"/>
                <w:szCs w:val="20"/>
                <w:color w:val="auto"/>
              </w:rPr>
            </w:pPr>
            <w:r>
              <w:rPr>
                <w:rFonts w:ascii="Arial" w:cs="Arial" w:eastAsia="Arial" w:hAnsi="Arial"/>
                <w:sz w:val="16"/>
                <w:szCs w:val="16"/>
                <w:color w:val="auto"/>
              </w:rPr>
              <w:t>reinstatements</w:t>
            </w:r>
          </w:p>
        </w:tc>
        <w:tc>
          <w:tcPr>
            <w:tcW w:w="160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40" w:type="dxa"/>
            <w:vAlign w:val="bottom"/>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60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Coverage and</w:t>
            </w:r>
          </w:p>
        </w:tc>
        <w:tc>
          <w:tcPr>
            <w:tcW w:w="1840" w:type="dxa"/>
            <w:vAlign w:val="bottom"/>
            <w:gridSpan w:val="2"/>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Premium audit</w:t>
            </w:r>
          </w:p>
        </w:tc>
        <w:tc>
          <w:tcPr>
            <w:tcW w:w="2140" w:type="dxa"/>
            <w:vAlign w:val="bottom"/>
            <w:vMerge w:val="restart"/>
          </w:tcPr>
          <w:p>
            <w:pPr>
              <w:ind w:left="100"/>
              <w:spacing w:after="0" w:line="292" w:lineRule="exact"/>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MedConnection</w:t>
            </w:r>
            <w:r>
              <w:rPr>
                <w:rFonts w:ascii="Arial" w:cs="Arial" w:eastAsia="Arial" w:hAnsi="Arial"/>
                <w:sz w:val="27"/>
                <w:szCs w:val="27"/>
                <w:color w:val="000000"/>
                <w:vertAlign w:val="superscript"/>
              </w:rPr>
              <w:t>TM</w:t>
            </w:r>
            <w:r>
              <w:rPr>
                <w:rFonts w:ascii="Arial" w:cs="Arial" w:eastAsia="Arial" w:hAnsi="Arial"/>
                <w:sz w:val="16"/>
                <w:szCs w:val="16"/>
                <w:color w:val="000000"/>
              </w:rPr>
              <w:t>:</w:t>
            </w:r>
          </w:p>
        </w:tc>
        <w:tc>
          <w:tcPr>
            <w:tcW w:w="0" w:type="dxa"/>
            <w:vAlign w:val="bottom"/>
          </w:tcPr>
          <w:p>
            <w:pPr>
              <w:spacing w:after="0"/>
              <w:rPr>
                <w:sz w:val="1"/>
                <w:szCs w:val="1"/>
                <w:color w:val="auto"/>
              </w:rPr>
            </w:pPr>
          </w:p>
        </w:tc>
      </w:tr>
      <w:tr>
        <w:trPr>
          <w:trHeight w:val="114"/>
        </w:trPr>
        <w:tc>
          <w:tcPr>
            <w:tcW w:w="2040" w:type="dxa"/>
            <w:vAlign w:val="bottom"/>
            <w:vMerge w:val="restart"/>
          </w:tcPr>
          <w:p>
            <w:pPr>
              <w:ind w:left="180"/>
              <w:spacing w:after="0"/>
              <w:rPr>
                <w:sz w:val="20"/>
                <w:szCs w:val="20"/>
                <w:color w:val="auto"/>
              </w:rPr>
            </w:pPr>
            <w:r>
              <w:rPr>
                <w:rFonts w:ascii="Arial" w:cs="Arial" w:eastAsia="Arial" w:hAnsi="Arial"/>
                <w:sz w:val="16"/>
                <w:szCs w:val="16"/>
                <w:color w:val="auto"/>
              </w:rPr>
              <w:t>issuance</w:t>
            </w:r>
          </w:p>
        </w:tc>
        <w:tc>
          <w:tcPr>
            <w:tcW w:w="15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Conversions</w:t>
            </w:r>
          </w:p>
        </w:tc>
        <w:tc>
          <w:tcPr>
            <w:tcW w:w="160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154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3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New agent setup</w:t>
            </w:r>
          </w:p>
        </w:tc>
        <w:tc>
          <w:tcPr>
            <w:tcW w:w="1540" w:type="dxa"/>
            <w:vAlign w:val="bottom"/>
            <w:vMerge w:val="continue"/>
          </w:tcPr>
          <w:p>
            <w:pPr>
              <w:spacing w:after="0"/>
              <w:rPr>
                <w:sz w:val="9"/>
                <w:szCs w:val="9"/>
                <w:color w:val="auto"/>
              </w:rPr>
            </w:pPr>
          </w:p>
        </w:tc>
        <w:tc>
          <w:tcPr>
            <w:tcW w:w="1600" w:type="dxa"/>
            <w:vAlign w:val="bottom"/>
            <w:vMerge w:val="restart"/>
          </w:tcPr>
          <w:p>
            <w:pPr>
              <w:ind w:left="260"/>
              <w:spacing w:after="0"/>
              <w:rPr>
                <w:sz w:val="20"/>
                <w:szCs w:val="20"/>
                <w:color w:val="auto"/>
              </w:rPr>
            </w:pPr>
            <w:r>
              <w:rPr>
                <w:rFonts w:ascii="Arial" w:cs="Arial" w:eastAsia="Arial" w:hAnsi="Arial"/>
                <w:sz w:val="16"/>
                <w:szCs w:val="16"/>
                <w:color w:val="auto"/>
              </w:rPr>
              <w:t>eligibility</w:t>
            </w:r>
          </w:p>
        </w:tc>
        <w:tc>
          <w:tcPr>
            <w:tcW w:w="1840" w:type="dxa"/>
            <w:vAlign w:val="bottom"/>
            <w:gridSpan w:val="2"/>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General ledger</w:t>
            </w:r>
          </w:p>
        </w:tc>
        <w:tc>
          <w:tcPr>
            <w:tcW w:w="2140" w:type="dxa"/>
            <w:vAlign w:val="bottom"/>
            <w:vMerge w:val="restart"/>
          </w:tcPr>
          <w:p>
            <w:pPr>
              <w:ind w:left="260"/>
              <w:spacing w:after="0"/>
              <w:rPr>
                <w:sz w:val="20"/>
                <w:szCs w:val="20"/>
                <w:color w:val="auto"/>
              </w:rPr>
            </w:pPr>
            <w:r>
              <w:rPr>
                <w:rFonts w:ascii="Arial" w:cs="Arial" w:eastAsia="Arial" w:hAnsi="Arial"/>
                <w:sz w:val="16"/>
                <w:szCs w:val="16"/>
                <w:color w:val="auto"/>
              </w:rPr>
              <w:t>Medical record</w:t>
            </w:r>
          </w:p>
        </w:tc>
        <w:tc>
          <w:tcPr>
            <w:tcW w:w="0" w:type="dxa"/>
            <w:vAlign w:val="bottom"/>
          </w:tcPr>
          <w:p>
            <w:pPr>
              <w:spacing w:after="0"/>
              <w:rPr>
                <w:sz w:val="1"/>
                <w:szCs w:val="1"/>
                <w:color w:val="auto"/>
              </w:rPr>
            </w:pPr>
          </w:p>
        </w:tc>
      </w:tr>
      <w:tr>
        <w:trPr>
          <w:trHeight w:val="75"/>
        </w:trPr>
        <w:tc>
          <w:tcPr>
            <w:tcW w:w="2040" w:type="dxa"/>
            <w:vAlign w:val="bottom"/>
            <w:vMerge w:val="continue"/>
          </w:tcPr>
          <w:p>
            <w:pPr>
              <w:spacing w:after="0"/>
              <w:rPr>
                <w:sz w:val="6"/>
                <w:szCs w:val="6"/>
                <w:color w:val="auto"/>
              </w:rPr>
            </w:pPr>
          </w:p>
        </w:tc>
        <w:tc>
          <w:tcPr>
            <w:tcW w:w="1540" w:type="dxa"/>
            <w:vAlign w:val="bottom"/>
          </w:tcPr>
          <w:p>
            <w:pPr>
              <w:spacing w:after="0"/>
              <w:rPr>
                <w:sz w:val="6"/>
                <w:szCs w:val="6"/>
                <w:color w:val="auto"/>
              </w:rPr>
            </w:pPr>
          </w:p>
        </w:tc>
        <w:tc>
          <w:tcPr>
            <w:tcW w:w="1600" w:type="dxa"/>
            <w:vAlign w:val="bottom"/>
            <w:vMerge w:val="continue"/>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Cancellations</w:t>
            </w:r>
          </w:p>
        </w:tc>
        <w:tc>
          <w:tcPr>
            <w:tcW w:w="1600" w:type="dxa"/>
            <w:vAlign w:val="bottom"/>
            <w:vMerge w:val="restart"/>
          </w:tcPr>
          <w:p>
            <w:pPr>
              <w:ind w:left="260"/>
              <w:spacing w:after="0"/>
              <w:rPr>
                <w:sz w:val="20"/>
                <w:szCs w:val="20"/>
                <w:color w:val="auto"/>
              </w:rPr>
            </w:pPr>
            <w:r>
              <w:rPr>
                <w:rFonts w:ascii="Arial" w:cs="Arial" w:eastAsia="Arial" w:hAnsi="Arial"/>
                <w:sz w:val="16"/>
                <w:szCs w:val="16"/>
                <w:color w:val="auto"/>
              </w:rPr>
              <w:t>verification</w:t>
            </w:r>
          </w:p>
        </w:tc>
        <w:tc>
          <w:tcPr>
            <w:tcW w:w="1840" w:type="dxa"/>
            <w:vAlign w:val="bottom"/>
            <w:gridSpan w:val="2"/>
            <w:vMerge w:val="restart"/>
          </w:tcPr>
          <w:p>
            <w:pPr>
              <w:ind w:left="160"/>
              <w:spacing w:after="0"/>
              <w:rPr>
                <w:sz w:val="20"/>
                <w:szCs w:val="20"/>
                <w:color w:val="auto"/>
              </w:rPr>
            </w:pPr>
            <w:r>
              <w:rPr>
                <w:rFonts w:ascii="Arial" w:cs="Arial" w:eastAsia="Arial" w:hAnsi="Arial"/>
                <w:sz w:val="16"/>
                <w:szCs w:val="16"/>
                <w:color w:val="auto"/>
              </w:rPr>
              <w:t>accounting</w:t>
            </w:r>
          </w:p>
        </w:tc>
        <w:tc>
          <w:tcPr>
            <w:tcW w:w="2140" w:type="dxa"/>
            <w:vAlign w:val="bottom"/>
            <w:vMerge w:val="restart"/>
          </w:tcPr>
          <w:p>
            <w:pPr>
              <w:ind w:left="260"/>
              <w:spacing w:after="0"/>
              <w:rPr>
                <w:sz w:val="20"/>
                <w:szCs w:val="20"/>
                <w:color w:val="auto"/>
              </w:rPr>
            </w:pPr>
            <w:r>
              <w:rPr>
                <w:rFonts w:ascii="Arial" w:cs="Arial" w:eastAsia="Arial" w:hAnsi="Arial"/>
                <w:sz w:val="16"/>
                <w:szCs w:val="16"/>
                <w:color w:val="auto"/>
              </w:rPr>
              <w:t>summarization tool</w:t>
            </w:r>
          </w:p>
        </w:tc>
        <w:tc>
          <w:tcPr>
            <w:tcW w:w="0" w:type="dxa"/>
            <w:vAlign w:val="bottom"/>
          </w:tcPr>
          <w:p>
            <w:pPr>
              <w:spacing w:after="0"/>
              <w:rPr>
                <w:sz w:val="1"/>
                <w:szCs w:val="1"/>
                <w:color w:val="auto"/>
              </w:rPr>
            </w:pPr>
          </w:p>
        </w:tc>
      </w:tr>
      <w:tr>
        <w:trPr>
          <w:trHeight w:val="108"/>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Commissions</w:t>
            </w:r>
          </w:p>
        </w:tc>
        <w:tc>
          <w:tcPr>
            <w:tcW w:w="15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40" w:type="dxa"/>
            <w:vAlign w:val="bottom"/>
            <w:vMerge w:val="continue"/>
          </w:tcPr>
          <w:p>
            <w:pPr>
              <w:spacing w:after="0"/>
              <w:rPr>
                <w:sz w:val="15"/>
                <w:szCs w:val="15"/>
                <w:color w:val="auto"/>
              </w:rPr>
            </w:pPr>
          </w:p>
        </w:tc>
        <w:tc>
          <w:tcPr>
            <w:tcW w:w="15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Disbursements</w:t>
            </w:r>
          </w:p>
        </w:tc>
        <w:tc>
          <w:tcPr>
            <w:tcW w:w="160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Adjudication</w:t>
            </w:r>
          </w:p>
        </w:tc>
        <w:tc>
          <w:tcPr>
            <w:tcW w:w="1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140" w:type="dxa"/>
            <w:vAlign w:val="bottom"/>
            <w:vMerge w:val="restart"/>
          </w:tcPr>
          <w:p>
            <w:pPr>
              <w:ind w:left="100"/>
              <w:spacing w:after="0" w:line="264" w:lineRule="exact"/>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AuditStream</w:t>
            </w:r>
            <w:r>
              <w:rPr>
                <w:rFonts w:ascii="Arial" w:cs="Arial" w:eastAsia="Arial" w:hAnsi="Arial"/>
                <w:sz w:val="27"/>
                <w:szCs w:val="27"/>
                <w:color w:val="000000"/>
                <w:vertAlign w:val="superscript"/>
              </w:rPr>
              <w:t>®</w:t>
            </w:r>
            <w:r>
              <w:rPr>
                <w:rFonts w:ascii="Arial" w:cs="Arial" w:eastAsia="Arial" w:hAnsi="Arial"/>
                <w:sz w:val="16"/>
                <w:szCs w:val="16"/>
                <w:b w:val="1"/>
                <w:bCs w:val="1"/>
                <w:color w:val="F78C34"/>
              </w:rPr>
              <w:t xml:space="preserve"> </w:t>
            </w:r>
            <w:r>
              <w:rPr>
                <w:rFonts w:ascii="Arial" w:cs="Arial" w:eastAsia="Arial" w:hAnsi="Arial"/>
                <w:sz w:val="16"/>
                <w:szCs w:val="16"/>
                <w:color w:val="000000"/>
              </w:rPr>
              <w:t>Premium</w:t>
            </w:r>
          </w:p>
        </w:tc>
        <w:tc>
          <w:tcPr>
            <w:tcW w:w="0" w:type="dxa"/>
            <w:vAlign w:val="bottom"/>
          </w:tcPr>
          <w:p>
            <w:pPr>
              <w:spacing w:after="0"/>
              <w:rPr>
                <w:sz w:val="1"/>
                <w:szCs w:val="1"/>
                <w:color w:val="auto"/>
              </w:rPr>
            </w:pPr>
          </w:p>
        </w:tc>
      </w:tr>
      <w:tr>
        <w:trPr>
          <w:trHeight w:val="81"/>
        </w:trPr>
        <w:tc>
          <w:tcPr>
            <w:tcW w:w="2040" w:type="dxa"/>
            <w:vAlign w:val="bottom"/>
            <w:vMerge w:val="restart"/>
          </w:tcPr>
          <w:p>
            <w:pPr>
              <w:ind w:left="180"/>
              <w:spacing w:after="0"/>
              <w:rPr>
                <w:sz w:val="20"/>
                <w:szCs w:val="20"/>
                <w:color w:val="auto"/>
              </w:rPr>
            </w:pPr>
            <w:r>
              <w:rPr>
                <w:rFonts w:ascii="Arial" w:cs="Arial" w:eastAsia="Arial" w:hAnsi="Arial"/>
                <w:sz w:val="16"/>
                <w:szCs w:val="16"/>
                <w:color w:val="auto"/>
              </w:rPr>
              <w:t>management</w:t>
            </w:r>
          </w:p>
        </w:tc>
        <w:tc>
          <w:tcPr>
            <w:tcW w:w="15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40" w:type="dxa"/>
            <w:vAlign w:val="bottom"/>
            <w:vMerge w:val="continue"/>
          </w:tcPr>
          <w:p>
            <w:pPr>
              <w:spacing w:after="0"/>
              <w:rPr>
                <w:sz w:val="9"/>
                <w:szCs w:val="9"/>
                <w:color w:val="auto"/>
              </w:rPr>
            </w:pPr>
          </w:p>
        </w:tc>
        <w:tc>
          <w:tcPr>
            <w:tcW w:w="1540" w:type="dxa"/>
            <w:vAlign w:val="bottom"/>
          </w:tcPr>
          <w:p>
            <w:pPr>
              <w:spacing w:after="0"/>
              <w:rPr>
                <w:sz w:val="9"/>
                <w:szCs w:val="9"/>
                <w:color w:val="auto"/>
              </w:rPr>
            </w:pPr>
          </w:p>
        </w:tc>
        <w:tc>
          <w:tcPr>
            <w:tcW w:w="160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Settlement</w:t>
            </w:r>
          </w:p>
        </w:tc>
        <w:tc>
          <w:tcPr>
            <w:tcW w:w="13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140" w:type="dxa"/>
            <w:vAlign w:val="bottom"/>
            <w:vMerge w:val="restart"/>
          </w:tcPr>
          <w:p>
            <w:pPr>
              <w:ind w:left="260"/>
              <w:spacing w:after="0"/>
              <w:rPr>
                <w:sz w:val="20"/>
                <w:szCs w:val="20"/>
                <w:color w:val="auto"/>
              </w:rPr>
            </w:pPr>
            <w:r>
              <w:rPr>
                <w:rFonts w:ascii="Arial" w:cs="Arial" w:eastAsia="Arial" w:hAnsi="Arial"/>
                <w:sz w:val="16"/>
                <w:szCs w:val="16"/>
                <w:color w:val="auto"/>
              </w:rPr>
              <w:t>audit platform</w:t>
            </w:r>
          </w:p>
        </w:tc>
        <w:tc>
          <w:tcPr>
            <w:tcW w:w="0" w:type="dxa"/>
            <w:vAlign w:val="bottom"/>
          </w:tcPr>
          <w:p>
            <w:pPr>
              <w:spacing w:after="0"/>
              <w:rPr>
                <w:sz w:val="1"/>
                <w:szCs w:val="1"/>
                <w:color w:val="auto"/>
              </w:rPr>
            </w:pPr>
          </w:p>
        </w:tc>
      </w:tr>
      <w:tr>
        <w:trPr>
          <w:trHeight w:val="81"/>
        </w:trPr>
        <w:tc>
          <w:tcPr>
            <w:tcW w:w="2040" w:type="dxa"/>
            <w:vAlign w:val="bottom"/>
          </w:tcPr>
          <w:p>
            <w:pPr>
              <w:spacing w:after="0"/>
              <w:rPr>
                <w:sz w:val="7"/>
                <w:szCs w:val="7"/>
                <w:color w:val="auto"/>
              </w:rPr>
            </w:pPr>
          </w:p>
        </w:tc>
        <w:tc>
          <w:tcPr>
            <w:tcW w:w="15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Withdrawals and</w:t>
            </w:r>
          </w:p>
        </w:tc>
        <w:tc>
          <w:tcPr>
            <w:tcW w:w="1600" w:type="dxa"/>
            <w:vAlign w:val="bottom"/>
            <w:vMerge w:val="continue"/>
          </w:tcPr>
          <w:p>
            <w:pPr>
              <w:spacing w:after="0"/>
              <w:rPr>
                <w:sz w:val="7"/>
                <w:szCs w:val="7"/>
                <w:color w:val="auto"/>
              </w:rPr>
            </w:pPr>
          </w:p>
        </w:tc>
        <w:tc>
          <w:tcPr>
            <w:tcW w:w="1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Debt management</w:t>
            </w:r>
          </w:p>
        </w:tc>
        <w:tc>
          <w:tcPr>
            <w:tcW w:w="15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Castle High Value</w:t>
            </w:r>
          </w:p>
        </w:tc>
        <w:tc>
          <w:tcPr>
            <w:tcW w:w="0" w:type="dxa"/>
            <w:vAlign w:val="bottom"/>
          </w:tcPr>
          <w:p>
            <w:pPr>
              <w:spacing w:after="0"/>
              <w:rPr>
                <w:sz w:val="1"/>
                <w:szCs w:val="1"/>
                <w:color w:val="auto"/>
              </w:rPr>
            </w:pPr>
          </w:p>
        </w:tc>
      </w:tr>
      <w:tr>
        <w:trPr>
          <w:trHeight w:val="87"/>
        </w:trPr>
        <w:tc>
          <w:tcPr>
            <w:tcW w:w="2040" w:type="dxa"/>
            <w:vAlign w:val="bottom"/>
            <w:vMerge w:val="continue"/>
          </w:tcPr>
          <w:p>
            <w:pPr>
              <w:spacing w:after="0"/>
              <w:rPr>
                <w:sz w:val="7"/>
                <w:szCs w:val="7"/>
                <w:color w:val="auto"/>
              </w:rPr>
            </w:pPr>
          </w:p>
        </w:tc>
        <w:tc>
          <w:tcPr>
            <w:tcW w:w="1540" w:type="dxa"/>
            <w:vAlign w:val="bottom"/>
            <w:vMerge w:val="restart"/>
          </w:tcPr>
          <w:p>
            <w:pPr>
              <w:ind w:left="260"/>
              <w:spacing w:after="0" w:line="160" w:lineRule="exact"/>
              <w:rPr>
                <w:sz w:val="20"/>
                <w:szCs w:val="20"/>
                <w:color w:val="auto"/>
              </w:rPr>
            </w:pPr>
            <w:r>
              <w:rPr>
                <w:rFonts w:ascii="Arial" w:cs="Arial" w:eastAsia="Arial" w:hAnsi="Arial"/>
                <w:sz w:val="16"/>
                <w:szCs w:val="16"/>
                <w:color w:val="auto"/>
              </w:rPr>
              <w:t>loans</w:t>
            </w:r>
          </w:p>
        </w:tc>
        <w:tc>
          <w:tcPr>
            <w:tcW w:w="160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Abandoned</w:t>
            </w:r>
          </w:p>
        </w:tc>
        <w:tc>
          <w:tcPr>
            <w:tcW w:w="1340" w:type="dxa"/>
            <w:vAlign w:val="bottom"/>
            <w:vMerge w:val="restart"/>
          </w:tcPr>
          <w:p>
            <w:pPr>
              <w:spacing w:after="0"/>
              <w:rPr>
                <w:sz w:val="20"/>
                <w:szCs w:val="20"/>
                <w:color w:val="auto"/>
              </w:rPr>
            </w:pPr>
            <w:r>
              <w:rPr>
                <w:rFonts w:ascii="Arial" w:cs="Arial" w:eastAsia="Arial" w:hAnsi="Arial"/>
                <w:sz w:val="20"/>
                <w:szCs w:val="20"/>
                <w:b w:val="1"/>
                <w:bCs w:val="1"/>
                <w:color w:val="F78C34"/>
                <w:w w:val="98"/>
              </w:rPr>
              <w:t>Legal Support</w:t>
            </w:r>
          </w:p>
        </w:tc>
        <w:tc>
          <w:tcPr>
            <w:tcW w:w="500" w:type="dxa"/>
            <w:vAlign w:val="bottom"/>
          </w:tcPr>
          <w:p>
            <w:pPr>
              <w:spacing w:after="0"/>
              <w:rPr>
                <w:sz w:val="7"/>
                <w:szCs w:val="7"/>
                <w:color w:val="auto"/>
              </w:rPr>
            </w:pPr>
          </w:p>
        </w:tc>
        <w:tc>
          <w:tcPr>
            <w:tcW w:w="2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4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6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2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Underwriting surveys</w:t>
            </w:r>
          </w:p>
        </w:tc>
        <w:tc>
          <w:tcPr>
            <w:tcW w:w="154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2140" w:type="dxa"/>
            <w:vAlign w:val="bottom"/>
            <w:vMerge w:val="restart"/>
          </w:tcPr>
          <w:p>
            <w:pPr>
              <w:ind w:left="260"/>
              <w:spacing w:after="0" w:line="284" w:lineRule="exact"/>
              <w:rPr>
                <w:sz w:val="20"/>
                <w:szCs w:val="20"/>
                <w:color w:val="auto"/>
              </w:rPr>
            </w:pPr>
            <w:r>
              <w:rPr>
                <w:rFonts w:ascii="Arial" w:cs="Arial" w:eastAsia="Arial" w:hAnsi="Arial"/>
                <w:sz w:val="16"/>
                <w:szCs w:val="16"/>
                <w:color w:val="auto"/>
              </w:rPr>
              <w:t>Surveys</w:t>
            </w:r>
            <w:r>
              <w:rPr>
                <w:rFonts w:ascii="Arial" w:cs="Arial" w:eastAsia="Arial" w:hAnsi="Arial"/>
                <w:sz w:val="27"/>
                <w:szCs w:val="27"/>
                <w:color w:val="auto"/>
                <w:vertAlign w:val="superscript"/>
              </w:rPr>
              <w:t>®</w:t>
            </w:r>
          </w:p>
        </w:tc>
        <w:tc>
          <w:tcPr>
            <w:tcW w:w="0" w:type="dxa"/>
            <w:vAlign w:val="bottom"/>
          </w:tcPr>
          <w:p>
            <w:pPr>
              <w:spacing w:after="0"/>
              <w:rPr>
                <w:sz w:val="1"/>
                <w:szCs w:val="1"/>
                <w:color w:val="auto"/>
              </w:rPr>
            </w:pPr>
          </w:p>
        </w:tc>
      </w:tr>
      <w:tr>
        <w:trPr>
          <w:trHeight w:val="30"/>
        </w:trPr>
        <w:tc>
          <w:tcPr>
            <w:tcW w:w="2040" w:type="dxa"/>
            <w:vAlign w:val="bottom"/>
            <w:vMerge w:val="continue"/>
          </w:tcPr>
          <w:p>
            <w:pPr>
              <w:spacing w:after="0"/>
              <w:rPr>
                <w:sz w:val="2"/>
                <w:szCs w:val="2"/>
                <w:color w:val="auto"/>
              </w:rPr>
            </w:pPr>
          </w:p>
        </w:tc>
        <w:tc>
          <w:tcPr>
            <w:tcW w:w="15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Mailroom</w:t>
            </w:r>
          </w:p>
        </w:tc>
        <w:tc>
          <w:tcPr>
            <w:tcW w:w="1600" w:type="dxa"/>
            <w:vAlign w:val="bottom"/>
            <w:vMerge w:val="restart"/>
          </w:tcPr>
          <w:p>
            <w:pPr>
              <w:ind w:left="260"/>
              <w:spacing w:after="0"/>
              <w:rPr>
                <w:sz w:val="20"/>
                <w:szCs w:val="20"/>
                <w:color w:val="auto"/>
              </w:rPr>
            </w:pPr>
            <w:r>
              <w:rPr>
                <w:rFonts w:ascii="Arial" w:cs="Arial" w:eastAsia="Arial" w:hAnsi="Arial"/>
                <w:sz w:val="16"/>
                <w:szCs w:val="16"/>
                <w:color w:val="auto"/>
              </w:rPr>
              <w:t>property</w:t>
            </w:r>
          </w:p>
        </w:tc>
        <w:tc>
          <w:tcPr>
            <w:tcW w:w="1340" w:type="dxa"/>
            <w:vAlign w:val="bottom"/>
            <w:tcBorders>
              <w:bottom w:val="single" w:sz="8" w:color="F78C34"/>
            </w:tcBorders>
            <w:vMerge w:val="continue"/>
          </w:tcPr>
          <w:p>
            <w:pPr>
              <w:spacing w:after="0"/>
              <w:rPr>
                <w:sz w:val="2"/>
                <w:szCs w:val="2"/>
                <w:color w:val="auto"/>
              </w:rPr>
            </w:pPr>
          </w:p>
        </w:tc>
        <w:tc>
          <w:tcPr>
            <w:tcW w:w="500" w:type="dxa"/>
            <w:vAlign w:val="bottom"/>
          </w:tcPr>
          <w:p>
            <w:pPr>
              <w:spacing w:after="0"/>
              <w:rPr>
                <w:sz w:val="2"/>
                <w:szCs w:val="2"/>
                <w:color w:val="auto"/>
              </w:rPr>
            </w:pPr>
          </w:p>
        </w:tc>
        <w:tc>
          <w:tcPr>
            <w:tcW w:w="2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40" w:type="dxa"/>
            <w:vAlign w:val="bottom"/>
            <w:vMerge w:val="continue"/>
          </w:tcPr>
          <w:p>
            <w:pPr>
              <w:spacing w:after="0"/>
              <w:rPr>
                <w:sz w:val="11"/>
                <w:szCs w:val="11"/>
                <w:color w:val="auto"/>
              </w:rPr>
            </w:pPr>
          </w:p>
        </w:tc>
        <w:tc>
          <w:tcPr>
            <w:tcW w:w="15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1840" w:type="dxa"/>
            <w:vAlign w:val="bottom"/>
            <w:gridSpan w:val="2"/>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Contract and</w:t>
            </w:r>
          </w:p>
        </w:tc>
        <w:tc>
          <w:tcPr>
            <w:tcW w:w="2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20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1840" w:type="dxa"/>
            <w:vAlign w:val="bottom"/>
            <w:gridSpan w:val="2"/>
            <w:vMerge w:val="continue"/>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2040" w:type="dxa"/>
            <w:vAlign w:val="bottom"/>
          </w:tcPr>
          <w:p>
            <w:pPr>
              <w:spacing w:after="0"/>
              <w:rPr>
                <w:sz w:val="11"/>
                <w:szCs w:val="11"/>
                <w:color w:val="auto"/>
              </w:rPr>
            </w:pPr>
          </w:p>
        </w:tc>
        <w:tc>
          <w:tcPr>
            <w:tcW w:w="154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Transfers</w:t>
            </w:r>
          </w:p>
        </w:tc>
        <w:tc>
          <w:tcPr>
            <w:tcW w:w="160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Third-party fault</w:t>
            </w:r>
          </w:p>
        </w:tc>
        <w:tc>
          <w:tcPr>
            <w:tcW w:w="1840" w:type="dxa"/>
            <w:vAlign w:val="bottom"/>
            <w:gridSpan w:val="2"/>
            <w:vMerge w:val="continue"/>
          </w:tcPr>
          <w:p>
            <w:pPr>
              <w:spacing w:after="0"/>
              <w:rPr>
                <w:sz w:val="11"/>
                <w:szCs w:val="11"/>
                <w:color w:val="auto"/>
              </w:rPr>
            </w:pPr>
          </w:p>
        </w:tc>
        <w:tc>
          <w:tcPr>
            <w:tcW w:w="2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rPr>
              <w:t>abstraction</w:t>
            </w: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0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0" w:type="dxa"/>
            <w:vAlign w:val="bottom"/>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Subrogation</w:t>
            </w:r>
          </w:p>
        </w:tc>
        <w:tc>
          <w:tcPr>
            <w:tcW w:w="1840" w:type="dxa"/>
            <w:vAlign w:val="bottom"/>
            <w:gridSpan w:val="2"/>
          </w:tcPr>
          <w:p>
            <w:pPr>
              <w:ind w:left="160"/>
              <w:spacing w:after="0"/>
              <w:rPr>
                <w:sz w:val="20"/>
                <w:szCs w:val="20"/>
                <w:color w:val="auto"/>
              </w:rPr>
            </w:pPr>
            <w:r>
              <w:rPr>
                <w:rFonts w:ascii="Arial" w:cs="Arial" w:eastAsia="Arial" w:hAnsi="Arial"/>
                <w:sz w:val="16"/>
                <w:szCs w:val="16"/>
                <w:color w:val="auto"/>
              </w:rPr>
              <w:t>management</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Fraud detection</w:t>
            </w: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Legal research</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0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Administrative support</w:t>
            </w:r>
          </w:p>
        </w:tc>
        <w:tc>
          <w:tcPr>
            <w:tcW w:w="2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0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40" w:type="dxa"/>
            <w:vAlign w:val="bottom"/>
            <w:gridSpan w:val="2"/>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Compliance services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-3185795</wp:posOffset>
            </wp:positionV>
            <wp:extent cx="581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b w:val="1"/>
          <w:bCs w:val="1"/>
          <w:i w:val="1"/>
          <w:iCs w:val="1"/>
          <w:color w:val="auto"/>
        </w:rPr>
        <w:t xml:space="preserve">Healthcare: </w:t>
      </w:r>
      <w:r>
        <w:rPr>
          <w:rFonts w:ascii="Arial" w:cs="Arial" w:eastAsia="Arial" w:hAnsi="Arial"/>
          <w:sz w:val="16"/>
          <w:szCs w:val="16"/>
          <w:color w:val="auto"/>
        </w:rPr>
        <w:t>We offer operations, clinical and administrative management solutions for the rapidly changing healthcare industry, (primarily serving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U.S.-based healthcare payers and providers). Our service offerings include: care management/population health solutions, payment integrity, revenue optimization and customer engagement. Our service offerings focus on addressing the market need for improved healthcare outcomes, reduced costs and improved access to the healthcare system. To support our clients’ business objectives, we have over 1,500 clinical and non-clinical professionals globally.</w:t>
      </w:r>
    </w:p>
    <w:p>
      <w:pPr>
        <w:spacing w:after="0" w:line="181"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We provide clinical care management services for our clients’ commercial, Medicare, Workers Compensation and disability products and programs. We deliver business process support for utilization management, disease management, claims, healthy lifestyle coaching, pharmacy management, payments, member and provider services, special investigations, HEDIS, and revenue cycle management. Accreditation and training are critical requirements for superior delivery of our services. Our delivery facility in Manila, Philippines, has received the Utilization Review Accreditation Commission’s Health Utilization Management accreditation. We operate our own Healthcare Academy to assure our clinicians stay up to date on clinical expertise and skills training, healthcare, service delivery, and overall healthcare industry trends. We also employ a Chief Medical Officer and Chief Actuarial Officer in order to further our understanding of the key issues confronting our healthcare clients. We were named in the Winner’s Circle in HfS Blueprint Report: Population Health Care Management Business Services and in HfS Blueprint for Healthcare Payer Operations in 2015.</w:t>
      </w:r>
    </w:p>
    <w:p>
      <w:pPr>
        <w:spacing w:after="0" w:line="206" w:lineRule="exact"/>
        <w:rPr>
          <w:sz w:val="20"/>
          <w:szCs w:val="20"/>
          <w:color w:val="auto"/>
        </w:rPr>
      </w:pPr>
    </w:p>
    <w:p>
      <w:pPr>
        <w:jc w:val="both"/>
        <w:ind w:firstLine="392"/>
        <w:spacing w:after="0" w:line="213" w:lineRule="auto"/>
        <w:rPr>
          <w:sz w:val="20"/>
          <w:szCs w:val="20"/>
          <w:color w:val="auto"/>
        </w:rPr>
      </w:pPr>
      <w:r>
        <w:rPr>
          <w:rFonts w:ascii="Arial" w:cs="Arial" w:eastAsia="Arial" w:hAnsi="Arial"/>
          <w:sz w:val="18"/>
          <w:szCs w:val="18"/>
          <w:color w:val="auto"/>
        </w:rPr>
        <w:t>We offer BPaaS, SaaS and platform BPO solutions designed to serve the healthcare industry as well as proprietary technology platforms. EXL’s CareRadius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MaxMC</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applications connect payers, providers and members with critical clinical information, and automates a payer's operations to increase efficiencies across all aspects of care management. Currently, our CareRadius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MaxMC</w:t>
      </w:r>
      <w:r>
        <w:rPr>
          <w:rFonts w:ascii="Arial" w:cs="Arial" w:eastAsia="Arial" w:hAnsi="Arial"/>
          <w:sz w:val="25"/>
          <w:szCs w:val="25"/>
          <w:color w:val="auto"/>
          <w:vertAlign w:val="superscript"/>
        </w:rPr>
        <w:t>sm</w:t>
      </w:r>
      <w:r>
        <w:rPr>
          <w:rFonts w:ascii="Arial" w:cs="Arial" w:eastAsia="Arial" w:hAnsi="Arial"/>
          <w:sz w:val="18"/>
          <w:szCs w:val="18"/>
          <w:color w:val="auto"/>
        </w:rPr>
        <w:t xml:space="preserve"> applications run care management functions that affect over 49 million lives in the United States.</w:t>
      </w:r>
    </w:p>
    <w:p>
      <w:pPr>
        <w:spacing w:after="0" w:line="2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Healthcare solutions include:</w:t>
      </w:r>
    </w:p>
    <w:p>
      <w:pPr>
        <w:spacing w:after="0" w:line="398" w:lineRule="exact"/>
        <w:rPr>
          <w:sz w:val="20"/>
          <w:szCs w:val="20"/>
          <w:color w:val="auto"/>
        </w:rPr>
      </w:pPr>
    </w:p>
    <w:p>
      <w:pPr>
        <w:ind w:left="2460"/>
        <w:spacing w:after="0"/>
        <w:rPr>
          <w:sz w:val="20"/>
          <w:szCs w:val="20"/>
          <w:color w:val="auto"/>
        </w:rPr>
      </w:pPr>
      <w:r>
        <w:rPr>
          <w:rFonts w:ascii="Arial" w:cs="Arial" w:eastAsia="Arial" w:hAnsi="Arial"/>
          <w:sz w:val="25"/>
          <w:szCs w:val="25"/>
          <w:b w:val="1"/>
          <w:bCs w:val="1"/>
          <w:color w:val="FFFFFF"/>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-179705</wp:posOffset>
            </wp:positionV>
            <wp:extent cx="5342890" cy="2317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2890" cy="231775"/>
                    </a:xfrm>
                    <a:prstGeom prst="rect">
                      <a:avLst/>
                    </a:prstGeom>
                    <a:noFill/>
                  </pic:spPr>
                </pic:pic>
              </a:graphicData>
            </a:graphic>
          </wp:anchor>
        </w:drawing>
      </w:r>
    </w:p>
    <w:p>
      <w:pPr>
        <w:spacing w:after="0" w:line="46"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3080" w:type="dxa"/>
            <w:vAlign w:val="bottom"/>
          </w:tcPr>
          <w:p>
            <w:pPr>
              <w:ind w:left="40"/>
              <w:spacing w:after="0"/>
              <w:rPr>
                <w:sz w:val="20"/>
                <w:szCs w:val="20"/>
                <w:color w:val="auto"/>
              </w:rPr>
            </w:pPr>
            <w:r>
              <w:rPr>
                <w:rFonts w:ascii="Arial" w:cs="Arial" w:eastAsia="Arial" w:hAnsi="Arial"/>
                <w:sz w:val="20"/>
                <w:szCs w:val="20"/>
                <w:b w:val="1"/>
                <w:bCs w:val="1"/>
                <w:color w:val="FAAC16"/>
              </w:rPr>
              <w:t>Global clinical operations</w:t>
            </w:r>
          </w:p>
        </w:tc>
        <w:tc>
          <w:tcPr>
            <w:tcW w:w="2540" w:type="dxa"/>
            <w:vAlign w:val="bottom"/>
          </w:tcPr>
          <w:p>
            <w:pPr>
              <w:ind w:left="240"/>
              <w:spacing w:after="0"/>
              <w:rPr>
                <w:sz w:val="20"/>
                <w:szCs w:val="20"/>
                <w:color w:val="auto"/>
              </w:rPr>
            </w:pPr>
            <w:r>
              <w:rPr>
                <w:rFonts w:ascii="Arial" w:cs="Arial" w:eastAsia="Arial" w:hAnsi="Arial"/>
                <w:sz w:val="20"/>
                <w:szCs w:val="20"/>
                <w:b w:val="1"/>
                <w:bCs w:val="1"/>
                <w:color w:val="FAAC16"/>
              </w:rPr>
              <w:t>Home Services</w:t>
            </w:r>
          </w:p>
        </w:tc>
        <w:tc>
          <w:tcPr>
            <w:tcW w:w="2800" w:type="dxa"/>
            <w:vAlign w:val="bottom"/>
          </w:tcPr>
          <w:p>
            <w:pPr>
              <w:ind w:left="300"/>
              <w:spacing w:after="0"/>
              <w:rPr>
                <w:sz w:val="20"/>
                <w:szCs w:val="20"/>
                <w:color w:val="auto"/>
              </w:rPr>
            </w:pPr>
            <w:r>
              <w:rPr>
                <w:rFonts w:ascii="Arial" w:cs="Arial" w:eastAsia="Arial" w:hAnsi="Arial"/>
                <w:sz w:val="20"/>
                <w:szCs w:val="20"/>
                <w:b w:val="1"/>
                <w:bCs w:val="1"/>
                <w:color w:val="FAAC16"/>
              </w:rPr>
              <w:t>Portfolio and Energy</w:t>
            </w:r>
          </w:p>
        </w:tc>
        <w:tc>
          <w:tcPr>
            <w:tcW w:w="0" w:type="dxa"/>
            <w:vAlign w:val="bottom"/>
          </w:tcPr>
          <w:p>
            <w:pPr>
              <w:spacing w:after="0"/>
              <w:rPr>
                <w:sz w:val="1"/>
                <w:szCs w:val="1"/>
                <w:color w:val="auto"/>
              </w:rPr>
            </w:pPr>
          </w:p>
        </w:tc>
      </w:tr>
      <w:tr>
        <w:trPr>
          <w:trHeight w:val="266"/>
        </w:trPr>
        <w:tc>
          <w:tcPr>
            <w:tcW w:w="308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ind w:left="300"/>
              <w:spacing w:after="0"/>
              <w:rPr>
                <w:sz w:val="20"/>
                <w:szCs w:val="20"/>
                <w:color w:val="auto"/>
              </w:rPr>
            </w:pPr>
            <w:r>
              <w:rPr>
                <w:rFonts w:ascii="Arial" w:cs="Arial" w:eastAsia="Arial" w:hAnsi="Arial"/>
                <w:sz w:val="20"/>
                <w:szCs w:val="20"/>
                <w:b w:val="1"/>
                <w:bCs w:val="1"/>
                <w:color w:val="FAAC16"/>
              </w:rPr>
              <w:t>Balancing</w:t>
            </w:r>
          </w:p>
        </w:tc>
        <w:tc>
          <w:tcPr>
            <w:tcW w:w="0" w:type="dxa"/>
            <w:vAlign w:val="bottom"/>
          </w:tcPr>
          <w:p>
            <w:pPr>
              <w:spacing w:after="0"/>
              <w:rPr>
                <w:sz w:val="1"/>
                <w:szCs w:val="1"/>
                <w:color w:val="auto"/>
              </w:rPr>
            </w:pPr>
          </w:p>
        </w:tc>
      </w:tr>
      <w:tr>
        <w:trPr>
          <w:trHeight w:val="216"/>
        </w:trPr>
        <w:tc>
          <w:tcPr>
            <w:tcW w:w="308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Commercial services</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Policy administration</w:t>
            </w:r>
          </w:p>
        </w:tc>
        <w:tc>
          <w:tcPr>
            <w:tcW w:w="2800" w:type="dxa"/>
            <w:vAlign w:val="bottom"/>
          </w:tcPr>
          <w:p>
            <w:pPr>
              <w:ind w:left="300"/>
              <w:spacing w:after="0" w:line="216" w:lineRule="exact"/>
              <w:rPr>
                <w:sz w:val="20"/>
                <w:szCs w:val="20"/>
                <w:color w:val="auto"/>
              </w:rPr>
            </w:pPr>
            <w:r>
              <w:rPr>
                <w:rFonts w:ascii="Arial" w:cs="Arial" w:eastAsia="Arial" w:hAnsi="Arial"/>
                <w:sz w:val="15"/>
                <w:szCs w:val="15"/>
                <w:b w:val="1"/>
                <w:bCs w:val="1"/>
                <w:color w:val="FAAC16"/>
              </w:rPr>
              <w:t xml:space="preserve">&gt; </w:t>
            </w:r>
            <w:r>
              <w:rPr>
                <w:rFonts w:ascii="Arial" w:cs="Arial" w:eastAsia="Arial" w:hAnsi="Arial"/>
                <w:sz w:val="15"/>
                <w:szCs w:val="15"/>
                <w:color w:val="000000"/>
              </w:rPr>
              <w:t>CareRadius</w:t>
            </w:r>
            <w:r>
              <w:rPr>
                <w:rFonts w:ascii="Arial" w:cs="Arial" w:eastAsia="Arial" w:hAnsi="Arial"/>
                <w:sz w:val="25"/>
                <w:szCs w:val="25"/>
                <w:color w:val="000000"/>
                <w:vertAlign w:val="superscript"/>
              </w:rPr>
              <w:t>®</w:t>
            </w:r>
            <w:r>
              <w:rPr>
                <w:rFonts w:ascii="Arial" w:cs="Arial" w:eastAsia="Arial" w:hAnsi="Arial"/>
                <w:sz w:val="15"/>
                <w:szCs w:val="15"/>
                <w:b w:val="1"/>
                <w:bCs w:val="1"/>
                <w:color w:val="FAAC16"/>
              </w:rPr>
              <w:t xml:space="preserve"> </w:t>
            </w:r>
            <w:r>
              <w:rPr>
                <w:rFonts w:ascii="Arial" w:cs="Arial" w:eastAsia="Arial" w:hAnsi="Arial"/>
                <w:sz w:val="15"/>
                <w:szCs w:val="15"/>
                <w:color w:val="000000"/>
              </w:rPr>
              <w:t>medical</w:t>
            </w:r>
          </w:p>
        </w:tc>
        <w:tc>
          <w:tcPr>
            <w:tcW w:w="0" w:type="dxa"/>
            <w:vAlign w:val="bottom"/>
          </w:tcPr>
          <w:p>
            <w:pPr>
              <w:spacing w:after="0"/>
              <w:rPr>
                <w:sz w:val="1"/>
                <w:szCs w:val="1"/>
                <w:color w:val="auto"/>
              </w:rPr>
            </w:pPr>
          </w:p>
        </w:tc>
      </w:tr>
      <w:tr>
        <w:trPr>
          <w:trHeight w:val="195"/>
        </w:trPr>
        <w:tc>
          <w:tcPr>
            <w:tcW w:w="3080" w:type="dxa"/>
            <w:vAlign w:val="bottom"/>
            <w:vMerge w:val="restart"/>
          </w:tcPr>
          <w:p>
            <w:pPr>
              <w:ind w:left="300"/>
              <w:spacing w:after="0"/>
              <w:rPr>
                <w:sz w:val="20"/>
                <w:szCs w:val="20"/>
                <w:color w:val="auto"/>
              </w:rPr>
            </w:pPr>
            <w:r>
              <w:rPr>
                <w:rFonts w:ascii="Arial" w:cs="Arial" w:eastAsia="Arial" w:hAnsi="Arial"/>
                <w:sz w:val="16"/>
                <w:szCs w:val="16"/>
                <w:b w:val="1"/>
                <w:bCs w:val="1"/>
                <w:color w:val="006EBF"/>
              </w:rPr>
              <w:t xml:space="preserve">+ </w:t>
            </w:r>
            <w:r>
              <w:rPr>
                <w:rFonts w:ascii="Arial" w:cs="Arial" w:eastAsia="Arial" w:hAnsi="Arial"/>
                <w:sz w:val="16"/>
                <w:szCs w:val="16"/>
                <w:color w:val="000000"/>
              </w:rPr>
              <w:t>Pre- and post-utilization services</w:t>
            </w:r>
          </w:p>
        </w:tc>
        <w:tc>
          <w:tcPr>
            <w:tcW w:w="2540" w:type="dxa"/>
            <w:vAlign w:val="bottom"/>
            <w:vMerge w:val="restart"/>
          </w:tcPr>
          <w:p>
            <w:pPr>
              <w:ind w:left="2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Claims management</w:t>
            </w:r>
          </w:p>
        </w:tc>
        <w:tc>
          <w:tcPr>
            <w:tcW w:w="2800" w:type="dxa"/>
            <w:vAlign w:val="bottom"/>
          </w:tcPr>
          <w:p>
            <w:pPr>
              <w:ind w:left="460"/>
              <w:spacing w:after="0"/>
              <w:rPr>
                <w:sz w:val="20"/>
                <w:szCs w:val="20"/>
                <w:color w:val="auto"/>
              </w:rPr>
            </w:pPr>
            <w:r>
              <w:rPr>
                <w:rFonts w:ascii="Arial" w:cs="Arial" w:eastAsia="Arial" w:hAnsi="Arial"/>
                <w:sz w:val="16"/>
                <w:szCs w:val="16"/>
                <w:color w:val="auto"/>
              </w:rPr>
              <w:t>management platform</w:t>
            </w: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2800" w:type="dxa"/>
            <w:vAlign w:val="bottom"/>
            <w:vMerge w:val="restart"/>
          </w:tcPr>
          <w:p>
            <w:pPr>
              <w:ind w:left="300"/>
              <w:spacing w:after="0" w:line="292" w:lineRule="exact"/>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MaxMC</w:t>
            </w:r>
            <w:r>
              <w:rPr>
                <w:rFonts w:ascii="Arial" w:cs="Arial" w:eastAsia="Arial" w:hAnsi="Arial"/>
                <w:sz w:val="27"/>
                <w:szCs w:val="27"/>
                <w:color w:val="000000"/>
                <w:vertAlign w:val="superscript"/>
              </w:rPr>
              <w:t>sm</w:t>
            </w:r>
            <w:r>
              <w:rPr>
                <w:rFonts w:ascii="Arial" w:cs="Arial" w:eastAsia="Arial" w:hAnsi="Arial"/>
                <w:sz w:val="16"/>
                <w:szCs w:val="16"/>
                <w:b w:val="1"/>
                <w:bCs w:val="1"/>
                <w:color w:val="FAAC16"/>
              </w:rPr>
              <w:t xml:space="preserve"> </w:t>
            </w:r>
            <w:r>
              <w:rPr>
                <w:rFonts w:ascii="Arial" w:cs="Arial" w:eastAsia="Arial" w:hAnsi="Arial"/>
                <w:sz w:val="16"/>
                <w:szCs w:val="16"/>
                <w:color w:val="000000"/>
              </w:rPr>
              <w:t>medical</w:t>
            </w:r>
          </w:p>
        </w:tc>
        <w:tc>
          <w:tcPr>
            <w:tcW w:w="0" w:type="dxa"/>
            <w:vAlign w:val="bottom"/>
          </w:tcPr>
          <w:p>
            <w:pPr>
              <w:spacing w:after="0"/>
              <w:rPr>
                <w:sz w:val="1"/>
                <w:szCs w:val="1"/>
                <w:color w:val="auto"/>
              </w:rPr>
            </w:pPr>
          </w:p>
        </w:tc>
      </w:tr>
      <w:tr>
        <w:trPr>
          <w:trHeight w:val="183"/>
        </w:trPr>
        <w:tc>
          <w:tcPr>
            <w:tcW w:w="3080" w:type="dxa"/>
            <w:vAlign w:val="bottom"/>
            <w:vMerge w:val="restart"/>
          </w:tcPr>
          <w:p>
            <w:pPr>
              <w:ind w:left="300"/>
              <w:spacing w:after="0"/>
              <w:rPr>
                <w:sz w:val="20"/>
                <w:szCs w:val="20"/>
                <w:color w:val="auto"/>
              </w:rPr>
            </w:pPr>
            <w:r>
              <w:rPr>
                <w:rFonts w:ascii="Arial" w:cs="Arial" w:eastAsia="Arial" w:hAnsi="Arial"/>
                <w:sz w:val="16"/>
                <w:szCs w:val="16"/>
                <w:b w:val="1"/>
                <w:bCs w:val="1"/>
                <w:color w:val="006EBF"/>
              </w:rPr>
              <w:t xml:space="preserve">+ </w:t>
            </w:r>
            <w:r>
              <w:rPr>
                <w:rFonts w:ascii="Arial" w:cs="Arial" w:eastAsia="Arial" w:hAnsi="Arial"/>
                <w:sz w:val="16"/>
                <w:szCs w:val="16"/>
                <w:color w:val="000000"/>
              </w:rPr>
              <w:t>Preventive services</w:t>
            </w:r>
          </w:p>
        </w:tc>
        <w:tc>
          <w:tcPr>
            <w:tcW w:w="2540" w:type="dxa"/>
            <w:vAlign w:val="bottom"/>
            <w:vMerge w:val="restart"/>
          </w:tcPr>
          <w:p>
            <w:pPr>
              <w:ind w:left="2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Billing and collections</w:t>
            </w:r>
          </w:p>
        </w:tc>
        <w:tc>
          <w:tcPr>
            <w:tcW w:w="2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308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2800" w:type="dxa"/>
            <w:vAlign w:val="bottom"/>
            <w:vMerge w:val="restart"/>
          </w:tcPr>
          <w:p>
            <w:pPr>
              <w:ind w:left="460"/>
              <w:spacing w:after="0"/>
              <w:rPr>
                <w:sz w:val="20"/>
                <w:szCs w:val="20"/>
                <w:color w:val="auto"/>
              </w:rPr>
            </w:pPr>
            <w:r>
              <w:rPr>
                <w:rFonts w:ascii="Arial" w:cs="Arial" w:eastAsia="Arial" w:hAnsi="Arial"/>
                <w:sz w:val="16"/>
                <w:szCs w:val="16"/>
                <w:color w:val="auto"/>
              </w:rPr>
              <w:t>management platform</w:t>
            </w:r>
          </w:p>
        </w:tc>
        <w:tc>
          <w:tcPr>
            <w:tcW w:w="0" w:type="dxa"/>
            <w:vAlign w:val="bottom"/>
          </w:tcPr>
          <w:p>
            <w:pPr>
              <w:spacing w:after="0"/>
              <w:rPr>
                <w:sz w:val="1"/>
                <w:szCs w:val="1"/>
                <w:color w:val="auto"/>
              </w:rPr>
            </w:pPr>
          </w:p>
        </w:tc>
      </w:tr>
      <w:tr>
        <w:trPr>
          <w:trHeight w:val="81"/>
        </w:trPr>
        <w:tc>
          <w:tcPr>
            <w:tcW w:w="3080" w:type="dxa"/>
            <w:vAlign w:val="bottom"/>
          </w:tcPr>
          <w:p>
            <w:pPr>
              <w:spacing w:after="0"/>
              <w:rPr>
                <w:sz w:val="7"/>
                <w:szCs w:val="7"/>
                <w:color w:val="auto"/>
              </w:rPr>
            </w:pPr>
          </w:p>
        </w:tc>
        <w:tc>
          <w:tcPr>
            <w:tcW w:w="2540" w:type="dxa"/>
            <w:vAlign w:val="bottom"/>
          </w:tcPr>
          <w:p>
            <w:pPr>
              <w:spacing w:after="0"/>
              <w:rPr>
                <w:sz w:val="7"/>
                <w:szCs w:val="7"/>
                <w:color w:val="auto"/>
              </w:rPr>
            </w:pPr>
          </w:p>
        </w:tc>
        <w:tc>
          <w:tcPr>
            <w:tcW w:w="2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300"/>
              <w:spacing w:after="0"/>
              <w:rPr>
                <w:sz w:val="20"/>
                <w:szCs w:val="20"/>
                <w:color w:val="auto"/>
              </w:rPr>
            </w:pPr>
            <w:r>
              <w:rPr>
                <w:rFonts w:ascii="Arial" w:cs="Arial" w:eastAsia="Arial" w:hAnsi="Arial"/>
                <w:sz w:val="16"/>
                <w:szCs w:val="16"/>
                <w:b w:val="1"/>
                <w:bCs w:val="1"/>
                <w:color w:val="006EBF"/>
              </w:rPr>
              <w:t xml:space="preserve">+ </w:t>
            </w:r>
            <w:r>
              <w:rPr>
                <w:rFonts w:ascii="Arial" w:cs="Arial" w:eastAsia="Arial" w:hAnsi="Arial"/>
                <w:sz w:val="16"/>
                <w:szCs w:val="16"/>
                <w:color w:val="000000"/>
              </w:rPr>
              <w:t>Clinical support</w:t>
            </w:r>
          </w:p>
        </w:tc>
        <w:tc>
          <w:tcPr>
            <w:tcW w:w="2540" w:type="dxa"/>
            <w:vAlign w:val="bottom"/>
          </w:tcPr>
          <w:p>
            <w:pPr>
              <w:ind w:left="2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Customer service support</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Medicare operations</w:t>
            </w: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Pharmacy operations</w:t>
            </w: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Disability operations</w:t>
            </w: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Workers’ compensation operations</w:t>
            </w: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Benefit management</w:t>
            </w: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8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Long-term care</w:t>
            </w:r>
          </w:p>
        </w:tc>
        <w:tc>
          <w:tcPr>
            <w:tcW w:w="25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37"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b w:val="1"/>
          <w:bCs w:val="1"/>
          <w:i w:val="1"/>
          <w:iCs w:val="1"/>
          <w:color w:val="auto"/>
        </w:rPr>
        <w:t xml:space="preserve">Utilities: </w:t>
      </w:r>
      <w:r>
        <w:rPr>
          <w:rFonts w:ascii="Arial" w:cs="Arial" w:eastAsia="Arial" w:hAnsi="Arial"/>
          <w:sz w:val="16"/>
          <w:szCs w:val="16"/>
          <w:color w:val="auto"/>
        </w:rPr>
        <w:t>EXL’s utilities solutions enhance operating models, improve customer experience, reduce costs, shorten turnaround time and simplify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compliance. We manage utilities operations across the customer life cycle, from acquisition and home moves to billing, meter exchanges, annual service visits, debt recoveries and withdrawals. We have also supported multiple SAP implementations by designing, testing, piloting and stabilizing new platforms.</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Utilities solutions include:</w:t>
      </w:r>
    </w:p>
    <w:p>
      <w:pPr>
        <w:spacing w:after="0" w:line="155" w:lineRule="exact"/>
        <w:rPr>
          <w:sz w:val="20"/>
          <w:szCs w:val="20"/>
          <w:color w:val="auto"/>
        </w:rPr>
      </w:pPr>
    </w:p>
    <w:p>
      <w:pPr>
        <w:ind w:left="2440"/>
        <w:spacing w:after="0"/>
        <w:rPr>
          <w:sz w:val="20"/>
          <w:szCs w:val="20"/>
          <w:color w:val="auto"/>
        </w:rPr>
      </w:pPr>
      <w:r>
        <w:rPr>
          <w:rFonts w:ascii="Arial" w:cs="Arial" w:eastAsia="Arial" w:hAnsi="Arial"/>
          <w:sz w:val="25"/>
          <w:szCs w:val="25"/>
          <w:b w:val="1"/>
          <w:bCs w:val="1"/>
          <w:color w:val="FFFFFF"/>
        </w:rPr>
        <w:t>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-179705</wp:posOffset>
            </wp:positionV>
            <wp:extent cx="5685790" cy="231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5790" cy="231775"/>
                    </a:xfrm>
                    <a:prstGeom prst="rect">
                      <a:avLst/>
                    </a:prstGeom>
                    <a:noFill/>
                  </pic:spPr>
                </pic:pic>
              </a:graphicData>
            </a:graphic>
          </wp:anchor>
        </w:drawing>
      </w:r>
    </w:p>
    <w:p>
      <w:pPr>
        <w:spacing w:after="0" w:line="60" w:lineRule="exact"/>
        <w:rPr>
          <w:sz w:val="20"/>
          <w:szCs w:val="20"/>
          <w:color w:val="auto"/>
        </w:rPr>
      </w:pPr>
    </w:p>
    <w:p>
      <w:pPr>
        <w:ind w:left="1260"/>
        <w:spacing w:after="0"/>
        <w:tabs>
          <w:tab w:leader="none" w:pos="2960" w:val="left"/>
          <w:tab w:leader="none" w:pos="4660" w:val="left"/>
          <w:tab w:leader="none" w:pos="6180" w:val="left"/>
          <w:tab w:leader="none" w:pos="7480" w:val="left"/>
          <w:tab w:leader="none" w:pos="8960" w:val="left"/>
        </w:tabs>
        <w:rPr>
          <w:sz w:val="20"/>
          <w:szCs w:val="20"/>
          <w:color w:val="auto"/>
        </w:rPr>
      </w:pPr>
      <w:r>
        <w:rPr>
          <w:rFonts w:ascii="Arial" w:cs="Arial" w:eastAsia="Arial" w:hAnsi="Arial"/>
          <w:sz w:val="20"/>
          <w:szCs w:val="20"/>
          <w:b w:val="1"/>
          <w:bCs w:val="1"/>
          <w:color w:val="FAAC16"/>
        </w:rPr>
        <w:t>Customer</w:t>
      </w:r>
      <w:r>
        <w:rPr>
          <w:sz w:val="20"/>
          <w:szCs w:val="20"/>
          <w:color w:val="auto"/>
        </w:rPr>
        <w:tab/>
      </w:r>
      <w:r>
        <w:rPr>
          <w:rFonts w:ascii="Arial" w:cs="Arial" w:eastAsia="Arial" w:hAnsi="Arial"/>
          <w:sz w:val="20"/>
          <w:szCs w:val="20"/>
          <w:b w:val="1"/>
          <w:bCs w:val="1"/>
          <w:color w:val="FAAC16"/>
        </w:rPr>
        <w:t>Debt</w:t>
      </w:r>
      <w:r>
        <w:rPr>
          <w:sz w:val="20"/>
          <w:szCs w:val="20"/>
          <w:color w:val="auto"/>
        </w:rPr>
        <w:tab/>
      </w:r>
      <w:r>
        <w:rPr>
          <w:rFonts w:ascii="Arial" w:cs="Arial" w:eastAsia="Arial" w:hAnsi="Arial"/>
          <w:sz w:val="20"/>
          <w:szCs w:val="20"/>
          <w:b w:val="1"/>
          <w:bCs w:val="1"/>
          <w:color w:val="FAAC16"/>
        </w:rPr>
        <w:t>Third Party</w:t>
      </w:r>
      <w:r>
        <w:rPr>
          <w:sz w:val="20"/>
          <w:szCs w:val="20"/>
          <w:color w:val="auto"/>
        </w:rPr>
        <w:tab/>
      </w:r>
      <w:r>
        <w:rPr>
          <w:rFonts w:ascii="Arial" w:cs="Arial" w:eastAsia="Arial" w:hAnsi="Arial"/>
          <w:sz w:val="20"/>
          <w:szCs w:val="20"/>
          <w:b w:val="1"/>
          <w:bCs w:val="1"/>
          <w:color w:val="FAAC16"/>
        </w:rPr>
        <w:t>Home</w:t>
      </w:r>
      <w:r>
        <w:rPr>
          <w:sz w:val="20"/>
          <w:szCs w:val="20"/>
          <w:color w:val="auto"/>
        </w:rPr>
        <w:tab/>
      </w:r>
      <w:r>
        <w:rPr>
          <w:rFonts w:ascii="Arial" w:cs="Arial" w:eastAsia="Arial" w:hAnsi="Arial"/>
          <w:sz w:val="20"/>
          <w:szCs w:val="20"/>
          <w:b w:val="1"/>
          <w:bCs w:val="1"/>
          <w:color w:val="FAAC16"/>
        </w:rPr>
        <w:t>Customer</w:t>
      </w:r>
      <w:r>
        <w:rPr>
          <w:sz w:val="20"/>
          <w:szCs w:val="20"/>
          <w:color w:val="auto"/>
        </w:rPr>
        <w:tab/>
      </w:r>
      <w:r>
        <w:rPr>
          <w:rFonts w:ascii="Arial" w:cs="Arial" w:eastAsia="Arial" w:hAnsi="Arial"/>
          <w:sz w:val="19"/>
          <w:szCs w:val="19"/>
          <w:b w:val="1"/>
          <w:bCs w:val="1"/>
          <w:color w:val="FAAC16"/>
        </w:rPr>
        <w:t>Portfolio</w:t>
      </w:r>
    </w:p>
    <w:p>
      <w:pPr>
        <w:ind w:left="1260"/>
        <w:spacing w:after="0"/>
        <w:tabs>
          <w:tab w:leader="none" w:pos="2960" w:val="left"/>
          <w:tab w:leader="none" w:pos="4660" w:val="left"/>
          <w:tab w:leader="none" w:pos="6180" w:val="left"/>
          <w:tab w:leader="none" w:pos="7480" w:val="left"/>
          <w:tab w:leader="none" w:pos="8960" w:val="left"/>
        </w:tabs>
        <w:rPr>
          <w:sz w:val="20"/>
          <w:szCs w:val="20"/>
          <w:color w:val="auto"/>
        </w:rPr>
      </w:pPr>
      <w:r>
        <w:rPr>
          <w:rFonts w:ascii="Arial" w:cs="Arial" w:eastAsia="Arial" w:hAnsi="Arial"/>
          <w:sz w:val="20"/>
          <w:szCs w:val="20"/>
          <w:b w:val="1"/>
          <w:bCs w:val="1"/>
          <w:color w:val="FAAC16"/>
        </w:rPr>
        <w:t>Journeys</w:t>
      </w:r>
      <w:r>
        <w:rPr>
          <w:sz w:val="20"/>
          <w:szCs w:val="20"/>
          <w:color w:val="auto"/>
        </w:rPr>
        <w:tab/>
      </w:r>
      <w:r>
        <w:rPr>
          <w:rFonts w:ascii="Arial" w:cs="Arial" w:eastAsia="Arial" w:hAnsi="Arial"/>
          <w:sz w:val="20"/>
          <w:szCs w:val="20"/>
          <w:b w:val="1"/>
          <w:bCs w:val="1"/>
          <w:color w:val="FAAC16"/>
        </w:rPr>
        <w:t>Management</w:t>
      </w:r>
      <w:r>
        <w:rPr>
          <w:sz w:val="20"/>
          <w:szCs w:val="20"/>
          <w:color w:val="auto"/>
        </w:rPr>
        <w:tab/>
      </w:r>
      <w:r>
        <w:rPr>
          <w:rFonts w:ascii="Arial" w:cs="Arial" w:eastAsia="Arial" w:hAnsi="Arial"/>
          <w:sz w:val="20"/>
          <w:szCs w:val="20"/>
          <w:b w:val="1"/>
          <w:bCs w:val="1"/>
          <w:color w:val="FAAC16"/>
        </w:rPr>
        <w:t>Intermediaries</w:t>
        <w:tab/>
        <w:t>Services</w:t>
      </w:r>
      <w:r>
        <w:rPr>
          <w:sz w:val="20"/>
          <w:szCs w:val="20"/>
          <w:color w:val="auto"/>
        </w:rPr>
        <w:tab/>
      </w:r>
      <w:r>
        <w:rPr>
          <w:rFonts w:ascii="Arial" w:cs="Arial" w:eastAsia="Arial" w:hAnsi="Arial"/>
          <w:sz w:val="20"/>
          <w:szCs w:val="20"/>
          <w:b w:val="1"/>
          <w:bCs w:val="1"/>
          <w:color w:val="FAAC16"/>
        </w:rPr>
        <w:t>Services</w:t>
      </w:r>
      <w:r>
        <w:rPr>
          <w:sz w:val="20"/>
          <w:szCs w:val="20"/>
          <w:color w:val="auto"/>
        </w:rPr>
        <w:tab/>
      </w:r>
      <w:r>
        <w:rPr>
          <w:rFonts w:ascii="Arial" w:cs="Arial" w:eastAsia="Arial" w:hAnsi="Arial"/>
          <w:sz w:val="19"/>
          <w:szCs w:val="19"/>
          <w:b w:val="1"/>
          <w:bCs w:val="1"/>
          <w:color w:val="FAAC16"/>
        </w:rPr>
        <w:t>and Energy</w:t>
      </w:r>
    </w:p>
    <w:p>
      <w:pPr>
        <w:ind w:left="8980"/>
        <w:spacing w:after="0"/>
        <w:rPr>
          <w:sz w:val="20"/>
          <w:szCs w:val="20"/>
          <w:color w:val="auto"/>
        </w:rPr>
      </w:pPr>
      <w:r>
        <w:rPr>
          <w:rFonts w:ascii="Arial" w:cs="Arial" w:eastAsia="Arial" w:hAnsi="Arial"/>
          <w:sz w:val="20"/>
          <w:szCs w:val="20"/>
          <w:b w:val="1"/>
          <w:bCs w:val="1"/>
          <w:color w:val="FAAC16"/>
        </w:rPr>
        <w:t>Balancing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10795</wp:posOffset>
            </wp:positionV>
            <wp:extent cx="56857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8579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59" w:lineRule="exact"/>
        <w:rPr>
          <w:sz w:val="20"/>
          <w:szCs w:val="20"/>
          <w:color w:val="auto"/>
        </w:rPr>
      </w:pPr>
    </w:p>
    <w:p>
      <w:pPr>
        <w:ind w:left="1420" w:right="160" w:hanging="156"/>
        <w:spacing w:after="0" w:line="251" w:lineRule="auto"/>
        <w:tabs>
          <w:tab w:leader="none" w:pos="1398" w:val="left"/>
        </w:tabs>
        <w:numPr>
          <w:ilvl w:val="0"/>
          <w:numId w:val="4"/>
        </w:numPr>
        <w:rPr>
          <w:rFonts w:ascii="Arial" w:cs="Arial" w:eastAsia="Arial" w:hAnsi="Arial"/>
          <w:sz w:val="16"/>
          <w:szCs w:val="16"/>
          <w:b w:val="1"/>
          <w:bCs w:val="1"/>
          <w:color w:val="F78C34"/>
        </w:rPr>
      </w:pPr>
      <w:r>
        <w:rPr>
          <w:rFonts w:ascii="Arial" w:cs="Arial" w:eastAsia="Arial" w:hAnsi="Arial"/>
          <w:sz w:val="16"/>
          <w:szCs w:val="16"/>
          <w:color w:val="auto"/>
        </w:rPr>
        <w:t>Business to Consumer (B2C) and Business to Business (B2B)</w:t>
      </w:r>
    </w:p>
    <w:p>
      <w:pPr>
        <w:spacing w:after="0" w:line="94" w:lineRule="exact"/>
        <w:rPr>
          <w:rFonts w:ascii="Arial" w:cs="Arial" w:eastAsia="Arial" w:hAnsi="Arial"/>
          <w:sz w:val="16"/>
          <w:szCs w:val="16"/>
          <w:b w:val="1"/>
          <w:bCs w:val="1"/>
          <w:color w:val="F78C34"/>
        </w:rPr>
      </w:pPr>
    </w:p>
    <w:p>
      <w:pPr>
        <w:ind w:left="1420" w:right="340" w:hanging="156"/>
        <w:spacing w:after="0" w:line="260" w:lineRule="auto"/>
        <w:tabs>
          <w:tab w:leader="none" w:pos="1398" w:val="left"/>
        </w:tabs>
        <w:numPr>
          <w:ilvl w:val="0"/>
          <w:numId w:val="4"/>
        </w:numPr>
        <w:rPr>
          <w:rFonts w:ascii="Arial" w:cs="Arial" w:eastAsia="Arial" w:hAnsi="Arial"/>
          <w:sz w:val="16"/>
          <w:szCs w:val="16"/>
          <w:b w:val="1"/>
          <w:bCs w:val="1"/>
          <w:color w:val="F78C34"/>
        </w:rPr>
      </w:pPr>
      <w:r>
        <w:rPr>
          <w:rFonts w:ascii="Arial" w:cs="Arial" w:eastAsia="Arial" w:hAnsi="Arial"/>
          <w:sz w:val="16"/>
          <w:szCs w:val="16"/>
          <w:color w:val="auto"/>
        </w:rPr>
        <w:t>Join – Account Setup</w:t>
      </w:r>
    </w:p>
    <w:p>
      <w:pPr>
        <w:spacing w:after="0" w:line="87" w:lineRule="exact"/>
        <w:rPr>
          <w:rFonts w:ascii="Arial" w:cs="Arial" w:eastAsia="Arial" w:hAnsi="Arial"/>
          <w:sz w:val="16"/>
          <w:szCs w:val="16"/>
          <w:b w:val="1"/>
          <w:bCs w:val="1"/>
          <w:color w:val="F78C34"/>
        </w:rPr>
      </w:pPr>
    </w:p>
    <w:p>
      <w:pPr>
        <w:jc w:val="both"/>
        <w:ind w:left="1420" w:right="280" w:hanging="156"/>
        <w:spacing w:after="0" w:line="260" w:lineRule="auto"/>
        <w:tabs>
          <w:tab w:leader="none" w:pos="1398" w:val="left"/>
        </w:tabs>
        <w:numPr>
          <w:ilvl w:val="0"/>
          <w:numId w:val="4"/>
        </w:numPr>
        <w:rPr>
          <w:rFonts w:ascii="Arial" w:cs="Arial" w:eastAsia="Arial" w:hAnsi="Arial"/>
          <w:sz w:val="16"/>
          <w:szCs w:val="16"/>
          <w:b w:val="1"/>
          <w:bCs w:val="1"/>
          <w:color w:val="F78C34"/>
        </w:rPr>
      </w:pPr>
      <w:r>
        <w:rPr>
          <w:rFonts w:ascii="Arial" w:cs="Arial" w:eastAsia="Arial" w:hAnsi="Arial"/>
          <w:sz w:val="16"/>
          <w:szCs w:val="16"/>
          <w:color w:val="auto"/>
        </w:rPr>
        <w:t>Move – Home / Business move</w:t>
      </w:r>
    </w:p>
    <w:p>
      <w:pPr>
        <w:spacing w:after="0" w:line="87" w:lineRule="exact"/>
        <w:rPr>
          <w:rFonts w:ascii="Arial" w:cs="Arial" w:eastAsia="Arial" w:hAnsi="Arial"/>
          <w:sz w:val="16"/>
          <w:szCs w:val="16"/>
          <w:b w:val="1"/>
          <w:bCs w:val="1"/>
          <w:color w:val="F78C34"/>
        </w:rPr>
      </w:pPr>
    </w:p>
    <w:p>
      <w:pPr>
        <w:ind w:left="1420" w:hanging="156"/>
        <w:spacing w:after="0" w:line="253" w:lineRule="auto"/>
        <w:tabs>
          <w:tab w:leader="none" w:pos="1398" w:val="left"/>
        </w:tabs>
        <w:numPr>
          <w:ilvl w:val="0"/>
          <w:numId w:val="4"/>
        </w:numPr>
        <w:rPr>
          <w:rFonts w:ascii="Arial" w:cs="Arial" w:eastAsia="Arial" w:hAnsi="Arial"/>
          <w:sz w:val="16"/>
          <w:szCs w:val="16"/>
          <w:b w:val="1"/>
          <w:bCs w:val="1"/>
          <w:color w:val="F78C34"/>
        </w:rPr>
      </w:pPr>
      <w:r>
        <w:rPr>
          <w:rFonts w:ascii="Arial" w:cs="Arial" w:eastAsia="Arial" w:hAnsi="Arial"/>
          <w:sz w:val="16"/>
          <w:szCs w:val="16"/>
          <w:color w:val="auto"/>
        </w:rPr>
        <w:t>Billing – Meter read and Billing management</w:t>
      </w:r>
    </w:p>
    <w:p>
      <w:pPr>
        <w:spacing w:after="0" w:line="93" w:lineRule="exact"/>
        <w:rPr>
          <w:rFonts w:ascii="Arial" w:cs="Arial" w:eastAsia="Arial" w:hAnsi="Arial"/>
          <w:sz w:val="16"/>
          <w:szCs w:val="16"/>
          <w:b w:val="1"/>
          <w:bCs w:val="1"/>
          <w:color w:val="F78C34"/>
        </w:rPr>
      </w:pPr>
    </w:p>
    <w:p>
      <w:pPr>
        <w:ind w:left="1420" w:right="340" w:hanging="156"/>
        <w:spacing w:after="0" w:line="251" w:lineRule="auto"/>
        <w:tabs>
          <w:tab w:leader="none" w:pos="1398" w:val="left"/>
        </w:tabs>
        <w:numPr>
          <w:ilvl w:val="0"/>
          <w:numId w:val="4"/>
        </w:numPr>
        <w:rPr>
          <w:rFonts w:ascii="Arial" w:cs="Arial" w:eastAsia="Arial" w:hAnsi="Arial"/>
          <w:sz w:val="16"/>
          <w:szCs w:val="16"/>
          <w:b w:val="1"/>
          <w:bCs w:val="1"/>
          <w:color w:val="F78C34"/>
        </w:rPr>
      </w:pPr>
      <w:r>
        <w:rPr>
          <w:rFonts w:ascii="Arial" w:cs="Arial" w:eastAsia="Arial" w:hAnsi="Arial"/>
          <w:sz w:val="16"/>
          <w:szCs w:val="16"/>
          <w:color w:val="auto"/>
        </w:rPr>
        <w:t>Metering – Exchange and Meter Asset Management</w:t>
      </w:r>
    </w:p>
    <w:p>
      <w:pPr>
        <w:spacing w:after="0" w:line="94" w:lineRule="exact"/>
        <w:rPr>
          <w:rFonts w:ascii="Arial" w:cs="Arial" w:eastAsia="Arial" w:hAnsi="Arial"/>
          <w:sz w:val="16"/>
          <w:szCs w:val="16"/>
          <w:b w:val="1"/>
          <w:bCs w:val="1"/>
          <w:color w:val="F78C34"/>
        </w:rPr>
      </w:pPr>
    </w:p>
    <w:p>
      <w:pPr>
        <w:ind w:left="1420" w:right="80" w:hanging="156"/>
        <w:spacing w:after="0" w:line="253" w:lineRule="auto"/>
        <w:tabs>
          <w:tab w:leader="none" w:pos="1398" w:val="left"/>
        </w:tabs>
        <w:numPr>
          <w:ilvl w:val="0"/>
          <w:numId w:val="4"/>
        </w:numPr>
        <w:rPr>
          <w:rFonts w:ascii="Arial" w:cs="Arial" w:eastAsia="Arial" w:hAnsi="Arial"/>
          <w:sz w:val="16"/>
          <w:szCs w:val="16"/>
          <w:b w:val="1"/>
          <w:bCs w:val="1"/>
          <w:color w:val="F78C34"/>
        </w:rPr>
      </w:pPr>
      <w:r>
        <w:rPr>
          <w:rFonts w:ascii="Arial" w:cs="Arial" w:eastAsia="Arial" w:hAnsi="Arial"/>
          <w:sz w:val="16"/>
          <w:szCs w:val="16"/>
          <w:color w:val="auto"/>
        </w:rPr>
        <w:t>Payments – Direct Debit Reassessment</w:t>
      </w:r>
    </w:p>
    <w:p>
      <w:pPr>
        <w:spacing w:after="0" w:line="93" w:lineRule="exact"/>
        <w:rPr>
          <w:rFonts w:ascii="Arial" w:cs="Arial" w:eastAsia="Arial" w:hAnsi="Arial"/>
          <w:sz w:val="16"/>
          <w:szCs w:val="16"/>
          <w:b w:val="1"/>
          <w:bCs w:val="1"/>
          <w:color w:val="F78C34"/>
        </w:rPr>
      </w:pPr>
    </w:p>
    <w:p>
      <w:pPr>
        <w:ind w:left="1420" w:right="500" w:hanging="156"/>
        <w:spacing w:after="0" w:line="260" w:lineRule="auto"/>
        <w:tabs>
          <w:tab w:leader="none" w:pos="1398" w:val="left"/>
        </w:tabs>
        <w:numPr>
          <w:ilvl w:val="0"/>
          <w:numId w:val="4"/>
        </w:numPr>
        <w:rPr>
          <w:rFonts w:ascii="Arial" w:cs="Arial" w:eastAsia="Arial" w:hAnsi="Arial"/>
          <w:sz w:val="16"/>
          <w:szCs w:val="16"/>
          <w:b w:val="1"/>
          <w:bCs w:val="1"/>
          <w:color w:val="F78C34"/>
        </w:rPr>
      </w:pPr>
      <w:r>
        <w:rPr>
          <w:rFonts w:ascii="Arial" w:cs="Arial" w:eastAsia="Arial" w:hAnsi="Arial"/>
          <w:sz w:val="16"/>
          <w:szCs w:val="16"/>
          <w:color w:val="auto"/>
        </w:rPr>
        <w:t>Leave - Withdrawals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620" w:type="dxa"/>
            <w:vAlign w:val="bottom"/>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Inbound and</w:t>
            </w:r>
          </w:p>
        </w:tc>
        <w:tc>
          <w:tcPr>
            <w:tcW w:w="1520" w:type="dxa"/>
            <w:vAlign w:val="bottom"/>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Flow</w:t>
            </w:r>
          </w:p>
        </w:tc>
        <w:tc>
          <w:tcPr>
            <w:tcW w:w="1280" w:type="dxa"/>
            <w:vAlign w:val="bottom"/>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Account Set</w:t>
            </w:r>
          </w:p>
        </w:tc>
        <w:tc>
          <w:tcPr>
            <w:tcW w:w="1500" w:type="dxa"/>
            <w:vAlign w:val="bottom"/>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Web and e-mail</w:t>
            </w:r>
          </w:p>
        </w:tc>
        <w:tc>
          <w:tcPr>
            <w:tcW w:w="1260" w:type="dxa"/>
            <w:vAlign w:val="bottom"/>
          </w:tcPr>
          <w:p>
            <w:pPr>
              <w:ind w:left="80"/>
              <w:spacing w:after="0"/>
              <w:rPr>
                <w:sz w:val="20"/>
                <w:szCs w:val="20"/>
                <w:color w:val="auto"/>
              </w:rPr>
            </w:pPr>
            <w:r>
              <w:rPr>
                <w:rFonts w:ascii="Arial" w:cs="Arial" w:eastAsia="Arial" w:hAnsi="Arial"/>
                <w:sz w:val="16"/>
                <w:szCs w:val="16"/>
                <w:b w:val="1"/>
                <w:bCs w:val="1"/>
                <w:color w:val="F78C34"/>
              </w:rPr>
              <w:t>&gt;</w:t>
            </w:r>
            <w:r>
              <w:rPr>
                <w:rFonts w:ascii="Arial" w:cs="Arial" w:eastAsia="Arial" w:hAnsi="Arial"/>
                <w:sz w:val="16"/>
                <w:szCs w:val="16"/>
                <w:color w:val="000000"/>
              </w:rPr>
              <w:t>Imbalance</w:t>
            </w:r>
          </w:p>
        </w:tc>
        <w:tc>
          <w:tcPr>
            <w:tcW w:w="0" w:type="dxa"/>
            <w:vAlign w:val="bottom"/>
          </w:tcPr>
          <w:p>
            <w:pPr>
              <w:spacing w:after="0"/>
              <w:rPr>
                <w:sz w:val="1"/>
                <w:szCs w:val="1"/>
                <w:color w:val="auto"/>
              </w:rPr>
            </w:pPr>
          </w:p>
        </w:tc>
      </w:tr>
      <w:tr>
        <w:trPr>
          <w:trHeight w:val="189"/>
        </w:trPr>
        <w:tc>
          <w:tcPr>
            <w:tcW w:w="1620" w:type="dxa"/>
            <w:vAlign w:val="bottom"/>
          </w:tcPr>
          <w:p>
            <w:pPr>
              <w:ind w:left="160"/>
              <w:spacing w:after="0"/>
              <w:rPr>
                <w:sz w:val="20"/>
                <w:szCs w:val="20"/>
                <w:color w:val="auto"/>
              </w:rPr>
            </w:pPr>
            <w:r>
              <w:rPr>
                <w:rFonts w:ascii="Arial" w:cs="Arial" w:eastAsia="Arial" w:hAnsi="Arial"/>
                <w:sz w:val="16"/>
                <w:szCs w:val="16"/>
                <w:color w:val="auto"/>
              </w:rPr>
              <w:t>Outbound</w:t>
            </w:r>
          </w:p>
        </w:tc>
        <w:tc>
          <w:tcPr>
            <w:tcW w:w="1520" w:type="dxa"/>
            <w:vAlign w:val="bottom"/>
          </w:tcPr>
          <w:p>
            <w:pPr>
              <w:ind w:left="240"/>
              <w:spacing w:after="0"/>
              <w:rPr>
                <w:sz w:val="20"/>
                <w:szCs w:val="20"/>
                <w:color w:val="auto"/>
              </w:rPr>
            </w:pPr>
            <w:r>
              <w:rPr>
                <w:rFonts w:ascii="Arial" w:cs="Arial" w:eastAsia="Arial" w:hAnsi="Arial"/>
                <w:sz w:val="16"/>
                <w:szCs w:val="16"/>
                <w:color w:val="auto"/>
              </w:rPr>
              <w:t>management</w:t>
            </w:r>
          </w:p>
        </w:tc>
        <w:tc>
          <w:tcPr>
            <w:tcW w:w="1280" w:type="dxa"/>
            <w:vAlign w:val="bottom"/>
          </w:tcPr>
          <w:p>
            <w:pPr>
              <w:ind w:left="240"/>
              <w:spacing w:after="0"/>
              <w:rPr>
                <w:sz w:val="20"/>
                <w:szCs w:val="20"/>
                <w:color w:val="auto"/>
              </w:rPr>
            </w:pPr>
            <w:r>
              <w:rPr>
                <w:rFonts w:ascii="Arial" w:cs="Arial" w:eastAsia="Arial" w:hAnsi="Arial"/>
                <w:sz w:val="16"/>
                <w:szCs w:val="16"/>
                <w:color w:val="auto"/>
              </w:rPr>
              <w:t>up</w:t>
            </w:r>
          </w:p>
        </w:tc>
        <w:tc>
          <w:tcPr>
            <w:tcW w:w="1500" w:type="dxa"/>
            <w:vAlign w:val="bottom"/>
          </w:tcPr>
          <w:p>
            <w:pPr>
              <w:ind w:left="260"/>
              <w:spacing w:after="0"/>
              <w:rPr>
                <w:sz w:val="20"/>
                <w:szCs w:val="20"/>
                <w:color w:val="auto"/>
              </w:rPr>
            </w:pPr>
            <w:r>
              <w:rPr>
                <w:rFonts w:ascii="Arial" w:cs="Arial" w:eastAsia="Arial" w:hAnsi="Arial"/>
                <w:sz w:val="16"/>
                <w:szCs w:val="16"/>
                <w:color w:val="auto"/>
              </w:rPr>
              <w:t>correspondence</w:t>
            </w:r>
          </w:p>
        </w:tc>
        <w:tc>
          <w:tcPr>
            <w:tcW w:w="1260" w:type="dxa"/>
            <w:vAlign w:val="bottom"/>
          </w:tcPr>
          <w:p>
            <w:pPr>
              <w:ind w:left="260"/>
              <w:spacing w:after="0"/>
              <w:rPr>
                <w:sz w:val="20"/>
                <w:szCs w:val="20"/>
                <w:color w:val="auto"/>
              </w:rPr>
            </w:pPr>
            <w:r>
              <w:rPr>
                <w:rFonts w:ascii="Arial" w:cs="Arial" w:eastAsia="Arial" w:hAnsi="Arial"/>
                <w:sz w:val="16"/>
                <w:szCs w:val="16"/>
                <w:color w:val="auto"/>
              </w:rPr>
              <w:t>Payment</w:t>
            </w:r>
          </w:p>
        </w:tc>
        <w:tc>
          <w:tcPr>
            <w:tcW w:w="0" w:type="dxa"/>
            <w:vAlign w:val="bottom"/>
          </w:tcPr>
          <w:p>
            <w:pPr>
              <w:spacing w:after="0"/>
              <w:rPr>
                <w:sz w:val="1"/>
                <w:szCs w:val="1"/>
                <w:color w:val="auto"/>
              </w:rPr>
            </w:pPr>
          </w:p>
        </w:tc>
      </w:tr>
      <w:tr>
        <w:trPr>
          <w:trHeight w:val="255"/>
        </w:trPr>
        <w:tc>
          <w:tcPr>
            <w:tcW w:w="1620" w:type="dxa"/>
            <w:vAlign w:val="bottom"/>
          </w:tcPr>
          <w:p>
            <w:pPr>
              <w:ind w:left="160"/>
              <w:spacing w:after="0"/>
              <w:rPr>
                <w:sz w:val="20"/>
                <w:szCs w:val="20"/>
                <w:color w:val="auto"/>
              </w:rPr>
            </w:pPr>
            <w:r>
              <w:rPr>
                <w:rFonts w:ascii="Arial" w:cs="Arial" w:eastAsia="Arial" w:hAnsi="Arial"/>
                <w:sz w:val="16"/>
                <w:szCs w:val="16"/>
                <w:color w:val="auto"/>
              </w:rPr>
              <w:t>Collections (B2C &amp;</w:t>
            </w:r>
          </w:p>
        </w:tc>
        <w:tc>
          <w:tcPr>
            <w:tcW w:w="1520" w:type="dxa"/>
            <w:vAlign w:val="bottom"/>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Meter</w:t>
            </w:r>
          </w:p>
        </w:tc>
        <w:tc>
          <w:tcPr>
            <w:tcW w:w="1280" w:type="dxa"/>
            <w:vAlign w:val="bottom"/>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Billing and</w:t>
            </w:r>
          </w:p>
        </w:tc>
        <w:tc>
          <w:tcPr>
            <w:tcW w:w="1500" w:type="dxa"/>
            <w:vAlign w:val="bottom"/>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Customer</w:t>
            </w:r>
          </w:p>
        </w:tc>
        <w:tc>
          <w:tcPr>
            <w:tcW w:w="1260" w:type="dxa"/>
            <w:vAlign w:val="bottom"/>
          </w:tcPr>
          <w:p>
            <w:pPr>
              <w:ind w:left="260"/>
              <w:spacing w:after="0"/>
              <w:rPr>
                <w:sz w:val="20"/>
                <w:szCs w:val="20"/>
                <w:color w:val="auto"/>
              </w:rPr>
            </w:pPr>
            <w:r>
              <w:rPr>
                <w:rFonts w:ascii="Arial" w:cs="Arial" w:eastAsia="Arial" w:hAnsi="Arial"/>
                <w:sz w:val="16"/>
                <w:szCs w:val="16"/>
                <w:color w:val="auto"/>
                <w:w w:val="98"/>
              </w:rPr>
              <w:t>Reconciliation</w:t>
            </w:r>
          </w:p>
        </w:tc>
        <w:tc>
          <w:tcPr>
            <w:tcW w:w="0" w:type="dxa"/>
            <w:vAlign w:val="bottom"/>
          </w:tcPr>
          <w:p>
            <w:pPr>
              <w:spacing w:after="0"/>
              <w:rPr>
                <w:sz w:val="1"/>
                <w:szCs w:val="1"/>
                <w:color w:val="auto"/>
              </w:rPr>
            </w:pPr>
          </w:p>
        </w:tc>
      </w:tr>
      <w:tr>
        <w:trPr>
          <w:trHeight w:val="189"/>
        </w:trPr>
        <w:tc>
          <w:tcPr>
            <w:tcW w:w="1620" w:type="dxa"/>
            <w:vAlign w:val="bottom"/>
          </w:tcPr>
          <w:p>
            <w:pPr>
              <w:ind w:left="160"/>
              <w:spacing w:after="0"/>
              <w:rPr>
                <w:sz w:val="20"/>
                <w:szCs w:val="20"/>
                <w:color w:val="auto"/>
              </w:rPr>
            </w:pPr>
            <w:r>
              <w:rPr>
                <w:rFonts w:ascii="Arial" w:cs="Arial" w:eastAsia="Arial" w:hAnsi="Arial"/>
                <w:sz w:val="16"/>
                <w:szCs w:val="16"/>
                <w:color w:val="auto"/>
              </w:rPr>
              <w:t>B2B)</w:t>
            </w:r>
          </w:p>
        </w:tc>
        <w:tc>
          <w:tcPr>
            <w:tcW w:w="1520" w:type="dxa"/>
            <w:vAlign w:val="bottom"/>
            <w:vMerge w:val="restart"/>
          </w:tcPr>
          <w:p>
            <w:pPr>
              <w:ind w:left="240"/>
              <w:spacing w:after="0"/>
              <w:rPr>
                <w:sz w:val="20"/>
                <w:szCs w:val="20"/>
                <w:color w:val="auto"/>
              </w:rPr>
            </w:pPr>
            <w:r>
              <w:rPr>
                <w:rFonts w:ascii="Arial" w:cs="Arial" w:eastAsia="Arial" w:hAnsi="Arial"/>
                <w:sz w:val="16"/>
                <w:szCs w:val="16"/>
                <w:color w:val="auto"/>
              </w:rPr>
              <w:t>configuration</w:t>
            </w:r>
          </w:p>
        </w:tc>
        <w:tc>
          <w:tcPr>
            <w:tcW w:w="1280" w:type="dxa"/>
            <w:vAlign w:val="bottom"/>
            <w:vMerge w:val="restart"/>
          </w:tcPr>
          <w:p>
            <w:pPr>
              <w:ind w:left="240"/>
              <w:spacing w:after="0"/>
              <w:rPr>
                <w:sz w:val="20"/>
                <w:szCs w:val="20"/>
                <w:color w:val="auto"/>
              </w:rPr>
            </w:pPr>
            <w:r>
              <w:rPr>
                <w:rFonts w:ascii="Arial" w:cs="Arial" w:eastAsia="Arial" w:hAnsi="Arial"/>
                <w:sz w:val="16"/>
                <w:szCs w:val="16"/>
                <w:color w:val="auto"/>
              </w:rPr>
              <w:t>Payment</w:t>
            </w:r>
          </w:p>
        </w:tc>
        <w:tc>
          <w:tcPr>
            <w:tcW w:w="1500" w:type="dxa"/>
            <w:vAlign w:val="bottom"/>
            <w:vMerge w:val="restart"/>
          </w:tcPr>
          <w:p>
            <w:pPr>
              <w:ind w:left="260"/>
              <w:spacing w:after="0"/>
              <w:rPr>
                <w:sz w:val="20"/>
                <w:szCs w:val="20"/>
                <w:color w:val="auto"/>
              </w:rPr>
            </w:pPr>
            <w:r>
              <w:rPr>
                <w:rFonts w:ascii="Arial" w:cs="Arial" w:eastAsia="Arial" w:hAnsi="Arial"/>
                <w:sz w:val="16"/>
                <w:szCs w:val="16"/>
                <w:color w:val="auto"/>
              </w:rPr>
              <w:t>complaints</w:t>
            </w:r>
          </w:p>
        </w:tc>
        <w:tc>
          <w:tcPr>
            <w:tcW w:w="126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&gt;</w:t>
            </w:r>
            <w:r>
              <w:rPr>
                <w:rFonts w:ascii="Arial" w:cs="Arial" w:eastAsia="Arial" w:hAnsi="Arial"/>
                <w:sz w:val="16"/>
                <w:szCs w:val="16"/>
                <w:color w:val="000000"/>
              </w:rPr>
              <w:t>Vacant</w:t>
            </w:r>
          </w:p>
        </w:tc>
        <w:tc>
          <w:tcPr>
            <w:tcW w:w="0" w:type="dxa"/>
            <w:vAlign w:val="bottom"/>
          </w:tcPr>
          <w:p>
            <w:pPr>
              <w:spacing w:after="0"/>
              <w:rPr>
                <w:sz w:val="1"/>
                <w:szCs w:val="1"/>
                <w:color w:val="auto"/>
              </w:rPr>
            </w:pPr>
          </w:p>
        </w:tc>
      </w:tr>
      <w:tr>
        <w:trPr>
          <w:trHeight w:val="42"/>
        </w:trPr>
        <w:tc>
          <w:tcPr>
            <w:tcW w:w="1620" w:type="dxa"/>
            <w:vAlign w:val="bottom"/>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Skip Tracing</w:t>
            </w:r>
          </w:p>
        </w:tc>
        <w:tc>
          <w:tcPr>
            <w:tcW w:w="1520" w:type="dxa"/>
            <w:vAlign w:val="bottom"/>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620" w:type="dxa"/>
            <w:vAlign w:val="bottom"/>
            <w:vMerge w:val="continue"/>
          </w:tcPr>
          <w:p>
            <w:pPr>
              <w:spacing w:after="0"/>
              <w:rPr>
                <w:sz w:val="16"/>
                <w:szCs w:val="16"/>
                <w:color w:val="auto"/>
              </w:rPr>
            </w:pPr>
          </w:p>
        </w:tc>
        <w:tc>
          <w:tcPr>
            <w:tcW w:w="152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Meter read</w:t>
            </w: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Service</w:t>
            </w:r>
          </w:p>
        </w:tc>
        <w:tc>
          <w:tcPr>
            <w:tcW w:w="1500" w:type="dxa"/>
            <w:vAlign w:val="bottom"/>
          </w:tcPr>
          <w:p>
            <w:pPr>
              <w:ind w:left="260"/>
              <w:spacing w:after="0"/>
              <w:rPr>
                <w:sz w:val="20"/>
                <w:szCs w:val="20"/>
                <w:color w:val="auto"/>
              </w:rPr>
            </w:pPr>
            <w:r>
              <w:rPr>
                <w:rFonts w:ascii="Arial" w:cs="Arial" w:eastAsia="Arial" w:hAnsi="Arial"/>
                <w:sz w:val="16"/>
                <w:szCs w:val="16"/>
                <w:color w:val="auto"/>
              </w:rPr>
              <w:t>management</w:t>
            </w:r>
          </w:p>
        </w:tc>
        <w:tc>
          <w:tcPr>
            <w:tcW w:w="1260" w:type="dxa"/>
            <w:vAlign w:val="bottom"/>
          </w:tcPr>
          <w:p>
            <w:pPr>
              <w:ind w:left="260"/>
              <w:spacing w:after="0"/>
              <w:rPr>
                <w:sz w:val="20"/>
                <w:szCs w:val="20"/>
                <w:color w:val="auto"/>
              </w:rPr>
            </w:pPr>
            <w:r>
              <w:rPr>
                <w:rFonts w:ascii="Arial" w:cs="Arial" w:eastAsia="Arial" w:hAnsi="Arial"/>
                <w:sz w:val="16"/>
                <w:szCs w:val="16"/>
                <w:color w:val="auto"/>
              </w:rPr>
              <w:t>Property</w:t>
            </w:r>
          </w:p>
        </w:tc>
        <w:tc>
          <w:tcPr>
            <w:tcW w:w="0" w:type="dxa"/>
            <w:vAlign w:val="bottom"/>
          </w:tcPr>
          <w:p>
            <w:pPr>
              <w:spacing w:after="0"/>
              <w:rPr>
                <w:sz w:val="1"/>
                <w:szCs w:val="1"/>
                <w:color w:val="auto"/>
              </w:rPr>
            </w:pPr>
          </w:p>
        </w:tc>
      </w:tr>
      <w:tr>
        <w:trPr>
          <w:trHeight w:val="108"/>
        </w:trPr>
        <w:tc>
          <w:tcPr>
            <w:tcW w:w="1620" w:type="dxa"/>
            <w:vAlign w:val="bottom"/>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Debt Back Office</w:t>
            </w:r>
          </w:p>
        </w:tc>
        <w:tc>
          <w:tcPr>
            <w:tcW w:w="15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500" w:type="dxa"/>
            <w:vAlign w:val="bottom"/>
            <w:vMerge w:val="restart"/>
          </w:tcPr>
          <w:p>
            <w:pPr>
              <w:ind w:left="10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Metering</w:t>
            </w:r>
          </w:p>
        </w:tc>
        <w:tc>
          <w:tcPr>
            <w:tcW w:w="1260" w:type="dxa"/>
            <w:vAlign w:val="bottom"/>
            <w:vMerge w:val="restart"/>
          </w:tcPr>
          <w:p>
            <w:pPr>
              <w:ind w:left="260"/>
              <w:spacing w:after="0"/>
              <w:rPr>
                <w:sz w:val="20"/>
                <w:szCs w:val="20"/>
                <w:color w:val="auto"/>
              </w:rPr>
            </w:pPr>
            <w:r>
              <w:rPr>
                <w:rFonts w:ascii="Arial" w:cs="Arial" w:eastAsia="Arial" w:hAnsi="Arial"/>
                <w:sz w:val="16"/>
                <w:szCs w:val="16"/>
                <w:color w:val="auto"/>
              </w:rPr>
              <w:t>Portfolio</w:t>
            </w: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1520" w:type="dxa"/>
            <w:vAlign w:val="bottom"/>
            <w:vMerge w:val="restart"/>
          </w:tcPr>
          <w:p>
            <w:pPr>
              <w:ind w:left="240"/>
              <w:spacing w:after="0"/>
              <w:rPr>
                <w:sz w:val="20"/>
                <w:szCs w:val="20"/>
                <w:color w:val="auto"/>
              </w:rPr>
            </w:pPr>
            <w:r>
              <w:rPr>
                <w:rFonts w:ascii="Arial" w:cs="Arial" w:eastAsia="Arial" w:hAnsi="Arial"/>
                <w:sz w:val="16"/>
                <w:szCs w:val="16"/>
                <w:color w:val="auto"/>
              </w:rPr>
              <w:t>validation</w:t>
            </w:r>
          </w:p>
        </w:tc>
        <w:tc>
          <w:tcPr>
            <w:tcW w:w="1280" w:type="dxa"/>
            <w:vAlign w:val="bottom"/>
            <w:vMerge w:val="restart"/>
          </w:tcPr>
          <w:p>
            <w:pPr>
              <w:ind w:left="240"/>
              <w:spacing w:after="0"/>
              <w:rPr>
                <w:sz w:val="20"/>
                <w:szCs w:val="20"/>
                <w:color w:val="auto"/>
              </w:rPr>
            </w:pPr>
            <w:r>
              <w:rPr>
                <w:rFonts w:ascii="Arial" w:cs="Arial" w:eastAsia="Arial" w:hAnsi="Arial"/>
                <w:sz w:val="16"/>
                <w:szCs w:val="16"/>
                <w:color w:val="auto"/>
              </w:rPr>
              <w:t>Management</w:t>
            </w:r>
          </w:p>
        </w:tc>
        <w:tc>
          <w:tcPr>
            <w:tcW w:w="15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1260" w:type="dxa"/>
            <w:vAlign w:val="bottom"/>
            <w:vMerge w:val="restart"/>
          </w:tcPr>
          <w:p>
            <w:pPr>
              <w:ind w:left="260"/>
              <w:spacing w:after="0"/>
              <w:rPr>
                <w:sz w:val="20"/>
                <w:szCs w:val="20"/>
                <w:color w:val="auto"/>
              </w:rPr>
            </w:pPr>
            <w:r>
              <w:rPr>
                <w:rFonts w:ascii="Arial" w:cs="Arial" w:eastAsia="Arial" w:hAnsi="Arial"/>
                <w:sz w:val="16"/>
                <w:szCs w:val="16"/>
                <w:color w:val="auto"/>
              </w:rPr>
              <w:t>Review</w:t>
            </w:r>
          </w:p>
        </w:tc>
        <w:tc>
          <w:tcPr>
            <w:tcW w:w="0" w:type="dxa"/>
            <w:vAlign w:val="bottom"/>
          </w:tcPr>
          <w:p>
            <w:pPr>
              <w:spacing w:after="0"/>
              <w:rPr>
                <w:sz w:val="1"/>
                <w:szCs w:val="1"/>
                <w:color w:val="auto"/>
              </w:rPr>
            </w:pPr>
          </w:p>
        </w:tc>
      </w:tr>
      <w:tr>
        <w:trPr>
          <w:trHeight w:val="87"/>
        </w:trPr>
        <w:tc>
          <w:tcPr>
            <w:tcW w:w="1620" w:type="dxa"/>
            <w:vAlign w:val="bottom"/>
            <w:vMerge w:val="restart"/>
          </w:tcPr>
          <w:p>
            <w:pPr>
              <w:ind w:left="160"/>
              <w:spacing w:after="0"/>
              <w:rPr>
                <w:sz w:val="20"/>
                <w:szCs w:val="20"/>
                <w:color w:val="auto"/>
              </w:rPr>
            </w:pPr>
            <w:r>
              <w:rPr>
                <w:rFonts w:ascii="Arial" w:cs="Arial" w:eastAsia="Arial" w:hAnsi="Arial"/>
                <w:sz w:val="16"/>
                <w:szCs w:val="16"/>
                <w:color w:val="auto"/>
              </w:rPr>
              <w:t>Operations:</w:t>
            </w:r>
          </w:p>
        </w:tc>
        <w:tc>
          <w:tcPr>
            <w:tcW w:w="15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00" w:type="dxa"/>
            <w:vAlign w:val="bottom"/>
            <w:vMerge w:val="restart"/>
          </w:tcPr>
          <w:p>
            <w:pPr>
              <w:ind w:left="260"/>
              <w:spacing w:after="0"/>
              <w:rPr>
                <w:sz w:val="20"/>
                <w:szCs w:val="20"/>
                <w:color w:val="auto"/>
              </w:rPr>
            </w:pPr>
            <w:r>
              <w:rPr>
                <w:rFonts w:ascii="Arial" w:cs="Arial" w:eastAsia="Arial" w:hAnsi="Arial"/>
                <w:sz w:val="16"/>
                <w:szCs w:val="16"/>
                <w:color w:val="auto"/>
              </w:rPr>
              <w:t>appointment</w:t>
            </w: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620" w:type="dxa"/>
            <w:vAlign w:val="bottom"/>
            <w:vMerge w:val="continue"/>
          </w:tcPr>
          <w:p>
            <w:pPr>
              <w:spacing w:after="0"/>
              <w:rPr>
                <w:sz w:val="8"/>
                <w:szCs w:val="8"/>
                <w:color w:val="auto"/>
              </w:rPr>
            </w:pPr>
          </w:p>
        </w:tc>
        <w:tc>
          <w:tcPr>
            <w:tcW w:w="152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Smart meter</w:t>
            </w: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Customer</w:t>
            </w:r>
          </w:p>
        </w:tc>
        <w:tc>
          <w:tcPr>
            <w:tcW w:w="1500" w:type="dxa"/>
            <w:vAlign w:val="bottom"/>
            <w:vMerge w:val="continue"/>
          </w:tcPr>
          <w:p>
            <w:pPr>
              <w:spacing w:after="0"/>
              <w:rPr>
                <w:sz w:val="8"/>
                <w:szCs w:val="8"/>
                <w:color w:val="auto"/>
              </w:rPr>
            </w:pPr>
          </w:p>
        </w:tc>
        <w:tc>
          <w:tcPr>
            <w:tcW w:w="126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&gt;</w:t>
            </w:r>
            <w:r>
              <w:rPr>
                <w:rFonts w:ascii="Arial" w:cs="Arial" w:eastAsia="Arial" w:hAnsi="Arial"/>
                <w:sz w:val="16"/>
                <w:szCs w:val="16"/>
                <w:color w:val="000000"/>
              </w:rPr>
              <w:t>Unbilled and</w:t>
            </w:r>
          </w:p>
        </w:tc>
        <w:tc>
          <w:tcPr>
            <w:tcW w:w="0" w:type="dxa"/>
            <w:vAlign w:val="bottom"/>
          </w:tcPr>
          <w:p>
            <w:pPr>
              <w:spacing w:after="0"/>
              <w:rPr>
                <w:sz w:val="1"/>
                <w:szCs w:val="1"/>
                <w:color w:val="auto"/>
              </w:rPr>
            </w:pPr>
          </w:p>
        </w:tc>
      </w:tr>
      <w:tr>
        <w:trPr>
          <w:trHeight w:val="108"/>
        </w:trPr>
        <w:tc>
          <w:tcPr>
            <w:tcW w:w="1620" w:type="dxa"/>
            <w:vAlign w:val="bottom"/>
            <w:vMerge w:val="restart"/>
          </w:tcPr>
          <w:p>
            <w:pPr>
              <w:ind w:left="160"/>
              <w:spacing w:after="0"/>
              <w:rPr>
                <w:sz w:val="20"/>
                <w:szCs w:val="20"/>
                <w:color w:val="auto"/>
              </w:rPr>
            </w:pPr>
            <w:r>
              <w:rPr>
                <w:rFonts w:ascii="Arial" w:cs="Arial" w:eastAsia="Arial" w:hAnsi="Arial"/>
                <w:sz w:val="16"/>
                <w:szCs w:val="16"/>
                <w:color w:val="auto"/>
              </w:rPr>
              <w:t>Warrant Checking</w:t>
            </w:r>
          </w:p>
        </w:tc>
        <w:tc>
          <w:tcPr>
            <w:tcW w:w="15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500" w:type="dxa"/>
            <w:vAlign w:val="bottom"/>
            <w:vMerge w:val="restart"/>
          </w:tcPr>
          <w:p>
            <w:pPr>
              <w:ind w:left="260"/>
              <w:spacing w:after="0"/>
              <w:rPr>
                <w:sz w:val="20"/>
                <w:szCs w:val="20"/>
                <w:color w:val="auto"/>
              </w:rPr>
            </w:pPr>
            <w:r>
              <w:rPr>
                <w:rFonts w:ascii="Arial" w:cs="Arial" w:eastAsia="Arial" w:hAnsi="Arial"/>
                <w:sz w:val="16"/>
                <w:szCs w:val="16"/>
                <w:color w:val="auto"/>
              </w:rPr>
              <w:t>bookings</w:t>
            </w:r>
          </w:p>
        </w:tc>
        <w:tc>
          <w:tcPr>
            <w:tcW w:w="1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1520" w:type="dxa"/>
            <w:vAlign w:val="bottom"/>
            <w:vMerge w:val="restart"/>
          </w:tcPr>
          <w:p>
            <w:pPr>
              <w:ind w:left="240"/>
              <w:spacing w:after="0"/>
              <w:rPr>
                <w:sz w:val="20"/>
                <w:szCs w:val="20"/>
                <w:color w:val="auto"/>
              </w:rPr>
            </w:pPr>
            <w:r>
              <w:rPr>
                <w:rFonts w:ascii="Arial" w:cs="Arial" w:eastAsia="Arial" w:hAnsi="Arial"/>
                <w:sz w:val="16"/>
                <w:szCs w:val="16"/>
                <w:color w:val="auto"/>
              </w:rPr>
              <w:t>read retrieval</w:t>
            </w:r>
          </w:p>
        </w:tc>
        <w:tc>
          <w:tcPr>
            <w:tcW w:w="1280" w:type="dxa"/>
            <w:vAlign w:val="bottom"/>
            <w:vMerge w:val="restart"/>
          </w:tcPr>
          <w:p>
            <w:pPr>
              <w:ind w:left="240"/>
              <w:spacing w:after="0"/>
              <w:rPr>
                <w:sz w:val="20"/>
                <w:szCs w:val="20"/>
                <w:color w:val="auto"/>
              </w:rPr>
            </w:pPr>
            <w:r>
              <w:rPr>
                <w:rFonts w:ascii="Arial" w:cs="Arial" w:eastAsia="Arial" w:hAnsi="Arial"/>
                <w:sz w:val="16"/>
                <w:szCs w:val="16"/>
                <w:color w:val="auto"/>
              </w:rPr>
              <w:t>Account</w:t>
            </w:r>
          </w:p>
        </w:tc>
        <w:tc>
          <w:tcPr>
            <w:tcW w:w="150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620" w:type="dxa"/>
            <w:vAlign w:val="bottom"/>
            <w:vMerge w:val="restart"/>
          </w:tcPr>
          <w:p>
            <w:pPr>
              <w:ind w:left="160"/>
              <w:spacing w:after="0"/>
              <w:rPr>
                <w:sz w:val="20"/>
                <w:szCs w:val="20"/>
                <w:color w:val="auto"/>
              </w:rPr>
            </w:pPr>
            <w:r>
              <w:rPr>
                <w:rFonts w:ascii="Arial" w:cs="Arial" w:eastAsia="Arial" w:hAnsi="Arial"/>
                <w:sz w:val="16"/>
                <w:szCs w:val="16"/>
                <w:color w:val="auto"/>
              </w:rPr>
              <w:t>and Planning</w:t>
            </w:r>
          </w:p>
        </w:tc>
        <w:tc>
          <w:tcPr>
            <w:tcW w:w="15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260" w:type="dxa"/>
            <w:vAlign w:val="bottom"/>
            <w:vMerge w:val="restart"/>
          </w:tcPr>
          <w:p>
            <w:pPr>
              <w:ind w:left="260"/>
              <w:spacing w:after="0"/>
              <w:rPr>
                <w:sz w:val="20"/>
                <w:szCs w:val="20"/>
                <w:color w:val="auto"/>
              </w:rPr>
            </w:pPr>
            <w:r>
              <w:rPr>
                <w:rFonts w:ascii="Arial" w:cs="Arial" w:eastAsia="Arial" w:hAnsi="Arial"/>
                <w:sz w:val="16"/>
                <w:szCs w:val="16"/>
                <w:color w:val="auto"/>
              </w:rPr>
              <w:t>Portfolio</w:t>
            </w: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1520" w:type="dxa"/>
            <w:vAlign w:val="bottom"/>
          </w:tcPr>
          <w:p>
            <w:pPr>
              <w:spacing w:after="0"/>
              <w:rPr>
                <w:sz w:val="7"/>
                <w:szCs w:val="7"/>
                <w:color w:val="auto"/>
              </w:rPr>
            </w:pPr>
          </w:p>
        </w:tc>
        <w:tc>
          <w:tcPr>
            <w:tcW w:w="1280" w:type="dxa"/>
            <w:vAlign w:val="bottom"/>
            <w:vMerge w:val="restart"/>
          </w:tcPr>
          <w:p>
            <w:pPr>
              <w:ind w:left="240"/>
              <w:spacing w:after="0"/>
              <w:rPr>
                <w:sz w:val="20"/>
                <w:szCs w:val="20"/>
                <w:color w:val="auto"/>
              </w:rPr>
            </w:pPr>
            <w:r>
              <w:rPr>
                <w:rFonts w:ascii="Arial" w:cs="Arial" w:eastAsia="Arial" w:hAnsi="Arial"/>
                <w:sz w:val="16"/>
                <w:szCs w:val="16"/>
                <w:color w:val="auto"/>
              </w:rPr>
              <w:t>Management</w:t>
            </w:r>
          </w:p>
        </w:tc>
        <w:tc>
          <w:tcPr>
            <w:tcW w:w="15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620" w:type="dxa"/>
            <w:vAlign w:val="bottom"/>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Field support</w:t>
            </w:r>
          </w:p>
        </w:tc>
        <w:tc>
          <w:tcPr>
            <w:tcW w:w="152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Agent</w:t>
            </w:r>
          </w:p>
        </w:tc>
        <w:tc>
          <w:tcPr>
            <w:tcW w:w="1280" w:type="dxa"/>
            <w:vAlign w:val="bottom"/>
            <w:vMerge w:val="continue"/>
          </w:tcPr>
          <w:p>
            <w:pPr>
              <w:spacing w:after="0"/>
              <w:rPr>
                <w:sz w:val="9"/>
                <w:szCs w:val="9"/>
                <w:color w:val="auto"/>
              </w:rPr>
            </w:pPr>
          </w:p>
        </w:tc>
        <w:tc>
          <w:tcPr>
            <w:tcW w:w="1500" w:type="dxa"/>
            <w:vAlign w:val="bottom"/>
          </w:tcPr>
          <w:p>
            <w:pPr>
              <w:spacing w:after="0"/>
              <w:rPr>
                <w:sz w:val="9"/>
                <w:szCs w:val="9"/>
                <w:color w:val="auto"/>
              </w:rPr>
            </w:pPr>
          </w:p>
        </w:tc>
        <w:tc>
          <w:tcPr>
            <w:tcW w:w="1260" w:type="dxa"/>
            <w:vAlign w:val="bottom"/>
            <w:vMerge w:val="restart"/>
          </w:tcPr>
          <w:p>
            <w:pPr>
              <w:ind w:left="260"/>
              <w:spacing w:after="0"/>
              <w:rPr>
                <w:sz w:val="20"/>
                <w:szCs w:val="20"/>
                <w:color w:val="auto"/>
              </w:rPr>
            </w:pPr>
            <w:r>
              <w:rPr>
                <w:rFonts w:ascii="Arial" w:cs="Arial" w:eastAsia="Arial" w:hAnsi="Arial"/>
                <w:sz w:val="16"/>
                <w:szCs w:val="16"/>
                <w:color w:val="auto"/>
              </w:rPr>
              <w:t>mismatch</w:t>
            </w:r>
          </w:p>
        </w:tc>
        <w:tc>
          <w:tcPr>
            <w:tcW w:w="0" w:type="dxa"/>
            <w:vAlign w:val="bottom"/>
          </w:tcPr>
          <w:p>
            <w:pPr>
              <w:spacing w:after="0"/>
              <w:rPr>
                <w:sz w:val="1"/>
                <w:szCs w:val="1"/>
                <w:color w:val="auto"/>
              </w:rPr>
            </w:pPr>
          </w:p>
        </w:tc>
      </w:tr>
      <w:tr>
        <w:trPr>
          <w:trHeight w:val="102"/>
        </w:trPr>
        <w:tc>
          <w:tcPr>
            <w:tcW w:w="1620" w:type="dxa"/>
            <w:vAlign w:val="bottom"/>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Leave</w:t>
            </w:r>
          </w:p>
        </w:tc>
        <w:tc>
          <w:tcPr>
            <w:tcW w:w="15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620" w:type="dxa"/>
            <w:vAlign w:val="bottom"/>
            <w:vMerge w:val="continue"/>
          </w:tcPr>
          <w:p>
            <w:pPr>
              <w:spacing w:after="0"/>
              <w:rPr>
                <w:sz w:val="7"/>
                <w:szCs w:val="7"/>
                <w:color w:val="auto"/>
              </w:rPr>
            </w:pPr>
          </w:p>
        </w:tc>
        <w:tc>
          <w:tcPr>
            <w:tcW w:w="1520" w:type="dxa"/>
            <w:vAlign w:val="bottom"/>
            <w:vMerge w:val="restart"/>
          </w:tcPr>
          <w:p>
            <w:pPr>
              <w:ind w:left="240"/>
              <w:spacing w:after="0"/>
              <w:rPr>
                <w:sz w:val="20"/>
                <w:szCs w:val="20"/>
                <w:color w:val="auto"/>
              </w:rPr>
            </w:pPr>
            <w:r>
              <w:rPr>
                <w:rFonts w:ascii="Arial" w:cs="Arial" w:eastAsia="Arial" w:hAnsi="Arial"/>
                <w:sz w:val="16"/>
                <w:szCs w:val="16"/>
                <w:color w:val="auto"/>
              </w:rPr>
              <w:t>appointment /</w:t>
            </w:r>
          </w:p>
        </w:tc>
        <w:tc>
          <w:tcPr>
            <w:tcW w:w="1280" w:type="dxa"/>
            <w:vAlign w:val="bottom"/>
            <w:vMerge w:val="continue"/>
          </w:tcPr>
          <w:p>
            <w:pPr>
              <w:spacing w:after="0"/>
              <w:rPr>
                <w:sz w:val="7"/>
                <w:szCs w:val="7"/>
                <w:color w:val="auto"/>
              </w:rPr>
            </w:pPr>
          </w:p>
        </w:tc>
        <w:tc>
          <w:tcPr>
            <w:tcW w:w="1500" w:type="dxa"/>
            <w:vAlign w:val="bottom"/>
          </w:tcPr>
          <w:p>
            <w:pPr>
              <w:spacing w:after="0"/>
              <w:rPr>
                <w:sz w:val="7"/>
                <w:szCs w:val="7"/>
                <w:color w:val="auto"/>
              </w:rPr>
            </w:pPr>
          </w:p>
        </w:tc>
        <w:tc>
          <w:tcPr>
            <w:tcW w:w="126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&gt;</w:t>
            </w:r>
            <w:r>
              <w:rPr>
                <w:rFonts w:ascii="Arial" w:cs="Arial" w:eastAsia="Arial" w:hAnsi="Arial"/>
                <w:sz w:val="16"/>
                <w:szCs w:val="16"/>
                <w:color w:val="000000"/>
              </w:rPr>
              <w:t>Asset</w:t>
            </w:r>
          </w:p>
        </w:tc>
        <w:tc>
          <w:tcPr>
            <w:tcW w:w="0" w:type="dxa"/>
            <w:vAlign w:val="bottom"/>
          </w:tcPr>
          <w:p>
            <w:pPr>
              <w:spacing w:after="0"/>
              <w:rPr>
                <w:sz w:val="1"/>
                <w:szCs w:val="1"/>
                <w:color w:val="auto"/>
              </w:rPr>
            </w:pPr>
          </w:p>
        </w:tc>
      </w:tr>
      <w:tr>
        <w:trPr>
          <w:trHeight w:val="102"/>
        </w:trPr>
        <w:tc>
          <w:tcPr>
            <w:tcW w:w="1620" w:type="dxa"/>
            <w:vAlign w:val="bottom"/>
            <w:vMerge w:val="restart"/>
          </w:tcPr>
          <w:p>
            <w:pPr>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Insolvency</w:t>
            </w:r>
          </w:p>
        </w:tc>
        <w:tc>
          <w:tcPr>
            <w:tcW w:w="15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620" w:type="dxa"/>
            <w:vAlign w:val="bottom"/>
            <w:vMerge w:val="continue"/>
          </w:tcPr>
          <w:p>
            <w:pPr>
              <w:spacing w:after="0"/>
              <w:rPr>
                <w:sz w:val="7"/>
                <w:szCs w:val="7"/>
                <w:color w:val="auto"/>
              </w:rPr>
            </w:pPr>
          </w:p>
        </w:tc>
        <w:tc>
          <w:tcPr>
            <w:tcW w:w="1520" w:type="dxa"/>
            <w:vAlign w:val="bottom"/>
            <w:vMerge w:val="restart"/>
          </w:tcPr>
          <w:p>
            <w:pPr>
              <w:ind w:left="240"/>
              <w:spacing w:after="0"/>
              <w:rPr>
                <w:sz w:val="20"/>
                <w:szCs w:val="20"/>
                <w:color w:val="auto"/>
              </w:rPr>
            </w:pPr>
            <w:r>
              <w:rPr>
                <w:rFonts w:ascii="Arial" w:cs="Arial" w:eastAsia="Arial" w:hAnsi="Arial"/>
                <w:sz w:val="16"/>
                <w:szCs w:val="16"/>
                <w:color w:val="auto"/>
              </w:rPr>
              <w:t>de-appointment</w:t>
            </w:r>
          </w:p>
        </w:tc>
        <w:tc>
          <w:tcPr>
            <w:tcW w:w="12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62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Customer</w:t>
            </w:r>
          </w:p>
        </w:tc>
        <w:tc>
          <w:tcPr>
            <w:tcW w:w="1500" w:type="dxa"/>
            <w:vAlign w:val="bottom"/>
          </w:tcPr>
          <w:p>
            <w:pPr>
              <w:spacing w:after="0"/>
              <w:rPr>
                <w:sz w:val="9"/>
                <w:szCs w:val="9"/>
                <w:color w:val="auto"/>
              </w:rPr>
            </w:pPr>
          </w:p>
        </w:tc>
        <w:tc>
          <w:tcPr>
            <w:tcW w:w="1260" w:type="dxa"/>
            <w:vAlign w:val="bottom"/>
            <w:vMerge w:val="restart"/>
          </w:tcPr>
          <w:p>
            <w:pPr>
              <w:ind w:left="260"/>
              <w:spacing w:after="0"/>
              <w:rPr>
                <w:sz w:val="20"/>
                <w:szCs w:val="20"/>
                <w:color w:val="auto"/>
              </w:rPr>
            </w:pPr>
            <w:r>
              <w:rPr>
                <w:rFonts w:ascii="Arial" w:cs="Arial" w:eastAsia="Arial" w:hAnsi="Arial"/>
                <w:sz w:val="16"/>
                <w:szCs w:val="16"/>
                <w:color w:val="auto"/>
                <w:w w:val="98"/>
              </w:rPr>
              <w:t>Reconciliation</w:t>
            </w:r>
          </w:p>
        </w:tc>
        <w:tc>
          <w:tcPr>
            <w:tcW w:w="0" w:type="dxa"/>
            <w:vAlign w:val="bottom"/>
          </w:tcPr>
          <w:p>
            <w:pPr>
              <w:spacing w:after="0"/>
              <w:rPr>
                <w:sz w:val="1"/>
                <w:szCs w:val="1"/>
                <w:color w:val="auto"/>
              </w:rPr>
            </w:pPr>
          </w:p>
        </w:tc>
      </w:tr>
      <w:tr>
        <w:trPr>
          <w:trHeight w:val="102"/>
        </w:trPr>
        <w:tc>
          <w:tcPr>
            <w:tcW w:w="1620" w:type="dxa"/>
            <w:vAlign w:val="bottom"/>
          </w:tcPr>
          <w:p>
            <w:pPr>
              <w:spacing w:after="0"/>
              <w:rPr>
                <w:sz w:val="8"/>
                <w:szCs w:val="8"/>
                <w:color w:val="auto"/>
              </w:rPr>
            </w:pPr>
          </w:p>
        </w:tc>
        <w:tc>
          <w:tcPr>
            <w:tcW w:w="152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Settlement and</w:t>
            </w:r>
          </w:p>
        </w:tc>
        <w:tc>
          <w:tcPr>
            <w:tcW w:w="12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80" w:type="dxa"/>
            <w:vAlign w:val="bottom"/>
          </w:tcPr>
          <w:p>
            <w:pPr>
              <w:ind w:left="240"/>
              <w:spacing w:after="0"/>
              <w:rPr>
                <w:sz w:val="20"/>
                <w:szCs w:val="20"/>
                <w:color w:val="auto"/>
              </w:rPr>
            </w:pPr>
            <w:r>
              <w:rPr>
                <w:rFonts w:ascii="Arial" w:cs="Arial" w:eastAsia="Arial" w:hAnsi="Arial"/>
                <w:sz w:val="16"/>
                <w:szCs w:val="16"/>
                <w:color w:val="auto"/>
              </w:rPr>
              <w:t>Enquiries</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1520" w:type="dxa"/>
            <w:vAlign w:val="bottom"/>
          </w:tcPr>
          <w:p>
            <w:pPr>
              <w:ind w:left="240"/>
              <w:spacing w:after="0"/>
              <w:rPr>
                <w:sz w:val="20"/>
                <w:szCs w:val="20"/>
                <w:color w:val="auto"/>
              </w:rPr>
            </w:pPr>
            <w:r>
              <w:rPr>
                <w:rFonts w:ascii="Arial" w:cs="Arial" w:eastAsia="Arial" w:hAnsi="Arial"/>
                <w:sz w:val="16"/>
                <w:szCs w:val="16"/>
                <w:color w:val="auto"/>
              </w:rPr>
              <w:t>Reconciliation</w:t>
            </w:r>
          </w:p>
        </w:tc>
        <w:tc>
          <w:tcPr>
            <w:tcW w:w="128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Contract</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1620" w:type="dxa"/>
            <w:vAlign w:val="bottom"/>
          </w:tcPr>
          <w:p>
            <w:pPr>
              <w:spacing w:after="0"/>
              <w:rPr>
                <w:sz w:val="8"/>
                <w:szCs w:val="8"/>
                <w:color w:val="auto"/>
              </w:rPr>
            </w:pPr>
          </w:p>
        </w:tc>
        <w:tc>
          <w:tcPr>
            <w:tcW w:w="1520" w:type="dxa"/>
            <w:vAlign w:val="bottom"/>
            <w:vMerge w:val="restart"/>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Supplier Queries</w:t>
            </w:r>
          </w:p>
        </w:tc>
        <w:tc>
          <w:tcPr>
            <w:tcW w:w="1280" w:type="dxa"/>
            <w:vAlign w:val="bottom"/>
            <w:vMerge w:val="continue"/>
          </w:tcPr>
          <w:p>
            <w:pPr>
              <w:spacing w:after="0"/>
              <w:rPr>
                <w:sz w:val="8"/>
                <w:szCs w:val="8"/>
                <w:color w:val="auto"/>
              </w:rPr>
            </w:pPr>
          </w:p>
        </w:tc>
        <w:tc>
          <w:tcPr>
            <w:tcW w:w="15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80" w:type="dxa"/>
            <w:vAlign w:val="bottom"/>
          </w:tcPr>
          <w:p>
            <w:pPr>
              <w:ind w:left="240"/>
              <w:spacing w:after="0"/>
              <w:rPr>
                <w:sz w:val="20"/>
                <w:szCs w:val="20"/>
                <w:color w:val="auto"/>
              </w:rPr>
            </w:pPr>
            <w:r>
              <w:rPr>
                <w:rFonts w:ascii="Arial" w:cs="Arial" w:eastAsia="Arial" w:hAnsi="Arial"/>
                <w:sz w:val="16"/>
                <w:szCs w:val="16"/>
                <w:color w:val="auto"/>
              </w:rPr>
              <w:t>Management</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1620" w:type="dxa"/>
            <w:vAlign w:val="bottom"/>
          </w:tcPr>
          <w:p>
            <w:pPr>
              <w:spacing w:after="0"/>
              <w:rPr>
                <w:sz w:val="24"/>
                <w:szCs w:val="24"/>
                <w:color w:val="auto"/>
              </w:rPr>
            </w:pPr>
          </w:p>
        </w:tc>
        <w:tc>
          <w:tcPr>
            <w:tcW w:w="1520" w:type="dxa"/>
            <w:vAlign w:val="bottom"/>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Supporting Field</w:t>
            </w:r>
          </w:p>
        </w:tc>
        <w:tc>
          <w:tcPr>
            <w:tcW w:w="1280" w:type="dxa"/>
            <w:vAlign w:val="bottom"/>
          </w:tcPr>
          <w:p>
            <w:pPr>
              <w:ind w:left="80"/>
              <w:spacing w:after="0"/>
              <w:rPr>
                <w:sz w:val="20"/>
                <w:szCs w:val="20"/>
                <w:color w:val="auto"/>
              </w:rPr>
            </w:pPr>
            <w:r>
              <w:rPr>
                <w:rFonts w:ascii="Arial" w:cs="Arial" w:eastAsia="Arial" w:hAnsi="Arial"/>
                <w:sz w:val="16"/>
                <w:szCs w:val="16"/>
                <w:b w:val="1"/>
                <w:bCs w:val="1"/>
                <w:color w:val="F78C34"/>
              </w:rPr>
              <w:t xml:space="preserve">&gt; </w:t>
            </w:r>
            <w:r>
              <w:rPr>
                <w:rFonts w:ascii="Arial" w:cs="Arial" w:eastAsia="Arial" w:hAnsi="Arial"/>
                <w:sz w:val="16"/>
                <w:szCs w:val="16"/>
                <w:color w:val="000000"/>
              </w:rPr>
              <w:t>Complaints</w:t>
            </w: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1520" w:type="dxa"/>
            <w:vAlign w:val="bottom"/>
          </w:tcPr>
          <w:p>
            <w:pPr>
              <w:ind w:left="240"/>
              <w:spacing w:after="0"/>
              <w:rPr>
                <w:sz w:val="20"/>
                <w:szCs w:val="20"/>
                <w:color w:val="auto"/>
              </w:rPr>
            </w:pPr>
            <w:r>
              <w:rPr>
                <w:rFonts w:ascii="Arial" w:cs="Arial" w:eastAsia="Arial" w:hAnsi="Arial"/>
                <w:sz w:val="16"/>
                <w:szCs w:val="16"/>
                <w:color w:val="auto"/>
              </w:rPr>
              <w:t>Jobs</w:t>
            </w:r>
          </w:p>
        </w:tc>
        <w:tc>
          <w:tcPr>
            <w:tcW w:w="1280" w:type="dxa"/>
            <w:vAlign w:val="bottom"/>
          </w:tcPr>
          <w:p>
            <w:pPr>
              <w:ind w:left="240"/>
              <w:spacing w:after="0"/>
              <w:rPr>
                <w:sz w:val="20"/>
                <w:szCs w:val="20"/>
                <w:color w:val="auto"/>
              </w:rPr>
            </w:pPr>
            <w:r>
              <w:rPr>
                <w:rFonts w:ascii="Arial" w:cs="Arial" w:eastAsia="Arial" w:hAnsi="Arial"/>
                <w:sz w:val="16"/>
                <w:szCs w:val="16"/>
                <w:color w:val="auto"/>
              </w:rPr>
              <w:t>Management</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863" w:lineRule="exact"/>
        <w:rPr>
          <w:sz w:val="20"/>
          <w:szCs w:val="20"/>
          <w:color w:val="auto"/>
        </w:rPr>
      </w:pPr>
    </w:p>
    <w:p>
      <w:pPr>
        <w:sectPr>
          <w:pgSz w:w="11900" w:h="16838" w:orient="portrait"/>
          <w:cols w:equalWidth="0" w:num="2">
            <w:col w:w="2800" w:space="180"/>
            <w:col w:w="8440"/>
          </w:cols>
          <w:pgMar w:left="240" w:top="337" w:right="239" w:bottom="1440" w:gutter="0" w:footer="0" w:header="0"/>
          <w:type w:val="continuous"/>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337"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Banking and Financial Services: </w:t>
      </w:r>
      <w:r>
        <w:rPr>
          <w:rFonts w:ascii="Arial" w:cs="Arial" w:eastAsia="Arial" w:hAnsi="Arial"/>
          <w:sz w:val="18"/>
          <w:szCs w:val="18"/>
          <w:color w:val="auto"/>
        </w:rPr>
        <w:t>We service and process banking operations for a wide variety of financial services products, including residential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lending, retail banking and credit cards, commercial banking and investment management. EXL has assisted global banking and financial institutions with improving their operations by enabling clients to identify regulatory and compliance gaps, develop remediation plans and solutions, and track ongoing performance. EXL uses proprietary business intelligence tools to provide workflow management, transaction monitoring, and management information and reporting to enhance transparency in regulatory and management reporting. We were named a “Major Contender” in Everest Group’s “Banking BPO - Service Provider Landscape with PEAK Matrix™ Assessment 2015” and a leader in the “IDC MarketScape: Worldwide Finance And Accounting BPO Services Vendor Assessment Report.”</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Banking and Financial Services solutions include:</w:t>
      </w:r>
    </w:p>
    <w:p>
      <w:pPr>
        <w:spacing w:after="0" w:line="263" w:lineRule="exact"/>
        <w:rPr>
          <w:sz w:val="20"/>
          <w:szCs w:val="20"/>
          <w:color w:val="auto"/>
        </w:rPr>
      </w:pPr>
    </w:p>
    <w:p>
      <w:pPr>
        <w:ind w:left="1400"/>
        <w:spacing w:after="0"/>
        <w:rPr>
          <w:sz w:val="20"/>
          <w:szCs w:val="20"/>
          <w:color w:val="auto"/>
        </w:rPr>
      </w:pPr>
      <w:r>
        <w:rPr>
          <w:rFonts w:ascii="Arial" w:cs="Arial" w:eastAsia="Arial" w:hAnsi="Arial"/>
          <w:sz w:val="25"/>
          <w:szCs w:val="25"/>
          <w:b w:val="1"/>
          <w:bCs w:val="1"/>
          <w:color w:val="FFFFFF"/>
        </w:rPr>
        <w:t>Banking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-179705</wp:posOffset>
            </wp:positionV>
            <wp:extent cx="5634355" cy="2317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34355" cy="231775"/>
                    </a:xfrm>
                    <a:prstGeom prst="rect">
                      <a:avLst/>
                    </a:prstGeom>
                    <a:noFill/>
                  </pic:spPr>
                </pic:pic>
              </a:graphicData>
            </a:graphic>
          </wp:anchor>
        </w:drawing>
      </w:r>
    </w:p>
    <w:p>
      <w:pPr>
        <w:spacing w:after="0" w:line="60" w:lineRule="exact"/>
        <w:rPr>
          <w:sz w:val="20"/>
          <w:szCs w:val="20"/>
          <w:color w:val="auto"/>
        </w:rPr>
      </w:pPr>
    </w:p>
    <w:p>
      <w:pPr>
        <w:ind w:left="1300"/>
        <w:spacing w:after="0"/>
        <w:tabs>
          <w:tab w:leader="none" w:pos="3020" w:val="left"/>
          <w:tab w:leader="none" w:pos="5300" w:val="left"/>
          <w:tab w:leader="none" w:pos="7720" w:val="left"/>
        </w:tabs>
        <w:rPr>
          <w:sz w:val="20"/>
          <w:szCs w:val="20"/>
          <w:color w:val="auto"/>
        </w:rPr>
      </w:pPr>
      <w:r>
        <w:rPr>
          <w:rFonts w:ascii="Arial" w:cs="Arial" w:eastAsia="Arial" w:hAnsi="Arial"/>
          <w:sz w:val="20"/>
          <w:szCs w:val="20"/>
          <w:b w:val="1"/>
          <w:bCs w:val="1"/>
          <w:color w:val="FAAC16"/>
        </w:rPr>
        <w:t>Mortgage</w:t>
      </w:r>
      <w:r>
        <w:rPr>
          <w:sz w:val="20"/>
          <w:szCs w:val="20"/>
          <w:color w:val="auto"/>
        </w:rPr>
        <w:tab/>
      </w:r>
      <w:r>
        <w:rPr>
          <w:rFonts w:ascii="Arial" w:cs="Arial" w:eastAsia="Arial" w:hAnsi="Arial"/>
          <w:sz w:val="20"/>
          <w:szCs w:val="20"/>
          <w:b w:val="1"/>
          <w:bCs w:val="1"/>
          <w:color w:val="FAAC16"/>
        </w:rPr>
        <w:t>Retail banking</w:t>
      </w:r>
      <w:r>
        <w:rPr>
          <w:sz w:val="20"/>
          <w:szCs w:val="20"/>
          <w:color w:val="auto"/>
        </w:rPr>
        <w:tab/>
      </w:r>
      <w:r>
        <w:rPr>
          <w:rFonts w:ascii="Arial" w:cs="Arial" w:eastAsia="Arial" w:hAnsi="Arial"/>
          <w:sz w:val="20"/>
          <w:szCs w:val="20"/>
          <w:b w:val="1"/>
          <w:bCs w:val="1"/>
          <w:color w:val="FAAC16"/>
        </w:rPr>
        <w:t>Commercial</w:t>
      </w:r>
      <w:r>
        <w:rPr>
          <w:sz w:val="20"/>
          <w:szCs w:val="20"/>
          <w:color w:val="auto"/>
        </w:rPr>
        <w:tab/>
      </w:r>
      <w:r>
        <w:rPr>
          <w:rFonts w:ascii="Arial" w:cs="Arial" w:eastAsia="Arial" w:hAnsi="Arial"/>
          <w:sz w:val="20"/>
          <w:szCs w:val="20"/>
          <w:b w:val="1"/>
          <w:bCs w:val="1"/>
          <w:color w:val="FAAC16"/>
        </w:rPr>
        <w:t>Investment</w:t>
      </w:r>
    </w:p>
    <w:p>
      <w:pPr>
        <w:spacing w:after="0" w:line="10" w:lineRule="exact"/>
        <w:rPr>
          <w:sz w:val="20"/>
          <w:szCs w:val="20"/>
          <w:color w:val="auto"/>
        </w:rPr>
      </w:pPr>
    </w:p>
    <w:p>
      <w:pPr>
        <w:ind w:left="1300"/>
        <w:spacing w:after="0"/>
        <w:tabs>
          <w:tab w:leader="none" w:pos="3020" w:val="left"/>
          <w:tab w:leader="none" w:pos="5300" w:val="left"/>
          <w:tab w:leader="none" w:pos="7720" w:val="left"/>
        </w:tabs>
        <w:rPr>
          <w:sz w:val="20"/>
          <w:szCs w:val="20"/>
          <w:color w:val="auto"/>
        </w:rPr>
      </w:pPr>
      <w:r>
        <w:rPr>
          <w:rFonts w:ascii="Arial" w:cs="Arial" w:eastAsia="Arial" w:hAnsi="Arial"/>
          <w:sz w:val="20"/>
          <w:szCs w:val="20"/>
          <w:b w:val="1"/>
          <w:bCs w:val="1"/>
          <w:color w:val="FAAC16"/>
        </w:rPr>
        <w:t>Processing</w:t>
      </w:r>
      <w:r>
        <w:rPr>
          <w:sz w:val="20"/>
          <w:szCs w:val="20"/>
          <w:color w:val="auto"/>
        </w:rPr>
        <w:tab/>
      </w:r>
      <w:r>
        <w:rPr>
          <w:rFonts w:ascii="Arial" w:cs="Arial" w:eastAsia="Arial" w:hAnsi="Arial"/>
          <w:sz w:val="20"/>
          <w:szCs w:val="20"/>
          <w:b w:val="1"/>
          <w:bCs w:val="1"/>
          <w:color w:val="FAAC16"/>
        </w:rPr>
        <w:t>and credit cards</w:t>
      </w:r>
      <w:r>
        <w:rPr>
          <w:sz w:val="20"/>
          <w:szCs w:val="20"/>
          <w:color w:val="auto"/>
        </w:rPr>
        <w:tab/>
      </w:r>
      <w:r>
        <w:rPr>
          <w:rFonts w:ascii="Arial" w:cs="Arial" w:eastAsia="Arial" w:hAnsi="Arial"/>
          <w:sz w:val="20"/>
          <w:szCs w:val="20"/>
          <w:b w:val="1"/>
          <w:bCs w:val="1"/>
          <w:color w:val="FAAC16"/>
        </w:rPr>
        <w:t>banking</w:t>
      </w:r>
      <w:r>
        <w:rPr>
          <w:sz w:val="20"/>
          <w:szCs w:val="20"/>
          <w:color w:val="auto"/>
        </w:rPr>
        <w:tab/>
      </w:r>
      <w:r>
        <w:rPr>
          <w:rFonts w:ascii="Arial" w:cs="Arial" w:eastAsia="Arial" w:hAnsi="Arial"/>
          <w:sz w:val="19"/>
          <w:szCs w:val="19"/>
          <w:b w:val="1"/>
          <w:bCs w:val="1"/>
          <w:color w:val="FAAC16"/>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147955</wp:posOffset>
            </wp:positionV>
            <wp:extent cx="56343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75" w:lineRule="exact"/>
        <w:rPr>
          <w:sz w:val="20"/>
          <w:szCs w:val="20"/>
          <w:color w:val="auto"/>
        </w:rPr>
      </w:pPr>
    </w:p>
    <w:p>
      <w:pPr>
        <w:ind w:left="1440" w:hanging="135"/>
        <w:spacing w:after="0"/>
        <w:tabs>
          <w:tab w:leader="none" w:pos="1440"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auto"/>
        </w:rPr>
        <w:t>Origination</w:t>
      </w:r>
    </w:p>
    <w:p>
      <w:pPr>
        <w:spacing w:after="0" w:line="113" w:lineRule="exact"/>
        <w:rPr>
          <w:rFonts w:ascii="Arial" w:cs="Arial" w:eastAsia="Arial" w:hAnsi="Arial"/>
          <w:sz w:val="16"/>
          <w:szCs w:val="16"/>
          <w:b w:val="1"/>
          <w:bCs w:val="1"/>
          <w:color w:val="FAAC16"/>
        </w:rPr>
      </w:pPr>
    </w:p>
    <w:p>
      <w:pPr>
        <w:ind w:left="1460" w:right="120" w:hanging="155"/>
        <w:spacing w:after="0" w:line="260" w:lineRule="auto"/>
        <w:tabs>
          <w:tab w:leader="none" w:pos="1437"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auto"/>
        </w:rPr>
        <w:t>Underwriting and Closing</w:t>
      </w:r>
    </w:p>
    <w:p>
      <w:pPr>
        <w:spacing w:after="0" w:line="87" w:lineRule="exact"/>
        <w:rPr>
          <w:rFonts w:ascii="Arial" w:cs="Arial" w:eastAsia="Arial" w:hAnsi="Arial"/>
          <w:sz w:val="16"/>
          <w:szCs w:val="16"/>
          <w:b w:val="1"/>
          <w:bCs w:val="1"/>
          <w:color w:val="FAAC16"/>
        </w:rPr>
      </w:pPr>
    </w:p>
    <w:p>
      <w:pPr>
        <w:ind w:left="1460" w:right="440" w:hanging="155"/>
        <w:spacing w:after="0" w:line="260" w:lineRule="auto"/>
        <w:tabs>
          <w:tab w:leader="none" w:pos="1437"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auto"/>
        </w:rPr>
        <w:t>Post funding servicing</w:t>
      </w:r>
    </w:p>
    <w:p>
      <w:pPr>
        <w:spacing w:after="0" w:line="87" w:lineRule="exact"/>
        <w:rPr>
          <w:rFonts w:ascii="Arial" w:cs="Arial" w:eastAsia="Arial" w:hAnsi="Arial"/>
          <w:sz w:val="16"/>
          <w:szCs w:val="16"/>
          <w:b w:val="1"/>
          <w:bCs w:val="1"/>
          <w:color w:val="FAAC16"/>
        </w:rPr>
      </w:pPr>
    </w:p>
    <w:p>
      <w:pPr>
        <w:ind w:left="1440" w:hanging="135"/>
        <w:spacing w:after="0"/>
        <w:tabs>
          <w:tab w:leader="none" w:pos="1440"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auto"/>
        </w:rPr>
        <w:t>New agent setup</w:t>
      </w:r>
    </w:p>
    <w:p>
      <w:pPr>
        <w:spacing w:after="0" w:line="113" w:lineRule="exact"/>
        <w:rPr>
          <w:rFonts w:ascii="Arial" w:cs="Arial" w:eastAsia="Arial" w:hAnsi="Arial"/>
          <w:sz w:val="16"/>
          <w:szCs w:val="16"/>
          <w:b w:val="1"/>
          <w:bCs w:val="1"/>
          <w:color w:val="FAAC16"/>
        </w:rPr>
      </w:pPr>
    </w:p>
    <w:p>
      <w:pPr>
        <w:ind w:left="1460" w:right="300" w:hanging="155"/>
        <w:spacing w:after="0" w:line="260" w:lineRule="auto"/>
        <w:tabs>
          <w:tab w:leader="none" w:pos="1437"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auto"/>
        </w:rPr>
        <w:t>Escrow administration</w:t>
      </w:r>
    </w:p>
    <w:p>
      <w:pPr>
        <w:spacing w:after="0" w:line="87" w:lineRule="exact"/>
        <w:rPr>
          <w:rFonts w:ascii="Arial" w:cs="Arial" w:eastAsia="Arial" w:hAnsi="Arial"/>
          <w:sz w:val="16"/>
          <w:szCs w:val="16"/>
          <w:b w:val="1"/>
          <w:bCs w:val="1"/>
          <w:color w:val="FAAC16"/>
        </w:rPr>
      </w:pPr>
    </w:p>
    <w:p>
      <w:pPr>
        <w:ind w:left="1440" w:hanging="135"/>
        <w:spacing w:after="0"/>
        <w:tabs>
          <w:tab w:leader="none" w:pos="1440"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auto"/>
        </w:rPr>
        <w:t>Debt management</w:t>
      </w:r>
    </w:p>
    <w:p>
      <w:pPr>
        <w:spacing w:after="0" w:line="113" w:lineRule="exact"/>
        <w:rPr>
          <w:rFonts w:ascii="Arial" w:cs="Arial" w:eastAsia="Arial" w:hAnsi="Arial"/>
          <w:sz w:val="16"/>
          <w:szCs w:val="16"/>
          <w:b w:val="1"/>
          <w:bCs w:val="1"/>
          <w:color w:val="FAAC16"/>
        </w:rPr>
      </w:pPr>
    </w:p>
    <w:p>
      <w:pPr>
        <w:ind w:left="1460" w:right="20" w:hanging="155"/>
        <w:spacing w:after="0" w:line="260" w:lineRule="auto"/>
        <w:tabs>
          <w:tab w:leader="none" w:pos="1437" w:val="left"/>
        </w:tabs>
        <w:numPr>
          <w:ilvl w:val="0"/>
          <w:numId w:val="5"/>
        </w:numPr>
        <w:rPr>
          <w:rFonts w:ascii="Arial" w:cs="Arial" w:eastAsia="Arial" w:hAnsi="Arial"/>
          <w:sz w:val="16"/>
          <w:szCs w:val="16"/>
          <w:b w:val="1"/>
          <w:bCs w:val="1"/>
          <w:color w:val="FAAC16"/>
        </w:rPr>
      </w:pPr>
      <w:r>
        <w:rPr>
          <w:rFonts w:ascii="Arial" w:cs="Arial" w:eastAsia="Arial" w:hAnsi="Arial"/>
          <w:sz w:val="16"/>
          <w:szCs w:val="16"/>
          <w:color w:val="auto"/>
        </w:rPr>
        <w:t>Secondary market services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47" w:hanging="147"/>
        <w:spacing w:after="0"/>
        <w:tabs>
          <w:tab w:leader="none" w:pos="147" w:val="left"/>
        </w:tabs>
        <w:numPr>
          <w:ilvl w:val="0"/>
          <w:numId w:val="6"/>
        </w:numPr>
        <w:rPr>
          <w:rFonts w:ascii="Arial" w:cs="Arial" w:eastAsia="Arial" w:hAnsi="Arial"/>
          <w:sz w:val="16"/>
          <w:szCs w:val="16"/>
          <w:b w:val="1"/>
          <w:bCs w:val="1"/>
          <w:color w:val="FAAC16"/>
        </w:rPr>
      </w:pPr>
      <w:r>
        <w:rPr>
          <w:rFonts w:ascii="Arial" w:cs="Arial" w:eastAsia="Arial" w:hAnsi="Arial"/>
          <w:sz w:val="16"/>
          <w:szCs w:val="16"/>
          <w:color w:val="auto"/>
        </w:rPr>
        <w:t>Customer acquisition</w:t>
      </w:r>
    </w:p>
    <w:p>
      <w:pPr>
        <w:spacing w:after="0" w:line="113" w:lineRule="exact"/>
        <w:rPr>
          <w:rFonts w:ascii="Arial" w:cs="Arial" w:eastAsia="Arial" w:hAnsi="Arial"/>
          <w:sz w:val="16"/>
          <w:szCs w:val="16"/>
          <w:b w:val="1"/>
          <w:bCs w:val="1"/>
          <w:color w:val="FAAC16"/>
        </w:rPr>
      </w:pPr>
    </w:p>
    <w:p>
      <w:pPr>
        <w:ind w:left="147" w:hanging="147"/>
        <w:spacing w:after="0"/>
        <w:tabs>
          <w:tab w:leader="none" w:pos="147" w:val="left"/>
        </w:tabs>
        <w:numPr>
          <w:ilvl w:val="0"/>
          <w:numId w:val="6"/>
        </w:numPr>
        <w:rPr>
          <w:rFonts w:ascii="Arial" w:cs="Arial" w:eastAsia="Arial" w:hAnsi="Arial"/>
          <w:sz w:val="16"/>
          <w:szCs w:val="16"/>
          <w:b w:val="1"/>
          <w:bCs w:val="1"/>
          <w:color w:val="FAAC16"/>
        </w:rPr>
      </w:pPr>
      <w:r>
        <w:rPr>
          <w:rFonts w:ascii="Arial" w:cs="Arial" w:eastAsia="Arial" w:hAnsi="Arial"/>
          <w:sz w:val="16"/>
          <w:szCs w:val="16"/>
          <w:color w:val="auto"/>
        </w:rPr>
        <w:t>New account setup</w:t>
      </w:r>
    </w:p>
    <w:p>
      <w:pPr>
        <w:spacing w:after="0" w:line="113" w:lineRule="exact"/>
        <w:rPr>
          <w:rFonts w:ascii="Arial" w:cs="Arial" w:eastAsia="Arial" w:hAnsi="Arial"/>
          <w:sz w:val="16"/>
          <w:szCs w:val="16"/>
          <w:b w:val="1"/>
          <w:bCs w:val="1"/>
          <w:color w:val="FAAC16"/>
        </w:rPr>
      </w:pPr>
    </w:p>
    <w:p>
      <w:pPr>
        <w:ind w:left="127" w:hanging="127"/>
        <w:spacing w:after="0"/>
        <w:tabs>
          <w:tab w:leader="none" w:pos="127" w:val="left"/>
        </w:tabs>
        <w:numPr>
          <w:ilvl w:val="0"/>
          <w:numId w:val="6"/>
        </w:numPr>
        <w:rPr>
          <w:rFonts w:ascii="Arial" w:cs="Arial" w:eastAsia="Arial" w:hAnsi="Arial"/>
          <w:sz w:val="16"/>
          <w:szCs w:val="16"/>
          <w:b w:val="1"/>
          <w:bCs w:val="1"/>
          <w:color w:val="FAAC16"/>
        </w:rPr>
      </w:pPr>
      <w:r>
        <w:rPr>
          <w:rFonts w:ascii="Arial" w:cs="Arial" w:eastAsia="Arial" w:hAnsi="Arial"/>
          <w:sz w:val="16"/>
          <w:szCs w:val="16"/>
          <w:color w:val="auto"/>
        </w:rPr>
        <w:t>Transaction processing</w:t>
      </w:r>
    </w:p>
    <w:p>
      <w:pPr>
        <w:spacing w:after="0" w:line="113" w:lineRule="exact"/>
        <w:rPr>
          <w:rFonts w:ascii="Arial" w:cs="Arial" w:eastAsia="Arial" w:hAnsi="Arial"/>
          <w:sz w:val="16"/>
          <w:szCs w:val="16"/>
          <w:b w:val="1"/>
          <w:bCs w:val="1"/>
          <w:color w:val="FAAC16"/>
        </w:rPr>
      </w:pPr>
    </w:p>
    <w:p>
      <w:pPr>
        <w:ind w:left="147" w:hanging="147"/>
        <w:spacing w:after="0"/>
        <w:tabs>
          <w:tab w:leader="none" w:pos="147" w:val="left"/>
        </w:tabs>
        <w:numPr>
          <w:ilvl w:val="0"/>
          <w:numId w:val="6"/>
        </w:numPr>
        <w:rPr>
          <w:rFonts w:ascii="Arial" w:cs="Arial" w:eastAsia="Arial" w:hAnsi="Arial"/>
          <w:sz w:val="16"/>
          <w:szCs w:val="16"/>
          <w:b w:val="1"/>
          <w:bCs w:val="1"/>
          <w:color w:val="FAAC16"/>
        </w:rPr>
      </w:pPr>
      <w:r>
        <w:rPr>
          <w:rFonts w:ascii="Arial" w:cs="Arial" w:eastAsia="Arial" w:hAnsi="Arial"/>
          <w:sz w:val="16"/>
          <w:szCs w:val="16"/>
          <w:color w:val="auto"/>
        </w:rPr>
        <w:t>Underwriting support</w:t>
      </w:r>
    </w:p>
    <w:p>
      <w:pPr>
        <w:spacing w:after="0" w:line="113" w:lineRule="exact"/>
        <w:rPr>
          <w:rFonts w:ascii="Arial" w:cs="Arial" w:eastAsia="Arial" w:hAnsi="Arial"/>
          <w:sz w:val="16"/>
          <w:szCs w:val="16"/>
          <w:b w:val="1"/>
          <w:bCs w:val="1"/>
          <w:color w:val="FAAC16"/>
        </w:rPr>
      </w:pPr>
    </w:p>
    <w:p>
      <w:pPr>
        <w:ind w:left="147" w:hanging="147"/>
        <w:spacing w:after="0"/>
        <w:tabs>
          <w:tab w:leader="none" w:pos="147" w:val="left"/>
        </w:tabs>
        <w:numPr>
          <w:ilvl w:val="0"/>
          <w:numId w:val="6"/>
        </w:numPr>
        <w:rPr>
          <w:rFonts w:ascii="Arial" w:cs="Arial" w:eastAsia="Arial" w:hAnsi="Arial"/>
          <w:sz w:val="16"/>
          <w:szCs w:val="16"/>
          <w:b w:val="1"/>
          <w:bCs w:val="1"/>
          <w:color w:val="FAAC16"/>
        </w:rPr>
      </w:pPr>
      <w:r>
        <w:rPr>
          <w:rFonts w:ascii="Arial" w:cs="Arial" w:eastAsia="Arial" w:hAnsi="Arial"/>
          <w:sz w:val="16"/>
          <w:szCs w:val="16"/>
          <w:color w:val="auto"/>
        </w:rPr>
        <w:t>Credit management</w:t>
      </w:r>
    </w:p>
    <w:p>
      <w:pPr>
        <w:spacing w:after="0" w:line="113" w:lineRule="exact"/>
        <w:rPr>
          <w:rFonts w:ascii="Arial" w:cs="Arial" w:eastAsia="Arial" w:hAnsi="Arial"/>
          <w:sz w:val="16"/>
          <w:szCs w:val="16"/>
          <w:b w:val="1"/>
          <w:bCs w:val="1"/>
          <w:color w:val="FAAC16"/>
        </w:rPr>
      </w:pPr>
    </w:p>
    <w:p>
      <w:pPr>
        <w:ind w:left="147" w:hanging="147"/>
        <w:spacing w:after="0"/>
        <w:tabs>
          <w:tab w:leader="none" w:pos="147" w:val="left"/>
        </w:tabs>
        <w:numPr>
          <w:ilvl w:val="0"/>
          <w:numId w:val="6"/>
        </w:numPr>
        <w:rPr>
          <w:rFonts w:ascii="Arial" w:cs="Arial" w:eastAsia="Arial" w:hAnsi="Arial"/>
          <w:sz w:val="16"/>
          <w:szCs w:val="16"/>
          <w:b w:val="1"/>
          <w:bCs w:val="1"/>
          <w:color w:val="FAAC16"/>
        </w:rPr>
      </w:pPr>
      <w:r>
        <w:rPr>
          <w:rFonts w:ascii="Arial" w:cs="Arial" w:eastAsia="Arial" w:hAnsi="Arial"/>
          <w:sz w:val="16"/>
          <w:szCs w:val="16"/>
          <w:color w:val="auto"/>
        </w:rPr>
        <w:t>Fraud management</w:t>
      </w:r>
    </w:p>
    <w:p>
      <w:pPr>
        <w:spacing w:after="0" w:line="113" w:lineRule="exact"/>
        <w:rPr>
          <w:rFonts w:ascii="Arial" w:cs="Arial" w:eastAsia="Arial" w:hAnsi="Arial"/>
          <w:sz w:val="16"/>
          <w:szCs w:val="16"/>
          <w:b w:val="1"/>
          <w:bCs w:val="1"/>
          <w:color w:val="FAAC16"/>
        </w:rPr>
      </w:pPr>
    </w:p>
    <w:p>
      <w:pPr>
        <w:ind w:left="147" w:hanging="147"/>
        <w:spacing w:after="0"/>
        <w:tabs>
          <w:tab w:leader="none" w:pos="147" w:val="left"/>
        </w:tabs>
        <w:numPr>
          <w:ilvl w:val="0"/>
          <w:numId w:val="6"/>
        </w:numPr>
        <w:rPr>
          <w:rFonts w:ascii="Arial" w:cs="Arial" w:eastAsia="Arial" w:hAnsi="Arial"/>
          <w:sz w:val="16"/>
          <w:szCs w:val="16"/>
          <w:b w:val="1"/>
          <w:bCs w:val="1"/>
          <w:color w:val="FAAC16"/>
        </w:rPr>
      </w:pPr>
      <w:r>
        <w:rPr>
          <w:rFonts w:ascii="Arial" w:cs="Arial" w:eastAsia="Arial" w:hAnsi="Arial"/>
          <w:sz w:val="16"/>
          <w:szCs w:val="16"/>
          <w:color w:val="auto"/>
        </w:rPr>
        <w:t>Marketing analytics</w:t>
      </w:r>
    </w:p>
    <w:p>
      <w:pPr>
        <w:spacing w:after="0" w:line="113" w:lineRule="exact"/>
        <w:rPr>
          <w:rFonts w:ascii="Arial" w:cs="Arial" w:eastAsia="Arial" w:hAnsi="Arial"/>
          <w:sz w:val="16"/>
          <w:szCs w:val="16"/>
          <w:b w:val="1"/>
          <w:bCs w:val="1"/>
          <w:color w:val="FAAC16"/>
        </w:rPr>
      </w:pPr>
    </w:p>
    <w:p>
      <w:pPr>
        <w:ind w:left="147" w:hanging="147"/>
        <w:spacing w:after="0"/>
        <w:tabs>
          <w:tab w:leader="none" w:pos="147" w:val="left"/>
        </w:tabs>
        <w:numPr>
          <w:ilvl w:val="0"/>
          <w:numId w:val="6"/>
        </w:numPr>
        <w:rPr>
          <w:rFonts w:ascii="Arial" w:cs="Arial" w:eastAsia="Arial" w:hAnsi="Arial"/>
          <w:sz w:val="16"/>
          <w:szCs w:val="16"/>
          <w:b w:val="1"/>
          <w:bCs w:val="1"/>
          <w:color w:val="FAAC16"/>
        </w:rPr>
      </w:pPr>
      <w:r>
        <w:rPr>
          <w:rFonts w:ascii="Arial" w:cs="Arial" w:eastAsia="Arial" w:hAnsi="Arial"/>
          <w:sz w:val="16"/>
          <w:szCs w:val="16"/>
          <w:color w:val="auto"/>
        </w:rPr>
        <w:t>Model validation</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240" w:type="dxa"/>
            <w:vAlign w:val="bottom"/>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Customer acquisition and</w:t>
            </w:r>
          </w:p>
        </w:tc>
        <w:tc>
          <w:tcPr>
            <w:tcW w:w="2500" w:type="dxa"/>
            <w:vAlign w:val="bottom"/>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Cash management and</w:t>
            </w:r>
          </w:p>
        </w:tc>
        <w:tc>
          <w:tcPr>
            <w:tcW w:w="0" w:type="dxa"/>
            <w:vAlign w:val="bottom"/>
          </w:tcPr>
          <w:p>
            <w:pPr>
              <w:spacing w:after="0"/>
              <w:rPr>
                <w:sz w:val="1"/>
                <w:szCs w:val="1"/>
                <w:color w:val="auto"/>
              </w:rPr>
            </w:pPr>
          </w:p>
        </w:tc>
      </w:tr>
      <w:tr>
        <w:trPr>
          <w:trHeight w:val="195"/>
        </w:trPr>
        <w:tc>
          <w:tcPr>
            <w:tcW w:w="2240" w:type="dxa"/>
            <w:vAlign w:val="bottom"/>
          </w:tcPr>
          <w:p>
            <w:pPr>
              <w:ind w:left="160"/>
              <w:spacing w:after="0"/>
              <w:rPr>
                <w:sz w:val="20"/>
                <w:szCs w:val="20"/>
                <w:color w:val="auto"/>
              </w:rPr>
            </w:pPr>
            <w:r>
              <w:rPr>
                <w:rFonts w:ascii="Arial" w:cs="Arial" w:eastAsia="Arial" w:hAnsi="Arial"/>
                <w:sz w:val="16"/>
                <w:szCs w:val="16"/>
                <w:color w:val="auto"/>
              </w:rPr>
              <w:t>loan origination</w:t>
            </w:r>
          </w:p>
        </w:tc>
        <w:tc>
          <w:tcPr>
            <w:tcW w:w="2500" w:type="dxa"/>
            <w:vAlign w:val="bottom"/>
          </w:tcPr>
          <w:p>
            <w:pPr>
              <w:ind w:left="340"/>
              <w:spacing w:after="0"/>
              <w:rPr>
                <w:sz w:val="20"/>
                <w:szCs w:val="20"/>
                <w:color w:val="auto"/>
              </w:rPr>
            </w:pPr>
            <w:r>
              <w:rPr>
                <w:rFonts w:ascii="Arial" w:cs="Arial" w:eastAsia="Arial" w:hAnsi="Arial"/>
                <w:sz w:val="16"/>
                <w:szCs w:val="16"/>
                <w:color w:val="auto"/>
              </w:rPr>
              <w:t>treasury</w:t>
            </w:r>
          </w:p>
        </w:tc>
        <w:tc>
          <w:tcPr>
            <w:tcW w:w="0" w:type="dxa"/>
            <w:vAlign w:val="bottom"/>
          </w:tcPr>
          <w:p>
            <w:pPr>
              <w:spacing w:after="0"/>
              <w:rPr>
                <w:sz w:val="1"/>
                <w:szCs w:val="1"/>
                <w:color w:val="auto"/>
              </w:rPr>
            </w:pPr>
          </w:p>
        </w:tc>
      </w:tr>
      <w:tr>
        <w:trPr>
          <w:trHeight w:val="292"/>
        </w:trPr>
        <w:tc>
          <w:tcPr>
            <w:tcW w:w="2240" w:type="dxa"/>
            <w:vAlign w:val="bottom"/>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Application processing and</w:t>
            </w:r>
          </w:p>
        </w:tc>
        <w:tc>
          <w:tcPr>
            <w:tcW w:w="2500" w:type="dxa"/>
            <w:vAlign w:val="bottom"/>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Portfolio reconciliation</w:t>
            </w:r>
          </w:p>
        </w:tc>
        <w:tc>
          <w:tcPr>
            <w:tcW w:w="0" w:type="dxa"/>
            <w:vAlign w:val="bottom"/>
          </w:tcPr>
          <w:p>
            <w:pPr>
              <w:spacing w:after="0"/>
              <w:rPr>
                <w:sz w:val="1"/>
                <w:szCs w:val="1"/>
                <w:color w:val="auto"/>
              </w:rPr>
            </w:pPr>
          </w:p>
        </w:tc>
      </w:tr>
      <w:tr>
        <w:trPr>
          <w:trHeight w:val="195"/>
        </w:trPr>
        <w:tc>
          <w:tcPr>
            <w:tcW w:w="2240" w:type="dxa"/>
            <w:vAlign w:val="bottom"/>
          </w:tcPr>
          <w:p>
            <w:pPr>
              <w:ind w:left="160"/>
              <w:spacing w:after="0"/>
              <w:rPr>
                <w:sz w:val="20"/>
                <w:szCs w:val="20"/>
                <w:color w:val="auto"/>
              </w:rPr>
            </w:pPr>
            <w:r>
              <w:rPr>
                <w:rFonts w:ascii="Arial" w:cs="Arial" w:eastAsia="Arial" w:hAnsi="Arial"/>
                <w:sz w:val="16"/>
                <w:szCs w:val="16"/>
                <w:color w:val="auto"/>
              </w:rPr>
              <w:t>underwriting</w:t>
            </w:r>
          </w:p>
        </w:tc>
        <w:tc>
          <w:tcPr>
            <w:tcW w:w="2500" w:type="dxa"/>
            <w:vAlign w:val="bottom"/>
            <w:vMerge w:val="restart"/>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Fund accounting</w:t>
            </w:r>
          </w:p>
        </w:tc>
        <w:tc>
          <w:tcPr>
            <w:tcW w:w="0" w:type="dxa"/>
            <w:vAlign w:val="bottom"/>
          </w:tcPr>
          <w:p>
            <w:pPr>
              <w:spacing w:after="0"/>
              <w:rPr>
                <w:sz w:val="1"/>
                <w:szCs w:val="1"/>
                <w:color w:val="auto"/>
              </w:rPr>
            </w:pPr>
          </w:p>
        </w:tc>
      </w:tr>
      <w:tr>
        <w:trPr>
          <w:trHeight w:val="108"/>
        </w:trPr>
        <w:tc>
          <w:tcPr>
            <w:tcW w:w="22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Customer and account</w:t>
            </w: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240" w:type="dxa"/>
            <w:vAlign w:val="bottom"/>
            <w:vMerge w:val="continue"/>
          </w:tcPr>
          <w:p>
            <w:pPr>
              <w:spacing w:after="0"/>
              <w:rPr>
                <w:sz w:val="15"/>
                <w:szCs w:val="15"/>
                <w:color w:val="auto"/>
              </w:rPr>
            </w:pPr>
          </w:p>
        </w:tc>
        <w:tc>
          <w:tcPr>
            <w:tcW w:w="2500" w:type="dxa"/>
            <w:vAlign w:val="bottom"/>
            <w:vMerge w:val="restart"/>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Investor reporting</w:t>
            </w:r>
          </w:p>
        </w:tc>
        <w:tc>
          <w:tcPr>
            <w:tcW w:w="0" w:type="dxa"/>
            <w:vAlign w:val="bottom"/>
          </w:tcPr>
          <w:p>
            <w:pPr>
              <w:spacing w:after="0"/>
              <w:rPr>
                <w:sz w:val="1"/>
                <w:szCs w:val="1"/>
                <w:color w:val="auto"/>
              </w:rPr>
            </w:pPr>
          </w:p>
        </w:tc>
      </w:tr>
      <w:tr>
        <w:trPr>
          <w:trHeight w:val="114"/>
        </w:trPr>
        <w:tc>
          <w:tcPr>
            <w:tcW w:w="2240" w:type="dxa"/>
            <w:vAlign w:val="bottom"/>
            <w:vMerge w:val="restart"/>
          </w:tcPr>
          <w:p>
            <w:pPr>
              <w:ind w:left="160"/>
              <w:spacing w:after="0"/>
              <w:rPr>
                <w:sz w:val="20"/>
                <w:szCs w:val="20"/>
                <w:color w:val="auto"/>
              </w:rPr>
            </w:pPr>
            <w:r>
              <w:rPr>
                <w:rFonts w:ascii="Arial" w:cs="Arial" w:eastAsia="Arial" w:hAnsi="Arial"/>
                <w:sz w:val="16"/>
                <w:szCs w:val="16"/>
                <w:color w:val="auto"/>
              </w:rPr>
              <w:t>management</w:t>
            </w: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Electronic document</w:t>
            </w:r>
          </w:p>
        </w:tc>
        <w:tc>
          <w:tcPr>
            <w:tcW w:w="2500" w:type="dxa"/>
            <w:vAlign w:val="bottom"/>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Portfolio performance analysis</w:t>
            </w:r>
          </w:p>
        </w:tc>
        <w:tc>
          <w:tcPr>
            <w:tcW w:w="0" w:type="dxa"/>
            <w:vAlign w:val="bottom"/>
          </w:tcPr>
          <w:p>
            <w:pPr>
              <w:spacing w:after="0"/>
              <w:rPr>
                <w:sz w:val="1"/>
                <w:szCs w:val="1"/>
                <w:color w:val="auto"/>
              </w:rPr>
            </w:pPr>
          </w:p>
        </w:tc>
      </w:tr>
      <w:tr>
        <w:trPr>
          <w:trHeight w:val="81"/>
        </w:trPr>
        <w:tc>
          <w:tcPr>
            <w:tcW w:w="2240" w:type="dxa"/>
            <w:vAlign w:val="bottom"/>
            <w:vMerge w:val="continue"/>
          </w:tcPr>
          <w:p>
            <w:pPr>
              <w:spacing w:after="0"/>
              <w:rPr>
                <w:sz w:val="7"/>
                <w:szCs w:val="7"/>
                <w:color w:val="auto"/>
              </w:rPr>
            </w:pPr>
          </w:p>
        </w:tc>
        <w:tc>
          <w:tcPr>
            <w:tcW w:w="2500" w:type="dxa"/>
            <w:vAlign w:val="bottom"/>
            <w:vMerge w:val="restart"/>
          </w:tcPr>
          <w:p>
            <w:pPr>
              <w:ind w:left="340"/>
              <w:spacing w:after="0"/>
              <w:rPr>
                <w:sz w:val="20"/>
                <w:szCs w:val="20"/>
                <w:color w:val="auto"/>
              </w:rPr>
            </w:pPr>
            <w:r>
              <w:rPr>
                <w:rFonts w:ascii="Arial" w:cs="Arial" w:eastAsia="Arial" w:hAnsi="Arial"/>
                <w:sz w:val="16"/>
                <w:szCs w:val="16"/>
                <w:color w:val="auto"/>
              </w:rPr>
              <w:t>and reporting</w:t>
            </w:r>
          </w:p>
        </w:tc>
        <w:tc>
          <w:tcPr>
            <w:tcW w:w="0" w:type="dxa"/>
            <w:vAlign w:val="bottom"/>
          </w:tcPr>
          <w:p>
            <w:pPr>
              <w:spacing w:after="0"/>
              <w:rPr>
                <w:sz w:val="1"/>
                <w:szCs w:val="1"/>
                <w:color w:val="auto"/>
              </w:rPr>
            </w:pPr>
          </w:p>
        </w:tc>
      </w:tr>
      <w:tr>
        <w:trPr>
          <w:trHeight w:val="114"/>
        </w:trPr>
        <w:tc>
          <w:tcPr>
            <w:tcW w:w="2240" w:type="dxa"/>
            <w:vAlign w:val="bottom"/>
            <w:vMerge w:val="restart"/>
          </w:tcPr>
          <w:p>
            <w:pPr>
              <w:ind w:left="160"/>
              <w:spacing w:after="0"/>
              <w:rPr>
                <w:sz w:val="20"/>
                <w:szCs w:val="20"/>
                <w:color w:val="auto"/>
              </w:rPr>
            </w:pPr>
            <w:r>
              <w:rPr>
                <w:rFonts w:ascii="Arial" w:cs="Arial" w:eastAsia="Arial" w:hAnsi="Arial"/>
                <w:sz w:val="16"/>
                <w:szCs w:val="16"/>
                <w:color w:val="auto"/>
              </w:rPr>
              <w:t>management</w:t>
            </w:r>
          </w:p>
        </w:tc>
        <w:tc>
          <w:tcPr>
            <w:tcW w:w="2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24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18"/>
                <w:szCs w:val="18"/>
                <w:color w:val="auto"/>
              </w:rPr>
            </w:pPr>
          </w:p>
        </w:tc>
        <w:tc>
          <w:tcPr>
            <w:tcW w:w="2500" w:type="dxa"/>
            <w:vAlign w:val="bottom"/>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Risk management</w:t>
            </w:r>
          </w:p>
        </w:tc>
        <w:tc>
          <w:tcPr>
            <w:tcW w:w="0" w:type="dxa"/>
            <w:vAlign w:val="bottom"/>
          </w:tcPr>
          <w:p>
            <w:pPr>
              <w:spacing w:after="0"/>
              <w:rPr>
                <w:sz w:val="1"/>
                <w:szCs w:val="1"/>
                <w:color w:val="auto"/>
              </w:rPr>
            </w:pPr>
          </w:p>
        </w:tc>
      </w:tr>
    </w:tbl>
    <w:p>
      <w:pPr>
        <w:spacing w:after="0" w:line="890" w:lineRule="exact"/>
        <w:rPr>
          <w:sz w:val="20"/>
          <w:szCs w:val="20"/>
          <w:color w:val="auto"/>
        </w:rPr>
      </w:pPr>
    </w:p>
    <w:p>
      <w:pPr>
        <w:sectPr>
          <w:pgSz w:w="11900" w:h="16838" w:orient="portrait"/>
          <w:cols w:equalWidth="0" w:num="3">
            <w:col w:w="2780" w:space="253"/>
            <w:col w:w="1807" w:space="480"/>
            <w:col w:w="6100"/>
          </w:cols>
          <w:pgMar w:left="240" w:top="337" w:right="239" w:bottom="1440" w:gutter="0" w:footer="0" w:header="0"/>
          <w:type w:val="continuous"/>
        </w:sectPr>
      </w:pPr>
    </w:p>
    <w:p>
      <w:pPr>
        <w:spacing w:after="0" w:line="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i w:val="1"/>
          <w:iCs w:val="1"/>
          <w:color w:val="auto"/>
        </w:rPr>
        <w:t>Travel, Transportation and Logistics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manage and seek to improve operational and financial functions for clients in the travel, transportation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logistics industries. We provide front-, middle- and back-office services to companies in the corporate and leisure travel management industry. In addition, we have expertise in processing transportation and logistics transactions, including supply chain management, warehousing, transportation management and international logistics services.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37"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Travel, Transportation and Logistics solutions include:</w:t>
      </w:r>
    </w:p>
    <w:p>
      <w:pPr>
        <w:spacing w:after="0" w:line="263" w:lineRule="exact"/>
        <w:rPr>
          <w:sz w:val="20"/>
          <w:szCs w:val="20"/>
          <w:color w:val="auto"/>
        </w:rPr>
      </w:pPr>
    </w:p>
    <w:p>
      <w:pPr>
        <w:jc w:val="center"/>
        <w:ind w:right="4640"/>
        <w:spacing w:after="0"/>
        <w:rPr>
          <w:sz w:val="20"/>
          <w:szCs w:val="20"/>
          <w:color w:val="auto"/>
        </w:rPr>
      </w:pPr>
      <w:r>
        <w:rPr>
          <w:rFonts w:ascii="Arial" w:cs="Arial" w:eastAsia="Arial" w:hAnsi="Arial"/>
          <w:sz w:val="25"/>
          <w:szCs w:val="25"/>
          <w:b w:val="1"/>
          <w:bCs w:val="1"/>
          <w:color w:val="FFFFFF"/>
        </w:rPr>
        <w:t>Travel, transportation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-179705</wp:posOffset>
            </wp:positionV>
            <wp:extent cx="268414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84145" cy="411480"/>
                    </a:xfrm>
                    <a:prstGeom prst="rect">
                      <a:avLst/>
                    </a:prstGeom>
                    <a:noFill/>
                  </pic:spPr>
                </pic:pic>
              </a:graphicData>
            </a:graphic>
          </wp:anchor>
        </w:drawing>
      </w:r>
    </w:p>
    <w:p>
      <w:pPr>
        <w:spacing w:after="0" w:line="22" w:lineRule="exact"/>
        <w:rPr>
          <w:sz w:val="20"/>
          <w:szCs w:val="20"/>
          <w:color w:val="auto"/>
        </w:rPr>
      </w:pPr>
    </w:p>
    <w:p>
      <w:pPr>
        <w:jc w:val="center"/>
        <w:ind w:right="4600"/>
        <w:spacing w:after="0"/>
        <w:rPr>
          <w:sz w:val="20"/>
          <w:szCs w:val="20"/>
          <w:color w:val="auto"/>
        </w:rPr>
      </w:pPr>
      <w:r>
        <w:rPr>
          <w:rFonts w:ascii="Arial" w:cs="Arial" w:eastAsia="Arial" w:hAnsi="Arial"/>
          <w:sz w:val="25"/>
          <w:szCs w:val="25"/>
          <w:b w:val="1"/>
          <w:bCs w:val="1"/>
          <w:color w:val="FFFFFF"/>
        </w:rPr>
        <w:t>logistics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22225</wp:posOffset>
            </wp:positionV>
            <wp:extent cx="5625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spacing w:after="0" w:line="14"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r>
              <w:rPr>
                <w:rFonts w:ascii="Arial" w:cs="Arial" w:eastAsia="Arial" w:hAnsi="Arial"/>
                <w:sz w:val="20"/>
                <w:szCs w:val="20"/>
                <w:b w:val="1"/>
                <w:bCs w:val="1"/>
                <w:color w:val="FAAC16"/>
              </w:rPr>
              <w:t>Travel</w:t>
            </w:r>
          </w:p>
        </w:tc>
        <w:tc>
          <w:tcPr>
            <w:tcW w:w="1300" w:type="dxa"/>
            <w:vAlign w:val="bottom"/>
          </w:tcPr>
          <w:p>
            <w:pPr>
              <w:ind w:left="160"/>
              <w:spacing w:after="0"/>
              <w:rPr>
                <w:sz w:val="20"/>
                <w:szCs w:val="20"/>
                <w:color w:val="auto"/>
              </w:rPr>
            </w:pPr>
            <w:r>
              <w:rPr>
                <w:rFonts w:ascii="Arial" w:cs="Arial" w:eastAsia="Arial" w:hAnsi="Arial"/>
                <w:sz w:val="20"/>
                <w:szCs w:val="20"/>
                <w:b w:val="1"/>
                <w:bCs w:val="1"/>
                <w:color w:val="FAAC16"/>
              </w:rPr>
              <w:t>Client and</w:t>
            </w:r>
          </w:p>
        </w:tc>
        <w:tc>
          <w:tcPr>
            <w:tcW w:w="1680" w:type="dxa"/>
            <w:vAlign w:val="bottom"/>
          </w:tcPr>
          <w:p>
            <w:pPr>
              <w:ind w:left="140"/>
              <w:spacing w:after="0"/>
              <w:rPr>
                <w:sz w:val="20"/>
                <w:szCs w:val="20"/>
                <w:color w:val="auto"/>
              </w:rPr>
            </w:pPr>
            <w:r>
              <w:rPr>
                <w:rFonts w:ascii="Arial" w:cs="Arial" w:eastAsia="Arial" w:hAnsi="Arial"/>
                <w:sz w:val="20"/>
                <w:szCs w:val="20"/>
                <w:b w:val="1"/>
                <w:bCs w:val="1"/>
                <w:color w:val="FAAC16"/>
              </w:rPr>
              <w:t>Travel</w:t>
            </w:r>
          </w:p>
        </w:tc>
        <w:tc>
          <w:tcPr>
            <w:tcW w:w="1420" w:type="dxa"/>
            <w:vAlign w:val="bottom"/>
          </w:tcPr>
          <w:p>
            <w:pPr>
              <w:ind w:left="260"/>
              <w:spacing w:after="0"/>
              <w:rPr>
                <w:sz w:val="20"/>
                <w:szCs w:val="20"/>
                <w:color w:val="auto"/>
              </w:rPr>
            </w:pPr>
            <w:r>
              <w:rPr>
                <w:rFonts w:ascii="Arial" w:cs="Arial" w:eastAsia="Arial" w:hAnsi="Arial"/>
                <w:sz w:val="20"/>
                <w:szCs w:val="20"/>
                <w:b w:val="1"/>
                <w:bCs w:val="1"/>
                <w:color w:val="FAAC16"/>
              </w:rPr>
              <w:t>Customer</w:t>
            </w:r>
          </w:p>
        </w:tc>
        <w:tc>
          <w:tcPr>
            <w:tcW w:w="1860" w:type="dxa"/>
            <w:vAlign w:val="bottom"/>
          </w:tcPr>
          <w:p>
            <w:pPr>
              <w:ind w:left="220"/>
              <w:spacing w:after="0"/>
              <w:rPr>
                <w:sz w:val="20"/>
                <w:szCs w:val="20"/>
                <w:color w:val="auto"/>
              </w:rPr>
            </w:pPr>
            <w:r>
              <w:rPr>
                <w:rFonts w:ascii="Arial" w:cs="Arial" w:eastAsia="Arial" w:hAnsi="Arial"/>
                <w:sz w:val="20"/>
                <w:szCs w:val="20"/>
                <w:b w:val="1"/>
                <w:bCs w:val="1"/>
                <w:color w:val="FAAC16"/>
              </w:rPr>
              <w:t>Transportation</w:t>
            </w:r>
          </w:p>
        </w:tc>
        <w:tc>
          <w:tcPr>
            <w:tcW w:w="1440" w:type="dxa"/>
            <w:vAlign w:val="bottom"/>
          </w:tcPr>
          <w:p>
            <w:pPr>
              <w:ind w:left="220"/>
              <w:spacing w:after="0"/>
              <w:rPr>
                <w:sz w:val="20"/>
                <w:szCs w:val="20"/>
                <w:color w:val="auto"/>
              </w:rPr>
            </w:pPr>
            <w:r>
              <w:rPr>
                <w:rFonts w:ascii="Arial" w:cs="Arial" w:eastAsia="Arial" w:hAnsi="Arial"/>
                <w:sz w:val="20"/>
                <w:szCs w:val="20"/>
                <w:b w:val="1"/>
                <w:bCs w:val="1"/>
                <w:color w:val="FAAC16"/>
              </w:rPr>
              <w:t>Revenue</w:t>
            </w:r>
          </w:p>
        </w:tc>
      </w:tr>
      <w:tr>
        <w:trPr>
          <w:trHeight w:val="216"/>
        </w:trPr>
        <w:tc>
          <w:tcPr>
            <w:tcW w:w="1080" w:type="dxa"/>
            <w:vAlign w:val="bottom"/>
          </w:tcPr>
          <w:p>
            <w:pPr>
              <w:spacing w:after="0" w:line="216" w:lineRule="exact"/>
              <w:rPr>
                <w:sz w:val="20"/>
                <w:szCs w:val="20"/>
                <w:color w:val="auto"/>
              </w:rPr>
            </w:pPr>
            <w:r>
              <w:rPr>
                <w:rFonts w:ascii="Arial" w:cs="Arial" w:eastAsia="Arial" w:hAnsi="Arial"/>
                <w:sz w:val="20"/>
                <w:szCs w:val="20"/>
                <w:b w:val="1"/>
                <w:bCs w:val="1"/>
                <w:color w:val="FAAC16"/>
              </w:rPr>
              <w:t>fulfillment</w:t>
            </w:r>
          </w:p>
        </w:tc>
        <w:tc>
          <w:tcPr>
            <w:tcW w:w="1300" w:type="dxa"/>
            <w:vAlign w:val="bottom"/>
          </w:tcPr>
          <w:p>
            <w:pPr>
              <w:ind w:left="160"/>
              <w:spacing w:after="0" w:line="216" w:lineRule="exact"/>
              <w:rPr>
                <w:sz w:val="20"/>
                <w:szCs w:val="20"/>
                <w:color w:val="auto"/>
              </w:rPr>
            </w:pPr>
            <w:r>
              <w:rPr>
                <w:rFonts w:ascii="Arial" w:cs="Arial" w:eastAsia="Arial" w:hAnsi="Arial"/>
                <w:sz w:val="20"/>
                <w:szCs w:val="20"/>
                <w:b w:val="1"/>
                <w:bCs w:val="1"/>
                <w:color w:val="FAAC16"/>
              </w:rPr>
              <w:t>supplier</w:t>
            </w:r>
          </w:p>
        </w:tc>
        <w:tc>
          <w:tcPr>
            <w:tcW w:w="1680" w:type="dxa"/>
            <w:vAlign w:val="bottom"/>
          </w:tcPr>
          <w:p>
            <w:pPr>
              <w:ind w:left="140"/>
              <w:spacing w:after="0" w:line="216" w:lineRule="exact"/>
              <w:rPr>
                <w:sz w:val="20"/>
                <w:szCs w:val="20"/>
                <w:color w:val="auto"/>
              </w:rPr>
            </w:pPr>
            <w:r>
              <w:rPr>
                <w:rFonts w:ascii="Arial" w:cs="Arial" w:eastAsia="Arial" w:hAnsi="Arial"/>
                <w:sz w:val="20"/>
                <w:szCs w:val="20"/>
                <w:b w:val="1"/>
                <w:bCs w:val="1"/>
                <w:color w:val="FAAC16"/>
              </w:rPr>
              <w:t>accounting</w:t>
            </w:r>
          </w:p>
        </w:tc>
        <w:tc>
          <w:tcPr>
            <w:tcW w:w="1420" w:type="dxa"/>
            <w:vAlign w:val="bottom"/>
          </w:tcPr>
          <w:p>
            <w:pPr>
              <w:ind w:left="260"/>
              <w:spacing w:after="0" w:line="216" w:lineRule="exact"/>
              <w:rPr>
                <w:sz w:val="20"/>
                <w:szCs w:val="20"/>
                <w:color w:val="auto"/>
              </w:rPr>
            </w:pPr>
            <w:r>
              <w:rPr>
                <w:rFonts w:ascii="Arial" w:cs="Arial" w:eastAsia="Arial" w:hAnsi="Arial"/>
                <w:sz w:val="20"/>
                <w:szCs w:val="20"/>
                <w:b w:val="1"/>
                <w:bCs w:val="1"/>
                <w:color w:val="FAAC16"/>
              </w:rPr>
              <w:t>service</w:t>
            </w:r>
          </w:p>
        </w:tc>
        <w:tc>
          <w:tcPr>
            <w:tcW w:w="1860" w:type="dxa"/>
            <w:vAlign w:val="bottom"/>
          </w:tcPr>
          <w:p>
            <w:pPr>
              <w:ind w:left="220"/>
              <w:spacing w:after="0" w:line="216" w:lineRule="exact"/>
              <w:rPr>
                <w:sz w:val="20"/>
                <w:szCs w:val="20"/>
                <w:color w:val="auto"/>
              </w:rPr>
            </w:pPr>
            <w:r>
              <w:rPr>
                <w:rFonts w:ascii="Arial" w:cs="Arial" w:eastAsia="Arial" w:hAnsi="Arial"/>
                <w:sz w:val="20"/>
                <w:szCs w:val="20"/>
                <w:b w:val="1"/>
                <w:bCs w:val="1"/>
                <w:color w:val="FAAC16"/>
              </w:rPr>
              <w:t>&amp; supply chain</w:t>
            </w:r>
          </w:p>
        </w:tc>
        <w:tc>
          <w:tcPr>
            <w:tcW w:w="1440" w:type="dxa"/>
            <w:vAlign w:val="bottom"/>
          </w:tcPr>
          <w:p>
            <w:pPr>
              <w:ind w:left="220"/>
              <w:spacing w:after="0" w:line="216" w:lineRule="exact"/>
              <w:rPr>
                <w:sz w:val="20"/>
                <w:szCs w:val="20"/>
                <w:color w:val="auto"/>
              </w:rPr>
            </w:pPr>
            <w:r>
              <w:rPr>
                <w:rFonts w:ascii="Arial" w:cs="Arial" w:eastAsia="Arial" w:hAnsi="Arial"/>
                <w:sz w:val="20"/>
                <w:szCs w:val="20"/>
                <w:b w:val="1"/>
                <w:bCs w:val="1"/>
                <w:color w:val="FAAC16"/>
                <w:w w:val="97"/>
              </w:rPr>
              <w:t>management</w:t>
            </w:r>
          </w:p>
        </w:tc>
      </w:tr>
      <w:tr>
        <w:trPr>
          <w:trHeight w:val="261"/>
        </w:trPr>
        <w:tc>
          <w:tcPr>
            <w:tcW w:w="1080" w:type="dxa"/>
            <w:vAlign w:val="bottom"/>
          </w:tcPr>
          <w:p>
            <w:pPr>
              <w:spacing w:after="0"/>
              <w:rPr>
                <w:sz w:val="22"/>
                <w:szCs w:val="22"/>
                <w:color w:val="auto"/>
              </w:rPr>
            </w:pPr>
          </w:p>
        </w:tc>
        <w:tc>
          <w:tcPr>
            <w:tcW w:w="1300" w:type="dxa"/>
            <w:vAlign w:val="bottom"/>
          </w:tcPr>
          <w:p>
            <w:pPr>
              <w:ind w:left="160"/>
              <w:spacing w:after="0"/>
              <w:rPr>
                <w:sz w:val="20"/>
                <w:szCs w:val="20"/>
                <w:color w:val="auto"/>
              </w:rPr>
            </w:pPr>
            <w:r>
              <w:rPr>
                <w:rFonts w:ascii="Arial" w:cs="Arial" w:eastAsia="Arial" w:hAnsi="Arial"/>
                <w:sz w:val="20"/>
                <w:szCs w:val="20"/>
                <w:b w:val="1"/>
                <w:bCs w:val="1"/>
                <w:color w:val="FAAC16"/>
              </w:rPr>
              <w:t>settlement</w:t>
            </w:r>
          </w:p>
        </w:tc>
        <w:tc>
          <w:tcPr>
            <w:tcW w:w="1680" w:type="dxa"/>
            <w:vAlign w:val="bottom"/>
          </w:tcPr>
          <w:p>
            <w:pPr>
              <w:ind w:left="140"/>
              <w:spacing w:after="0"/>
              <w:rPr>
                <w:sz w:val="20"/>
                <w:szCs w:val="20"/>
                <w:color w:val="auto"/>
              </w:rPr>
            </w:pPr>
            <w:r>
              <w:rPr>
                <w:rFonts w:ascii="Arial" w:cs="Arial" w:eastAsia="Arial" w:hAnsi="Arial"/>
                <w:sz w:val="20"/>
                <w:szCs w:val="20"/>
                <w:b w:val="1"/>
                <w:bCs w:val="1"/>
                <w:color w:val="FAAC16"/>
              </w:rPr>
              <w:t>and reporting</w:t>
            </w:r>
          </w:p>
        </w:tc>
        <w:tc>
          <w:tcPr>
            <w:tcW w:w="1420" w:type="dxa"/>
            <w:vAlign w:val="bottom"/>
          </w:tcPr>
          <w:p>
            <w:pPr>
              <w:spacing w:after="0"/>
              <w:rPr>
                <w:sz w:val="22"/>
                <w:szCs w:val="22"/>
                <w:color w:val="auto"/>
              </w:rPr>
            </w:pPr>
          </w:p>
        </w:tc>
        <w:tc>
          <w:tcPr>
            <w:tcW w:w="1860" w:type="dxa"/>
            <w:vAlign w:val="bottom"/>
          </w:tcPr>
          <w:p>
            <w:pPr>
              <w:ind w:left="220"/>
              <w:spacing w:after="0"/>
              <w:rPr>
                <w:sz w:val="20"/>
                <w:szCs w:val="20"/>
                <w:color w:val="auto"/>
              </w:rPr>
            </w:pPr>
            <w:r>
              <w:rPr>
                <w:rFonts w:ascii="Arial" w:cs="Arial" w:eastAsia="Arial" w:hAnsi="Arial"/>
                <w:sz w:val="20"/>
                <w:szCs w:val="20"/>
                <w:b w:val="1"/>
                <w:bCs w:val="1"/>
                <w:color w:val="FAAC16"/>
              </w:rPr>
              <w:t>operations</w:t>
            </w:r>
          </w:p>
        </w:tc>
        <w:tc>
          <w:tcPr>
            <w:tcW w:w="14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819785</wp:posOffset>
            </wp:positionH>
            <wp:positionV relativeFrom="paragraph">
              <wp:posOffset>143510</wp:posOffset>
            </wp:positionV>
            <wp:extent cx="56254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2546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209"/>
        </w:trPr>
        <w:tc>
          <w:tcPr>
            <w:tcW w:w="1140" w:type="dxa"/>
            <w:vAlign w:val="bottom"/>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Reservation</w:t>
            </w:r>
          </w:p>
        </w:tc>
        <w:tc>
          <w:tcPr>
            <w:tcW w:w="128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Airline</w:t>
            </w:r>
          </w:p>
        </w:tc>
        <w:tc>
          <w:tcPr>
            <w:tcW w:w="176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Sales, supplier and</w:t>
            </w:r>
          </w:p>
        </w:tc>
        <w:tc>
          <w:tcPr>
            <w:tcW w:w="1260" w:type="dxa"/>
            <w:vAlign w:val="bottom"/>
          </w:tcPr>
          <w:p>
            <w:pPr>
              <w:ind w:left="1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Travel</w:t>
            </w:r>
          </w:p>
        </w:tc>
        <w:tc>
          <w:tcPr>
            <w:tcW w:w="0" w:type="dxa"/>
            <w:vAlign w:val="bottom"/>
          </w:tcPr>
          <w:p>
            <w:pPr>
              <w:spacing w:after="0"/>
              <w:rPr>
                <w:sz w:val="1"/>
                <w:szCs w:val="1"/>
                <w:color w:val="auto"/>
              </w:rPr>
            </w:pPr>
          </w:p>
        </w:tc>
      </w:tr>
      <w:tr>
        <w:trPr>
          <w:trHeight w:val="189"/>
        </w:trPr>
        <w:tc>
          <w:tcPr>
            <w:tcW w:w="1140" w:type="dxa"/>
            <w:vAlign w:val="bottom"/>
          </w:tcPr>
          <w:p>
            <w:pPr>
              <w:ind w:left="160"/>
              <w:spacing w:after="0"/>
              <w:rPr>
                <w:sz w:val="20"/>
                <w:szCs w:val="20"/>
                <w:color w:val="auto"/>
              </w:rPr>
            </w:pPr>
            <w:r>
              <w:rPr>
                <w:rFonts w:ascii="Arial" w:cs="Arial" w:eastAsia="Arial" w:hAnsi="Arial"/>
                <w:sz w:val="16"/>
                <w:szCs w:val="16"/>
                <w:color w:val="auto"/>
              </w:rPr>
              <w:t>processing</w:t>
            </w:r>
          </w:p>
        </w:tc>
        <w:tc>
          <w:tcPr>
            <w:tcW w:w="1280" w:type="dxa"/>
            <w:vAlign w:val="bottom"/>
          </w:tcPr>
          <w:p>
            <w:pPr>
              <w:ind w:left="260"/>
              <w:spacing w:after="0"/>
              <w:rPr>
                <w:sz w:val="20"/>
                <w:szCs w:val="20"/>
                <w:color w:val="auto"/>
              </w:rPr>
            </w:pPr>
            <w:r>
              <w:rPr>
                <w:rFonts w:ascii="Arial" w:cs="Arial" w:eastAsia="Arial" w:hAnsi="Arial"/>
                <w:sz w:val="16"/>
                <w:szCs w:val="16"/>
                <w:color w:val="auto"/>
              </w:rPr>
              <w:t>settlements</w:t>
            </w:r>
          </w:p>
        </w:tc>
        <w:tc>
          <w:tcPr>
            <w:tcW w:w="1760" w:type="dxa"/>
            <w:vAlign w:val="bottom"/>
          </w:tcPr>
          <w:p>
            <w:pPr>
              <w:ind w:left="260"/>
              <w:spacing w:after="0"/>
              <w:rPr>
                <w:sz w:val="20"/>
                <w:szCs w:val="20"/>
                <w:color w:val="auto"/>
              </w:rPr>
            </w:pPr>
            <w:r>
              <w:rPr>
                <w:rFonts w:ascii="Arial" w:cs="Arial" w:eastAsia="Arial" w:hAnsi="Arial"/>
                <w:sz w:val="16"/>
                <w:szCs w:val="16"/>
                <w:color w:val="auto"/>
              </w:rPr>
              <w:t>revenue tracking</w:t>
            </w:r>
          </w:p>
        </w:tc>
        <w:tc>
          <w:tcPr>
            <w:tcW w:w="1260" w:type="dxa"/>
            <w:vAlign w:val="bottom"/>
          </w:tcPr>
          <w:p>
            <w:pPr>
              <w:ind w:left="300"/>
              <w:spacing w:after="0"/>
              <w:rPr>
                <w:sz w:val="20"/>
                <w:szCs w:val="20"/>
                <w:color w:val="auto"/>
              </w:rPr>
            </w:pPr>
            <w:r>
              <w:rPr>
                <w:rFonts w:ascii="Arial" w:cs="Arial" w:eastAsia="Arial" w:hAnsi="Arial"/>
                <w:sz w:val="16"/>
                <w:szCs w:val="16"/>
                <w:color w:val="auto"/>
              </w:rPr>
              <w:t>reservations</w:t>
            </w:r>
          </w:p>
        </w:tc>
        <w:tc>
          <w:tcPr>
            <w:tcW w:w="0" w:type="dxa"/>
            <w:vAlign w:val="bottom"/>
          </w:tcPr>
          <w:p>
            <w:pPr>
              <w:spacing w:after="0"/>
              <w:rPr>
                <w:sz w:val="1"/>
                <w:szCs w:val="1"/>
                <w:color w:val="auto"/>
              </w:rPr>
            </w:pPr>
          </w:p>
        </w:tc>
      </w:tr>
      <w:tr>
        <w:trPr>
          <w:trHeight w:val="195"/>
        </w:trPr>
        <w:tc>
          <w:tcPr>
            <w:tcW w:w="11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Ticketing</w:t>
            </w:r>
          </w:p>
        </w:tc>
        <w:tc>
          <w:tcPr>
            <w:tcW w:w="12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Non-airline</w:t>
            </w:r>
          </w:p>
        </w:tc>
        <w:tc>
          <w:tcPr>
            <w:tcW w:w="1760" w:type="dxa"/>
            <w:vAlign w:val="bottom"/>
          </w:tcPr>
          <w:p>
            <w:pPr>
              <w:ind w:left="260"/>
              <w:spacing w:after="0"/>
              <w:rPr>
                <w:sz w:val="20"/>
                <w:szCs w:val="20"/>
                <w:color w:val="auto"/>
              </w:rPr>
            </w:pPr>
            <w:r>
              <w:rPr>
                <w:rFonts w:ascii="Arial" w:cs="Arial" w:eastAsia="Arial" w:hAnsi="Arial"/>
                <w:sz w:val="16"/>
                <w:szCs w:val="16"/>
                <w:color w:val="auto"/>
              </w:rPr>
              <w:t>and accounting</w:t>
            </w:r>
          </w:p>
        </w:tc>
        <w:tc>
          <w:tcPr>
            <w:tcW w:w="1260" w:type="dxa"/>
            <w:vAlign w:val="bottom"/>
            <w:vMerge w:val="restart"/>
          </w:tcPr>
          <w:p>
            <w:pPr>
              <w:ind w:left="1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Freight</w:t>
            </w:r>
          </w:p>
        </w:tc>
        <w:tc>
          <w:tcPr>
            <w:tcW w:w="0" w:type="dxa"/>
            <w:vAlign w:val="bottom"/>
          </w:tcPr>
          <w:p>
            <w:pPr>
              <w:spacing w:after="0"/>
              <w:rPr>
                <w:sz w:val="1"/>
                <w:szCs w:val="1"/>
                <w:color w:val="auto"/>
              </w:rPr>
            </w:pPr>
          </w:p>
        </w:tc>
      </w:tr>
      <w:tr>
        <w:trPr>
          <w:trHeight w:val="102"/>
        </w:trPr>
        <w:tc>
          <w:tcPr>
            <w:tcW w:w="114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Groups and event</w:t>
            </w: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160"/>
              <w:spacing w:after="0"/>
              <w:rPr>
                <w:sz w:val="20"/>
                <w:szCs w:val="20"/>
                <w:color w:val="auto"/>
              </w:rPr>
            </w:pPr>
            <w:r>
              <w:rPr>
                <w:rFonts w:ascii="Arial" w:cs="Arial" w:eastAsia="Arial" w:hAnsi="Arial"/>
                <w:sz w:val="16"/>
                <w:szCs w:val="16"/>
                <w:color w:val="auto"/>
              </w:rPr>
              <w:t>and</w:t>
            </w:r>
          </w:p>
        </w:tc>
        <w:tc>
          <w:tcPr>
            <w:tcW w:w="1280" w:type="dxa"/>
            <w:vAlign w:val="bottom"/>
          </w:tcPr>
          <w:p>
            <w:pPr>
              <w:ind w:left="260"/>
              <w:spacing w:after="0"/>
              <w:rPr>
                <w:sz w:val="20"/>
                <w:szCs w:val="20"/>
                <w:color w:val="auto"/>
              </w:rPr>
            </w:pPr>
            <w:r>
              <w:rPr>
                <w:rFonts w:ascii="Arial" w:cs="Arial" w:eastAsia="Arial" w:hAnsi="Arial"/>
                <w:sz w:val="16"/>
                <w:szCs w:val="16"/>
                <w:color w:val="auto"/>
              </w:rPr>
              <w:t>settlements</w:t>
            </w:r>
          </w:p>
        </w:tc>
        <w:tc>
          <w:tcPr>
            <w:tcW w:w="1760" w:type="dxa"/>
            <w:vAlign w:val="bottom"/>
            <w:vMerge w:val="continue"/>
          </w:tcPr>
          <w:p>
            <w:pPr>
              <w:spacing w:after="0"/>
              <w:rPr>
                <w:sz w:val="16"/>
                <w:szCs w:val="16"/>
                <w:color w:val="auto"/>
              </w:rPr>
            </w:pPr>
          </w:p>
        </w:tc>
        <w:tc>
          <w:tcPr>
            <w:tcW w:w="1260" w:type="dxa"/>
            <w:vAlign w:val="bottom"/>
          </w:tcPr>
          <w:p>
            <w:pPr>
              <w:ind w:left="300"/>
              <w:spacing w:after="0"/>
              <w:rPr>
                <w:sz w:val="20"/>
                <w:szCs w:val="20"/>
                <w:color w:val="auto"/>
              </w:rPr>
            </w:pPr>
            <w:r>
              <w:rPr>
                <w:rFonts w:ascii="Arial" w:cs="Arial" w:eastAsia="Arial" w:hAnsi="Arial"/>
                <w:sz w:val="16"/>
                <w:szCs w:val="16"/>
                <w:color w:val="auto"/>
              </w:rPr>
              <w:t>appointment</w:t>
            </w:r>
          </w:p>
        </w:tc>
        <w:tc>
          <w:tcPr>
            <w:tcW w:w="0" w:type="dxa"/>
            <w:vAlign w:val="bottom"/>
          </w:tcPr>
          <w:p>
            <w:pPr>
              <w:spacing w:after="0"/>
              <w:rPr>
                <w:sz w:val="1"/>
                <w:szCs w:val="1"/>
                <w:color w:val="auto"/>
              </w:rPr>
            </w:pPr>
          </w:p>
        </w:tc>
      </w:tr>
      <w:tr>
        <w:trPr>
          <w:trHeight w:val="195"/>
        </w:trPr>
        <w:tc>
          <w:tcPr>
            <w:tcW w:w="1140" w:type="dxa"/>
            <w:vAlign w:val="bottom"/>
          </w:tcPr>
          <w:p>
            <w:pPr>
              <w:ind w:left="160"/>
              <w:spacing w:after="0"/>
              <w:rPr>
                <w:sz w:val="20"/>
                <w:szCs w:val="20"/>
                <w:color w:val="auto"/>
              </w:rPr>
            </w:pPr>
            <w:r>
              <w:rPr>
                <w:rFonts w:ascii="Arial" w:cs="Arial" w:eastAsia="Arial" w:hAnsi="Arial"/>
                <w:sz w:val="16"/>
                <w:szCs w:val="16"/>
                <w:color w:val="auto"/>
              </w:rPr>
              <w:t>invoicing</w:t>
            </w:r>
          </w:p>
        </w:tc>
        <w:tc>
          <w:tcPr>
            <w:tcW w:w="12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Client billing</w:t>
            </w:r>
          </w:p>
        </w:tc>
        <w:tc>
          <w:tcPr>
            <w:tcW w:w="1760" w:type="dxa"/>
            <w:vAlign w:val="bottom"/>
          </w:tcPr>
          <w:p>
            <w:pPr>
              <w:ind w:left="260"/>
              <w:spacing w:after="0"/>
              <w:rPr>
                <w:sz w:val="20"/>
                <w:szCs w:val="20"/>
                <w:color w:val="auto"/>
              </w:rPr>
            </w:pPr>
            <w:r>
              <w:rPr>
                <w:rFonts w:ascii="Arial" w:cs="Arial" w:eastAsia="Arial" w:hAnsi="Arial"/>
                <w:sz w:val="16"/>
                <w:szCs w:val="16"/>
                <w:color w:val="auto"/>
              </w:rPr>
              <w:t>accounting</w:t>
            </w:r>
          </w:p>
        </w:tc>
        <w:tc>
          <w:tcPr>
            <w:tcW w:w="1260" w:type="dxa"/>
            <w:vAlign w:val="bottom"/>
            <w:vMerge w:val="restart"/>
          </w:tcPr>
          <w:p>
            <w:pPr>
              <w:ind w:left="1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Delivered not</w:t>
            </w:r>
          </w:p>
        </w:tc>
        <w:tc>
          <w:tcPr>
            <w:tcW w:w="0" w:type="dxa"/>
            <w:vAlign w:val="bottom"/>
          </w:tcPr>
          <w:p>
            <w:pPr>
              <w:spacing w:after="0"/>
              <w:rPr>
                <w:sz w:val="1"/>
                <w:szCs w:val="1"/>
                <w:color w:val="auto"/>
              </w:rPr>
            </w:pPr>
          </w:p>
        </w:tc>
      </w:tr>
      <w:tr>
        <w:trPr>
          <w:trHeight w:val="102"/>
        </w:trPr>
        <w:tc>
          <w:tcPr>
            <w:tcW w:w="11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Back office</w:t>
            </w:r>
          </w:p>
        </w:tc>
        <w:tc>
          <w:tcPr>
            <w:tcW w:w="1280" w:type="dxa"/>
            <w:vAlign w:val="bottom"/>
            <w:vMerge w:val="continue"/>
          </w:tcPr>
          <w:p>
            <w:pPr>
              <w:spacing w:after="0"/>
              <w:rPr>
                <w:sz w:val="8"/>
                <w:szCs w:val="8"/>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Month end</w:t>
            </w: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40" w:type="dxa"/>
            <w:vAlign w:val="bottom"/>
            <w:vMerge w:val="continue"/>
          </w:tcPr>
          <w:p>
            <w:pPr>
              <w:spacing w:after="0"/>
              <w:rPr>
                <w:sz w:val="16"/>
                <w:szCs w:val="16"/>
                <w:color w:val="auto"/>
              </w:rPr>
            </w:pPr>
          </w:p>
        </w:tc>
        <w:tc>
          <w:tcPr>
            <w:tcW w:w="12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Receivables</w:t>
            </w:r>
          </w:p>
        </w:tc>
        <w:tc>
          <w:tcPr>
            <w:tcW w:w="1760" w:type="dxa"/>
            <w:vAlign w:val="bottom"/>
            <w:vMerge w:val="continue"/>
          </w:tcPr>
          <w:p>
            <w:pPr>
              <w:spacing w:after="0"/>
              <w:rPr>
                <w:sz w:val="16"/>
                <w:szCs w:val="16"/>
                <w:color w:val="auto"/>
              </w:rPr>
            </w:pPr>
          </w:p>
        </w:tc>
        <w:tc>
          <w:tcPr>
            <w:tcW w:w="1260" w:type="dxa"/>
            <w:vAlign w:val="bottom"/>
          </w:tcPr>
          <w:p>
            <w:pPr>
              <w:ind w:left="300"/>
              <w:spacing w:after="0"/>
              <w:rPr>
                <w:sz w:val="20"/>
                <w:szCs w:val="20"/>
                <w:color w:val="auto"/>
              </w:rPr>
            </w:pPr>
            <w:r>
              <w:rPr>
                <w:rFonts w:ascii="Arial" w:cs="Arial" w:eastAsia="Arial" w:hAnsi="Arial"/>
                <w:sz w:val="16"/>
                <w:szCs w:val="16"/>
                <w:color w:val="auto"/>
              </w:rPr>
              <w:t>invoiced</w:t>
            </w:r>
          </w:p>
        </w:tc>
        <w:tc>
          <w:tcPr>
            <w:tcW w:w="0" w:type="dxa"/>
            <w:vAlign w:val="bottom"/>
          </w:tcPr>
          <w:p>
            <w:pPr>
              <w:spacing w:after="0"/>
              <w:rPr>
                <w:sz w:val="1"/>
                <w:szCs w:val="1"/>
                <w:color w:val="auto"/>
              </w:rPr>
            </w:pPr>
          </w:p>
        </w:tc>
      </w:tr>
      <w:tr>
        <w:trPr>
          <w:trHeight w:val="108"/>
        </w:trPr>
        <w:tc>
          <w:tcPr>
            <w:tcW w:w="1140" w:type="dxa"/>
            <w:vAlign w:val="bottom"/>
            <w:vMerge w:val="restart"/>
          </w:tcPr>
          <w:p>
            <w:pPr>
              <w:ind w:left="160"/>
              <w:spacing w:after="0"/>
              <w:rPr>
                <w:sz w:val="20"/>
                <w:szCs w:val="20"/>
                <w:color w:val="auto"/>
              </w:rPr>
            </w:pPr>
            <w:r>
              <w:rPr>
                <w:rFonts w:ascii="Arial" w:cs="Arial" w:eastAsia="Arial" w:hAnsi="Arial"/>
                <w:sz w:val="16"/>
                <w:szCs w:val="16"/>
                <w:color w:val="auto"/>
              </w:rPr>
              <w:t>interface</w:t>
            </w:r>
          </w:p>
        </w:tc>
        <w:tc>
          <w:tcPr>
            <w:tcW w:w="1280" w:type="dxa"/>
            <w:vAlign w:val="bottom"/>
            <w:vMerge w:val="continue"/>
          </w:tcPr>
          <w:p>
            <w:pPr>
              <w:spacing w:after="0"/>
              <w:rPr>
                <w:sz w:val="9"/>
                <w:szCs w:val="9"/>
                <w:color w:val="auto"/>
              </w:rPr>
            </w:pPr>
          </w:p>
        </w:tc>
        <w:tc>
          <w:tcPr>
            <w:tcW w:w="1760" w:type="dxa"/>
            <w:vAlign w:val="bottom"/>
            <w:vMerge w:val="restart"/>
          </w:tcPr>
          <w:p>
            <w:pPr>
              <w:ind w:left="260"/>
              <w:spacing w:after="0"/>
              <w:rPr>
                <w:sz w:val="20"/>
                <w:szCs w:val="20"/>
                <w:color w:val="auto"/>
              </w:rPr>
            </w:pPr>
            <w:r>
              <w:rPr>
                <w:rFonts w:ascii="Arial" w:cs="Arial" w:eastAsia="Arial" w:hAnsi="Arial"/>
                <w:sz w:val="16"/>
                <w:szCs w:val="16"/>
                <w:color w:val="auto"/>
              </w:rPr>
              <w:t>accounting</w:t>
            </w:r>
          </w:p>
        </w:tc>
        <w:tc>
          <w:tcPr>
            <w:tcW w:w="1260" w:type="dxa"/>
            <w:vAlign w:val="bottom"/>
            <w:vMerge w:val="restart"/>
          </w:tcPr>
          <w:p>
            <w:pPr>
              <w:ind w:left="30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7"/>
        </w:trPr>
        <w:tc>
          <w:tcPr>
            <w:tcW w:w="1140" w:type="dxa"/>
            <w:vAlign w:val="bottom"/>
            <w:vMerge w:val="continue"/>
          </w:tcPr>
          <w:p>
            <w:pPr>
              <w:spacing w:after="0"/>
              <w:rPr>
                <w:sz w:val="7"/>
                <w:szCs w:val="7"/>
                <w:color w:val="auto"/>
              </w:rPr>
            </w:pPr>
          </w:p>
        </w:tc>
        <w:tc>
          <w:tcPr>
            <w:tcW w:w="1280" w:type="dxa"/>
            <w:vAlign w:val="bottom"/>
            <w:vMerge w:val="restart"/>
          </w:tcPr>
          <w:p>
            <w:pPr>
              <w:ind w:left="260"/>
              <w:spacing w:after="0"/>
              <w:rPr>
                <w:sz w:val="20"/>
                <w:szCs w:val="20"/>
                <w:color w:val="auto"/>
              </w:rPr>
            </w:pPr>
            <w:r>
              <w:rPr>
                <w:rFonts w:ascii="Arial" w:cs="Arial" w:eastAsia="Arial" w:hAnsi="Arial"/>
                <w:sz w:val="16"/>
                <w:szCs w:val="16"/>
                <w:color w:val="auto"/>
              </w:rPr>
              <w:t>management</w:t>
            </w:r>
          </w:p>
        </w:tc>
        <w:tc>
          <w:tcPr>
            <w:tcW w:w="17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1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Agency debit</w:t>
            </w:r>
          </w:p>
        </w:tc>
        <w:tc>
          <w:tcPr>
            <w:tcW w:w="1280" w:type="dxa"/>
            <w:vAlign w:val="bottom"/>
            <w:vMerge w:val="continue"/>
          </w:tcPr>
          <w:p>
            <w:pPr>
              <w:spacing w:after="0"/>
              <w:rPr>
                <w:sz w:val="9"/>
                <w:szCs w:val="9"/>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Balance sheet</w:t>
            </w:r>
          </w:p>
        </w:tc>
        <w:tc>
          <w:tcPr>
            <w:tcW w:w="1260" w:type="dxa"/>
            <w:vAlign w:val="bottom"/>
            <w:vMerge w:val="restart"/>
          </w:tcPr>
          <w:p>
            <w:pPr>
              <w:ind w:left="1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Proof of</w:t>
            </w: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140" w:type="dxa"/>
            <w:vAlign w:val="bottom"/>
          </w:tcPr>
          <w:p>
            <w:pPr>
              <w:ind w:left="160"/>
              <w:spacing w:after="0"/>
              <w:rPr>
                <w:sz w:val="20"/>
                <w:szCs w:val="20"/>
                <w:color w:val="auto"/>
              </w:rPr>
            </w:pPr>
            <w:r>
              <w:rPr>
                <w:rFonts w:ascii="Arial" w:cs="Arial" w:eastAsia="Arial" w:hAnsi="Arial"/>
                <w:sz w:val="16"/>
                <w:szCs w:val="16"/>
                <w:color w:val="auto"/>
              </w:rPr>
              <w:t>memos</w:t>
            </w:r>
          </w:p>
        </w:tc>
        <w:tc>
          <w:tcPr>
            <w:tcW w:w="1280" w:type="dxa"/>
            <w:vAlign w:val="bottom"/>
          </w:tcPr>
          <w:p>
            <w:pPr>
              <w:spacing w:after="0"/>
              <w:rPr>
                <w:sz w:val="16"/>
                <w:szCs w:val="16"/>
                <w:color w:val="auto"/>
              </w:rPr>
            </w:pPr>
          </w:p>
        </w:tc>
        <w:tc>
          <w:tcPr>
            <w:tcW w:w="1760" w:type="dxa"/>
            <w:vAlign w:val="bottom"/>
          </w:tcPr>
          <w:p>
            <w:pPr>
              <w:ind w:left="260"/>
              <w:spacing w:after="0"/>
              <w:rPr>
                <w:sz w:val="20"/>
                <w:szCs w:val="20"/>
                <w:color w:val="auto"/>
              </w:rPr>
            </w:pPr>
            <w:r>
              <w:rPr>
                <w:rFonts w:ascii="Arial" w:cs="Arial" w:eastAsia="Arial" w:hAnsi="Arial"/>
                <w:sz w:val="16"/>
                <w:szCs w:val="16"/>
                <w:color w:val="auto"/>
              </w:rPr>
              <w:t>reconciliation</w:t>
            </w:r>
          </w:p>
        </w:tc>
        <w:tc>
          <w:tcPr>
            <w:tcW w:w="1260" w:type="dxa"/>
            <w:vAlign w:val="bottom"/>
          </w:tcPr>
          <w:p>
            <w:pPr>
              <w:ind w:left="300"/>
              <w:spacing w:after="0"/>
              <w:rPr>
                <w:sz w:val="20"/>
                <w:szCs w:val="20"/>
                <w:color w:val="auto"/>
              </w:rPr>
            </w:pPr>
            <w:r>
              <w:rPr>
                <w:rFonts w:ascii="Arial" w:cs="Arial" w:eastAsia="Arial" w:hAnsi="Arial"/>
                <w:sz w:val="16"/>
                <w:szCs w:val="16"/>
                <w:color w:val="auto"/>
              </w:rPr>
              <w:t>delivery and</w:t>
            </w:r>
          </w:p>
        </w:tc>
        <w:tc>
          <w:tcPr>
            <w:tcW w:w="0" w:type="dxa"/>
            <w:vAlign w:val="bottom"/>
          </w:tcPr>
          <w:p>
            <w:pPr>
              <w:spacing w:after="0"/>
              <w:rPr>
                <w:sz w:val="1"/>
                <w:szCs w:val="1"/>
                <w:color w:val="auto"/>
              </w:rPr>
            </w:pPr>
          </w:p>
        </w:tc>
      </w:tr>
      <w:tr>
        <w:trPr>
          <w:trHeight w:val="195"/>
        </w:trPr>
        <w:tc>
          <w:tcPr>
            <w:tcW w:w="11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Refunds</w:t>
            </w:r>
          </w:p>
        </w:tc>
        <w:tc>
          <w:tcPr>
            <w:tcW w:w="1280" w:type="dxa"/>
            <w:vAlign w:val="bottom"/>
          </w:tcPr>
          <w:p>
            <w:pPr>
              <w:spacing w:after="0"/>
              <w:rPr>
                <w:sz w:val="16"/>
                <w:szCs w:val="16"/>
                <w:color w:val="auto"/>
              </w:rPr>
            </w:pPr>
          </w:p>
        </w:tc>
        <w:tc>
          <w:tcPr>
            <w:tcW w:w="17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Business reporting</w:t>
            </w:r>
          </w:p>
        </w:tc>
        <w:tc>
          <w:tcPr>
            <w:tcW w:w="1260" w:type="dxa"/>
            <w:vAlign w:val="bottom"/>
          </w:tcPr>
          <w:p>
            <w:pPr>
              <w:ind w:left="300"/>
              <w:spacing w:after="0"/>
              <w:rPr>
                <w:sz w:val="20"/>
                <w:szCs w:val="20"/>
                <w:color w:val="auto"/>
              </w:rPr>
            </w:pPr>
            <w:r>
              <w:rPr>
                <w:rFonts w:ascii="Arial" w:cs="Arial" w:eastAsia="Arial" w:hAnsi="Arial"/>
                <w:sz w:val="16"/>
                <w:szCs w:val="16"/>
                <w:color w:val="auto"/>
              </w:rPr>
              <w:t>bills of lading</w:t>
            </w:r>
          </w:p>
        </w:tc>
        <w:tc>
          <w:tcPr>
            <w:tcW w:w="0" w:type="dxa"/>
            <w:vAlign w:val="bottom"/>
          </w:tcPr>
          <w:p>
            <w:pPr>
              <w:spacing w:after="0"/>
              <w:rPr>
                <w:sz w:val="1"/>
                <w:szCs w:val="1"/>
                <w:color w:val="auto"/>
              </w:rPr>
            </w:pPr>
          </w:p>
        </w:tc>
      </w:tr>
      <w:tr>
        <w:trPr>
          <w:trHeight w:val="102"/>
        </w:trPr>
        <w:tc>
          <w:tcPr>
            <w:tcW w:w="114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760" w:type="dxa"/>
            <w:vAlign w:val="bottom"/>
            <w:vMerge w:val="continue"/>
          </w:tcPr>
          <w:p>
            <w:pPr>
              <w:spacing w:after="0"/>
              <w:rPr>
                <w:sz w:val="8"/>
                <w:szCs w:val="8"/>
                <w:color w:val="auto"/>
              </w:rPr>
            </w:pPr>
          </w:p>
        </w:tc>
        <w:tc>
          <w:tcPr>
            <w:tcW w:w="1260" w:type="dxa"/>
            <w:vAlign w:val="bottom"/>
            <w:vMerge w:val="restart"/>
          </w:tcPr>
          <w:p>
            <w:pPr>
              <w:ind w:left="1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Cargo claims</w:t>
            </w:r>
          </w:p>
        </w:tc>
        <w:tc>
          <w:tcPr>
            <w:tcW w:w="0" w:type="dxa"/>
            <w:vAlign w:val="bottom"/>
          </w:tcPr>
          <w:p>
            <w:pPr>
              <w:spacing w:after="0"/>
              <w:rPr>
                <w:sz w:val="1"/>
                <w:szCs w:val="1"/>
                <w:color w:val="auto"/>
              </w:rPr>
            </w:pPr>
          </w:p>
        </w:tc>
      </w:tr>
      <w:tr>
        <w:trPr>
          <w:trHeight w:val="195"/>
        </w:trPr>
        <w:tc>
          <w:tcPr>
            <w:tcW w:w="1140" w:type="dxa"/>
            <w:vAlign w:val="bottom"/>
          </w:tcPr>
          <w:p>
            <w:pPr>
              <w:ind w:left="160"/>
              <w:spacing w:after="0"/>
              <w:rPr>
                <w:sz w:val="20"/>
                <w:szCs w:val="20"/>
                <w:color w:val="auto"/>
              </w:rPr>
            </w:pPr>
            <w:r>
              <w:rPr>
                <w:rFonts w:ascii="Arial" w:cs="Arial" w:eastAsia="Arial" w:hAnsi="Arial"/>
                <w:sz w:val="16"/>
                <w:szCs w:val="16"/>
                <w:color w:val="auto"/>
              </w:rPr>
              <w:t>processing</w:t>
            </w:r>
          </w:p>
        </w:tc>
        <w:tc>
          <w:tcPr>
            <w:tcW w:w="1280" w:type="dxa"/>
            <w:vAlign w:val="bottom"/>
          </w:tcPr>
          <w:p>
            <w:pPr>
              <w:spacing w:after="0"/>
              <w:rPr>
                <w:sz w:val="16"/>
                <w:szCs w:val="16"/>
                <w:color w:val="auto"/>
              </w:rPr>
            </w:pPr>
          </w:p>
        </w:tc>
        <w:tc>
          <w:tcPr>
            <w:tcW w:w="1760" w:type="dxa"/>
            <w:vAlign w:val="bottom"/>
          </w:tcPr>
          <w:p>
            <w:pPr>
              <w:ind w:left="260"/>
              <w:spacing w:after="0"/>
              <w:rPr>
                <w:sz w:val="20"/>
                <w:szCs w:val="20"/>
                <w:color w:val="auto"/>
              </w:rPr>
            </w:pPr>
            <w:r>
              <w:rPr>
                <w:rFonts w:ascii="Arial" w:cs="Arial" w:eastAsia="Arial" w:hAnsi="Arial"/>
                <w:sz w:val="16"/>
                <w:szCs w:val="16"/>
                <w:color w:val="auto"/>
              </w:rPr>
              <w:t>and benchmarking</w:t>
            </w: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60" w:type="dxa"/>
            <w:vAlign w:val="bottom"/>
          </w:tcPr>
          <w:p>
            <w:pPr>
              <w:ind w:left="1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Macro</w:t>
            </w:r>
          </w:p>
        </w:tc>
        <w:tc>
          <w:tcPr>
            <w:tcW w:w="0" w:type="dxa"/>
            <w:vAlign w:val="bottom"/>
          </w:tcPr>
          <w:p>
            <w:pPr>
              <w:spacing w:after="0"/>
              <w:rPr>
                <w:sz w:val="1"/>
                <w:szCs w:val="1"/>
                <w:color w:val="auto"/>
              </w:rPr>
            </w:pPr>
          </w:p>
        </w:tc>
      </w:tr>
      <w:tr>
        <w:trPr>
          <w:trHeight w:val="195"/>
        </w:trPr>
        <w:tc>
          <w:tcPr>
            <w:tcW w:w="1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60" w:type="dxa"/>
            <w:vAlign w:val="bottom"/>
          </w:tcPr>
          <w:p>
            <w:pPr>
              <w:ind w:left="300"/>
              <w:spacing w:after="0"/>
              <w:rPr>
                <w:sz w:val="20"/>
                <w:szCs w:val="20"/>
                <w:color w:val="auto"/>
              </w:rPr>
            </w:pPr>
            <w:r>
              <w:rPr>
                <w:rFonts w:ascii="Arial" w:cs="Arial" w:eastAsia="Arial" w:hAnsi="Arial"/>
                <w:sz w:val="16"/>
                <w:szCs w:val="16"/>
                <w:color w:val="auto"/>
              </w:rPr>
              <w:t>processing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49" w:hanging="149"/>
        <w:spacing w:after="0"/>
        <w:tabs>
          <w:tab w:leader="none" w:pos="149" w:val="left"/>
        </w:tabs>
        <w:numPr>
          <w:ilvl w:val="0"/>
          <w:numId w:val="7"/>
        </w:numPr>
        <w:rPr>
          <w:rFonts w:ascii="Arial" w:cs="Arial" w:eastAsia="Arial" w:hAnsi="Arial"/>
          <w:sz w:val="16"/>
          <w:szCs w:val="16"/>
          <w:b w:val="1"/>
          <w:bCs w:val="1"/>
          <w:color w:val="FAAC16"/>
        </w:rPr>
      </w:pPr>
      <w:r>
        <w:rPr>
          <w:rFonts w:ascii="Arial" w:cs="Arial" w:eastAsia="Arial" w:hAnsi="Arial"/>
          <w:sz w:val="16"/>
          <w:szCs w:val="16"/>
          <w:color w:val="auto"/>
        </w:rPr>
        <w:t>Network optimization</w:t>
      </w:r>
    </w:p>
    <w:p>
      <w:pPr>
        <w:spacing w:after="0" w:line="113" w:lineRule="exact"/>
        <w:rPr>
          <w:rFonts w:ascii="Arial" w:cs="Arial" w:eastAsia="Arial" w:hAnsi="Arial"/>
          <w:sz w:val="16"/>
          <w:szCs w:val="16"/>
          <w:b w:val="1"/>
          <w:bCs w:val="1"/>
          <w:color w:val="FAAC16"/>
        </w:rPr>
      </w:pPr>
    </w:p>
    <w:p>
      <w:pPr>
        <w:ind w:left="169" w:right="20" w:hanging="169"/>
        <w:spacing w:after="0" w:line="278" w:lineRule="auto"/>
        <w:tabs>
          <w:tab w:leader="none" w:pos="147" w:val="left"/>
        </w:tabs>
        <w:numPr>
          <w:ilvl w:val="0"/>
          <w:numId w:val="7"/>
        </w:numPr>
        <w:rPr>
          <w:rFonts w:ascii="Arial" w:cs="Arial" w:eastAsia="Arial" w:hAnsi="Arial"/>
          <w:sz w:val="15"/>
          <w:szCs w:val="15"/>
          <w:b w:val="1"/>
          <w:bCs w:val="1"/>
          <w:color w:val="FAAC16"/>
        </w:rPr>
      </w:pPr>
      <w:r>
        <w:rPr>
          <w:rFonts w:ascii="Arial" w:cs="Arial" w:eastAsia="Arial" w:hAnsi="Arial"/>
          <w:sz w:val="15"/>
          <w:szCs w:val="15"/>
          <w:color w:val="auto"/>
        </w:rPr>
        <w:t>Terminal/ distribution center performance management</w:t>
      </w:r>
    </w:p>
    <w:p>
      <w:pPr>
        <w:spacing w:after="0" w:line="75" w:lineRule="exact"/>
        <w:rPr>
          <w:rFonts w:ascii="Arial" w:cs="Arial" w:eastAsia="Arial" w:hAnsi="Arial"/>
          <w:sz w:val="15"/>
          <w:szCs w:val="15"/>
          <w:b w:val="1"/>
          <w:bCs w:val="1"/>
          <w:color w:val="FAAC16"/>
        </w:rPr>
      </w:pPr>
    </w:p>
    <w:p>
      <w:pPr>
        <w:ind w:left="149" w:hanging="149"/>
        <w:spacing w:after="0"/>
        <w:tabs>
          <w:tab w:leader="none" w:pos="149" w:val="left"/>
        </w:tabs>
        <w:numPr>
          <w:ilvl w:val="0"/>
          <w:numId w:val="7"/>
        </w:numPr>
        <w:rPr>
          <w:rFonts w:ascii="Arial" w:cs="Arial" w:eastAsia="Arial" w:hAnsi="Arial"/>
          <w:sz w:val="16"/>
          <w:szCs w:val="16"/>
          <w:b w:val="1"/>
          <w:bCs w:val="1"/>
          <w:color w:val="FAAC16"/>
        </w:rPr>
      </w:pPr>
      <w:r>
        <w:rPr>
          <w:rFonts w:ascii="Arial" w:cs="Arial" w:eastAsia="Arial" w:hAnsi="Arial"/>
          <w:sz w:val="16"/>
          <w:szCs w:val="16"/>
          <w:color w:val="auto"/>
        </w:rPr>
        <w:t>Freight bill entry</w:t>
      </w:r>
    </w:p>
    <w:p>
      <w:pPr>
        <w:spacing w:after="0" w:line="113" w:lineRule="exact"/>
        <w:rPr>
          <w:rFonts w:ascii="Arial" w:cs="Arial" w:eastAsia="Arial" w:hAnsi="Arial"/>
          <w:sz w:val="16"/>
          <w:szCs w:val="16"/>
          <w:b w:val="1"/>
          <w:bCs w:val="1"/>
          <w:color w:val="FAAC16"/>
        </w:rPr>
      </w:pPr>
    </w:p>
    <w:p>
      <w:pPr>
        <w:ind w:left="129" w:hanging="129"/>
        <w:spacing w:after="0"/>
        <w:tabs>
          <w:tab w:leader="none" w:pos="129" w:val="left"/>
        </w:tabs>
        <w:numPr>
          <w:ilvl w:val="0"/>
          <w:numId w:val="7"/>
        </w:numPr>
        <w:rPr>
          <w:rFonts w:ascii="Arial" w:cs="Arial" w:eastAsia="Arial" w:hAnsi="Arial"/>
          <w:sz w:val="16"/>
          <w:szCs w:val="16"/>
          <w:b w:val="1"/>
          <w:bCs w:val="1"/>
          <w:color w:val="FAAC16"/>
        </w:rPr>
      </w:pPr>
      <w:r>
        <w:rPr>
          <w:rFonts w:ascii="Arial" w:cs="Arial" w:eastAsia="Arial" w:hAnsi="Arial"/>
          <w:sz w:val="16"/>
          <w:szCs w:val="16"/>
          <w:color w:val="auto"/>
        </w:rPr>
        <w:t>Track and trace</w:t>
      </w:r>
    </w:p>
    <w:p>
      <w:pPr>
        <w:spacing w:after="0" w:line="113" w:lineRule="exact"/>
        <w:rPr>
          <w:rFonts w:ascii="Arial" w:cs="Arial" w:eastAsia="Arial" w:hAnsi="Arial"/>
          <w:sz w:val="16"/>
          <w:szCs w:val="16"/>
          <w:b w:val="1"/>
          <w:bCs w:val="1"/>
          <w:color w:val="FAAC16"/>
        </w:rPr>
      </w:pPr>
    </w:p>
    <w:p>
      <w:pPr>
        <w:ind w:left="149" w:hanging="149"/>
        <w:spacing w:after="0"/>
        <w:tabs>
          <w:tab w:leader="none" w:pos="149" w:val="left"/>
        </w:tabs>
        <w:numPr>
          <w:ilvl w:val="0"/>
          <w:numId w:val="7"/>
        </w:numPr>
        <w:rPr>
          <w:rFonts w:ascii="Arial" w:cs="Arial" w:eastAsia="Arial" w:hAnsi="Arial"/>
          <w:sz w:val="16"/>
          <w:szCs w:val="16"/>
          <w:b w:val="1"/>
          <w:bCs w:val="1"/>
          <w:color w:val="FAAC16"/>
        </w:rPr>
      </w:pPr>
      <w:r>
        <w:rPr>
          <w:rFonts w:ascii="Arial" w:cs="Arial" w:eastAsia="Arial" w:hAnsi="Arial"/>
          <w:sz w:val="16"/>
          <w:szCs w:val="16"/>
          <w:color w:val="auto"/>
        </w:rPr>
        <w:t>Carrier scorecards</w:t>
      </w:r>
    </w:p>
    <w:p>
      <w:pPr>
        <w:spacing w:after="0" w:line="113" w:lineRule="exact"/>
        <w:rPr>
          <w:rFonts w:ascii="Arial" w:cs="Arial" w:eastAsia="Arial" w:hAnsi="Arial"/>
          <w:sz w:val="16"/>
          <w:szCs w:val="16"/>
          <w:b w:val="1"/>
          <w:bCs w:val="1"/>
          <w:color w:val="FAAC16"/>
        </w:rPr>
      </w:pPr>
    </w:p>
    <w:p>
      <w:pPr>
        <w:ind w:left="149" w:hanging="149"/>
        <w:spacing w:after="0"/>
        <w:tabs>
          <w:tab w:leader="none" w:pos="149" w:val="left"/>
        </w:tabs>
        <w:numPr>
          <w:ilvl w:val="0"/>
          <w:numId w:val="7"/>
        </w:numPr>
        <w:rPr>
          <w:rFonts w:ascii="Arial" w:cs="Arial" w:eastAsia="Arial" w:hAnsi="Arial"/>
          <w:sz w:val="16"/>
          <w:szCs w:val="16"/>
          <w:b w:val="1"/>
          <w:bCs w:val="1"/>
          <w:color w:val="FAAC16"/>
        </w:rPr>
      </w:pPr>
      <w:r>
        <w:rPr>
          <w:rFonts w:ascii="Arial" w:cs="Arial" w:eastAsia="Arial" w:hAnsi="Arial"/>
          <w:sz w:val="16"/>
          <w:szCs w:val="16"/>
          <w:color w:val="auto"/>
        </w:rPr>
        <w:t>Vessel operations</w:t>
      </w:r>
    </w:p>
    <w:p>
      <w:pPr>
        <w:spacing w:after="0" w:line="113" w:lineRule="exact"/>
        <w:rPr>
          <w:rFonts w:ascii="Arial" w:cs="Arial" w:eastAsia="Arial" w:hAnsi="Arial"/>
          <w:sz w:val="16"/>
          <w:szCs w:val="16"/>
          <w:b w:val="1"/>
          <w:bCs w:val="1"/>
          <w:color w:val="FAAC16"/>
        </w:rPr>
      </w:pPr>
    </w:p>
    <w:p>
      <w:pPr>
        <w:ind w:left="169" w:right="220" w:hanging="169"/>
        <w:spacing w:after="0" w:line="253" w:lineRule="auto"/>
        <w:tabs>
          <w:tab w:leader="none" w:pos="147" w:val="left"/>
        </w:tabs>
        <w:numPr>
          <w:ilvl w:val="0"/>
          <w:numId w:val="7"/>
        </w:numPr>
        <w:rPr>
          <w:rFonts w:ascii="Arial" w:cs="Arial" w:eastAsia="Arial" w:hAnsi="Arial"/>
          <w:sz w:val="16"/>
          <w:szCs w:val="16"/>
          <w:b w:val="1"/>
          <w:bCs w:val="1"/>
          <w:color w:val="FAAC16"/>
        </w:rPr>
      </w:pPr>
      <w:r>
        <w:rPr>
          <w:rFonts w:ascii="Arial" w:cs="Arial" w:eastAsia="Arial" w:hAnsi="Arial"/>
          <w:sz w:val="16"/>
          <w:szCs w:val="16"/>
          <w:color w:val="auto"/>
        </w:rPr>
        <w:t>Administrative support for ocean transport</w:t>
      </w:r>
    </w:p>
    <w:p>
      <w:pPr>
        <w:spacing w:after="0" w:line="93" w:lineRule="exact"/>
        <w:rPr>
          <w:rFonts w:ascii="Arial" w:cs="Arial" w:eastAsia="Arial" w:hAnsi="Arial"/>
          <w:sz w:val="16"/>
          <w:szCs w:val="16"/>
          <w:b w:val="1"/>
          <w:bCs w:val="1"/>
          <w:color w:val="FAAC16"/>
        </w:rPr>
      </w:pPr>
    </w:p>
    <w:p>
      <w:pPr>
        <w:ind w:left="169" w:right="480" w:hanging="169"/>
        <w:spacing w:after="0" w:line="293" w:lineRule="auto"/>
        <w:tabs>
          <w:tab w:leader="none" w:pos="144" w:val="left"/>
        </w:tabs>
        <w:numPr>
          <w:ilvl w:val="0"/>
          <w:numId w:val="7"/>
        </w:numPr>
        <w:rPr>
          <w:rFonts w:ascii="Arial" w:cs="Arial" w:eastAsia="Arial" w:hAnsi="Arial"/>
          <w:sz w:val="15"/>
          <w:szCs w:val="15"/>
          <w:b w:val="1"/>
          <w:bCs w:val="1"/>
          <w:color w:val="FAAC16"/>
        </w:rPr>
      </w:pPr>
      <w:r>
        <w:rPr>
          <w:rFonts w:ascii="Arial" w:cs="Arial" w:eastAsia="Arial" w:hAnsi="Arial"/>
          <w:sz w:val="15"/>
          <w:szCs w:val="15"/>
          <w:color w:val="auto"/>
        </w:rPr>
        <w:t>Transportation analytics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52" w:right="1740" w:hanging="152"/>
        <w:spacing w:after="0" w:line="260" w:lineRule="auto"/>
        <w:tabs>
          <w:tab w:leader="none" w:pos="130" w:val="left"/>
        </w:tabs>
        <w:numPr>
          <w:ilvl w:val="0"/>
          <w:numId w:val="8"/>
        </w:numPr>
        <w:rPr>
          <w:rFonts w:ascii="Arial" w:cs="Arial" w:eastAsia="Arial" w:hAnsi="Arial"/>
          <w:sz w:val="16"/>
          <w:szCs w:val="16"/>
          <w:b w:val="1"/>
          <w:bCs w:val="1"/>
          <w:color w:val="FAAC16"/>
        </w:rPr>
      </w:pPr>
      <w:r>
        <w:rPr>
          <w:rFonts w:ascii="Arial" w:cs="Arial" w:eastAsia="Arial" w:hAnsi="Arial"/>
          <w:sz w:val="16"/>
          <w:szCs w:val="16"/>
          <w:color w:val="auto"/>
        </w:rPr>
        <w:t>Revenue leakage</w:t>
      </w:r>
    </w:p>
    <w:p>
      <w:pPr>
        <w:spacing w:after="0" w:line="87" w:lineRule="exact"/>
        <w:rPr>
          <w:rFonts w:ascii="Arial" w:cs="Arial" w:eastAsia="Arial" w:hAnsi="Arial"/>
          <w:sz w:val="16"/>
          <w:szCs w:val="16"/>
          <w:b w:val="1"/>
          <w:bCs w:val="1"/>
          <w:color w:val="FAAC16"/>
        </w:rPr>
      </w:pPr>
    </w:p>
    <w:p>
      <w:pPr>
        <w:ind w:left="152" w:right="1460" w:hanging="152"/>
        <w:spacing w:after="0" w:line="260" w:lineRule="auto"/>
        <w:tabs>
          <w:tab w:leader="none" w:pos="130" w:val="left"/>
        </w:tabs>
        <w:numPr>
          <w:ilvl w:val="0"/>
          <w:numId w:val="8"/>
        </w:numPr>
        <w:rPr>
          <w:rFonts w:ascii="Arial" w:cs="Arial" w:eastAsia="Arial" w:hAnsi="Arial"/>
          <w:sz w:val="16"/>
          <w:szCs w:val="16"/>
          <w:b w:val="1"/>
          <w:bCs w:val="1"/>
          <w:color w:val="FAAC16"/>
        </w:rPr>
      </w:pPr>
      <w:r>
        <w:rPr>
          <w:rFonts w:ascii="Arial" w:cs="Arial" w:eastAsia="Arial" w:hAnsi="Arial"/>
          <w:sz w:val="16"/>
          <w:szCs w:val="16"/>
          <w:color w:val="auto"/>
        </w:rPr>
        <w:t>Freight classification</w:t>
      </w:r>
    </w:p>
    <w:p>
      <w:pPr>
        <w:spacing w:after="0" w:line="87" w:lineRule="exact"/>
        <w:rPr>
          <w:rFonts w:ascii="Arial" w:cs="Arial" w:eastAsia="Arial" w:hAnsi="Arial"/>
          <w:sz w:val="16"/>
          <w:szCs w:val="16"/>
          <w:b w:val="1"/>
          <w:bCs w:val="1"/>
          <w:color w:val="FAAC16"/>
        </w:rPr>
      </w:pPr>
    </w:p>
    <w:p>
      <w:pPr>
        <w:ind w:left="152" w:right="1320" w:hanging="152"/>
        <w:spacing w:after="0" w:line="253" w:lineRule="auto"/>
        <w:tabs>
          <w:tab w:leader="none" w:pos="130" w:val="left"/>
        </w:tabs>
        <w:numPr>
          <w:ilvl w:val="0"/>
          <w:numId w:val="8"/>
        </w:numPr>
        <w:rPr>
          <w:rFonts w:ascii="Arial" w:cs="Arial" w:eastAsia="Arial" w:hAnsi="Arial"/>
          <w:sz w:val="16"/>
          <w:szCs w:val="16"/>
          <w:b w:val="1"/>
          <w:bCs w:val="1"/>
          <w:color w:val="FAAC16"/>
        </w:rPr>
      </w:pPr>
      <w:r>
        <w:rPr>
          <w:rFonts w:ascii="Arial" w:cs="Arial" w:eastAsia="Arial" w:hAnsi="Arial"/>
          <w:sz w:val="16"/>
          <w:szCs w:val="16"/>
          <w:color w:val="auto"/>
        </w:rPr>
        <w:t>Freight bill and payment audits</w:t>
      </w:r>
    </w:p>
    <w:p>
      <w:pPr>
        <w:spacing w:after="0" w:line="93" w:lineRule="exact"/>
        <w:rPr>
          <w:rFonts w:ascii="Arial" w:cs="Arial" w:eastAsia="Arial" w:hAnsi="Arial"/>
          <w:sz w:val="16"/>
          <w:szCs w:val="16"/>
          <w:b w:val="1"/>
          <w:bCs w:val="1"/>
          <w:color w:val="FAAC16"/>
        </w:rPr>
      </w:pPr>
    </w:p>
    <w:p>
      <w:pPr>
        <w:ind w:left="152" w:right="1600" w:hanging="152"/>
        <w:spacing w:after="0" w:line="260" w:lineRule="auto"/>
        <w:tabs>
          <w:tab w:leader="none" w:pos="130" w:val="left"/>
        </w:tabs>
        <w:numPr>
          <w:ilvl w:val="0"/>
          <w:numId w:val="8"/>
        </w:numPr>
        <w:rPr>
          <w:rFonts w:ascii="Arial" w:cs="Arial" w:eastAsia="Arial" w:hAnsi="Arial"/>
          <w:sz w:val="16"/>
          <w:szCs w:val="16"/>
          <w:b w:val="1"/>
          <w:bCs w:val="1"/>
          <w:color w:val="FAAC16"/>
        </w:rPr>
      </w:pPr>
      <w:r>
        <w:rPr>
          <w:rFonts w:ascii="Arial" w:cs="Arial" w:eastAsia="Arial" w:hAnsi="Arial"/>
          <w:sz w:val="16"/>
          <w:szCs w:val="16"/>
          <w:color w:val="auto"/>
        </w:rPr>
        <w:t>Cash application</w:t>
      </w:r>
    </w:p>
    <w:p>
      <w:pPr>
        <w:spacing w:after="0" w:line="87" w:lineRule="exact"/>
        <w:rPr>
          <w:rFonts w:ascii="Arial" w:cs="Arial" w:eastAsia="Arial" w:hAnsi="Arial"/>
          <w:sz w:val="16"/>
          <w:szCs w:val="16"/>
          <w:b w:val="1"/>
          <w:bCs w:val="1"/>
          <w:color w:val="FAAC16"/>
        </w:rPr>
      </w:pPr>
    </w:p>
    <w:p>
      <w:pPr>
        <w:ind w:left="132" w:hanging="132"/>
        <w:spacing w:after="0"/>
        <w:tabs>
          <w:tab w:leader="none" w:pos="132" w:val="left"/>
        </w:tabs>
        <w:numPr>
          <w:ilvl w:val="0"/>
          <w:numId w:val="8"/>
        </w:numPr>
        <w:rPr>
          <w:rFonts w:ascii="Arial" w:cs="Arial" w:eastAsia="Arial" w:hAnsi="Arial"/>
          <w:sz w:val="16"/>
          <w:szCs w:val="16"/>
          <w:b w:val="1"/>
          <w:bCs w:val="1"/>
          <w:color w:val="FAAC16"/>
        </w:rPr>
      </w:pPr>
      <w:r>
        <w:rPr>
          <w:rFonts w:ascii="Arial" w:cs="Arial" w:eastAsia="Arial" w:hAnsi="Arial"/>
          <w:sz w:val="16"/>
          <w:szCs w:val="16"/>
          <w:color w:val="auto"/>
        </w:rPr>
        <w:t>Sales analytics</w:t>
      </w:r>
    </w:p>
    <w:p>
      <w:pPr>
        <w:spacing w:after="0" w:line="1139" w:lineRule="exact"/>
        <w:rPr>
          <w:sz w:val="20"/>
          <w:szCs w:val="20"/>
          <w:color w:val="auto"/>
        </w:rPr>
      </w:pPr>
    </w:p>
    <w:p>
      <w:pPr>
        <w:sectPr>
          <w:pgSz w:w="11900" w:h="16838" w:orient="portrait"/>
          <w:cols w:equalWidth="0" w:num="3">
            <w:col w:w="6760" w:space="251"/>
            <w:col w:w="1649" w:space="228"/>
            <w:col w:w="2532"/>
          </w:cols>
          <w:pgMar w:left="240" w:top="337" w:right="239" w:bottom="1440" w:gutter="0" w:footer="0" w:header="0"/>
          <w:type w:val="continuous"/>
        </w:sectPr>
      </w:pPr>
    </w:p>
    <w:p>
      <w:pPr>
        <w:spacing w:after="0" w:line="28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b w:val="1"/>
          <w:bCs w:val="1"/>
          <w:i w:val="1"/>
          <w:iCs w:val="1"/>
          <w:color w:val="auto"/>
        </w:rPr>
        <w:t xml:space="preserve">Finance and Accounting: </w:t>
      </w:r>
      <w:r>
        <w:rPr>
          <w:rFonts w:ascii="Arial" w:cs="Arial" w:eastAsia="Arial" w:hAnsi="Arial"/>
          <w:sz w:val="18"/>
          <w:szCs w:val="18"/>
          <w:color w:val="auto"/>
        </w:rPr>
        <w:t>We provide Operations Management solutions to finance organizations through our finance and accounting (“F&amp;A”) center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excellence. We provide integrated end-to-end F&amp;A services across an array of F&amp;A processes including procure to pay, order to cash, hire to retire, record to report, regulatory reporting, financial planning and analysis, audit &amp; assurance, treasury and tax processes. Our F&amp;A Operations Management solutions are provided to clients across a broad spectrum of industries. We also provide industry specific F&amp;A services across our key F&amp;A verticals including Insurance &amp; Healthcare, Financial Services, Utilities and Travel, Transportation and Logistics. We also provide integrated BPaaS solutions in the procure to pay, order to cash and record to report areas through our proprietary technology platforms or through our strategic partnerships with third party technology platform providers.</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Our Finance and Accounting solutions include:</w:t>
      </w:r>
    </w:p>
    <w:p>
      <w:pPr>
        <w:spacing w:after="0" w:line="263" w:lineRule="exact"/>
        <w:rPr>
          <w:sz w:val="20"/>
          <w:szCs w:val="20"/>
          <w:color w:val="auto"/>
        </w:rPr>
      </w:pPr>
    </w:p>
    <w:p>
      <w:pPr>
        <w:ind w:left="2000"/>
        <w:spacing w:after="0"/>
        <w:rPr>
          <w:sz w:val="20"/>
          <w:szCs w:val="20"/>
          <w:color w:val="auto"/>
        </w:rPr>
      </w:pPr>
      <w:r>
        <w:rPr>
          <w:rFonts w:ascii="Arial" w:cs="Arial" w:eastAsia="Arial" w:hAnsi="Arial"/>
          <w:sz w:val="25"/>
          <w:szCs w:val="25"/>
          <w:b w:val="1"/>
          <w:bCs w:val="1"/>
          <w:color w:val="FFFFFF"/>
        </w:rPr>
        <w:t>Finance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-179705</wp:posOffset>
            </wp:positionV>
            <wp:extent cx="1809750" cy="411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9750" cy="411480"/>
                    </a:xfrm>
                    <a:prstGeom prst="rect">
                      <a:avLst/>
                    </a:prstGeom>
                    <a:noFill/>
                  </pic:spPr>
                </pic:pic>
              </a:graphicData>
            </a:graphic>
          </wp:anchor>
        </w:drawing>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5"/>
          <w:szCs w:val="25"/>
          <w:b w:val="1"/>
          <w:bCs w:val="1"/>
          <w:color w:val="FFFFFF"/>
        </w:rPr>
        <w:t>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22225</wp:posOffset>
            </wp:positionV>
            <wp:extent cx="5591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pacing w:after="0" w:line="28" w:lineRule="exact"/>
        <w:rPr>
          <w:sz w:val="20"/>
          <w:szCs w:val="20"/>
          <w:color w:val="auto"/>
        </w:rPr>
      </w:pPr>
    </w:p>
    <w:p>
      <w:pPr>
        <w:ind w:left="1340"/>
        <w:spacing w:after="0"/>
        <w:tabs>
          <w:tab w:leader="none" w:pos="2920" w:val="left"/>
          <w:tab w:leader="none" w:pos="4280" w:val="left"/>
          <w:tab w:leader="none" w:pos="6080" w:val="left"/>
          <w:tab w:leader="none" w:pos="7660" w:val="left"/>
        </w:tabs>
        <w:rPr>
          <w:sz w:val="20"/>
          <w:szCs w:val="20"/>
          <w:color w:val="auto"/>
        </w:rPr>
      </w:pPr>
      <w:r>
        <w:rPr>
          <w:rFonts w:ascii="Arial" w:cs="Arial" w:eastAsia="Arial" w:hAnsi="Arial"/>
          <w:sz w:val="20"/>
          <w:szCs w:val="20"/>
          <w:b w:val="1"/>
          <w:bCs w:val="1"/>
          <w:color w:val="FAAC16"/>
        </w:rPr>
        <w:t>Procure</w:t>
      </w:r>
      <w:r>
        <w:rPr>
          <w:sz w:val="20"/>
          <w:szCs w:val="20"/>
          <w:color w:val="auto"/>
        </w:rPr>
        <w:tab/>
      </w:r>
      <w:r>
        <w:rPr>
          <w:rFonts w:ascii="Arial" w:cs="Arial" w:eastAsia="Arial" w:hAnsi="Arial"/>
          <w:sz w:val="20"/>
          <w:szCs w:val="20"/>
          <w:b w:val="1"/>
          <w:bCs w:val="1"/>
          <w:color w:val="FAAC16"/>
        </w:rPr>
        <w:t>Order</w:t>
      </w:r>
      <w:r>
        <w:rPr>
          <w:sz w:val="20"/>
          <w:szCs w:val="20"/>
          <w:color w:val="auto"/>
        </w:rPr>
        <w:tab/>
      </w:r>
      <w:r>
        <w:rPr>
          <w:rFonts w:ascii="Arial" w:cs="Arial" w:eastAsia="Arial" w:hAnsi="Arial"/>
          <w:sz w:val="20"/>
          <w:szCs w:val="20"/>
          <w:b w:val="1"/>
          <w:bCs w:val="1"/>
          <w:color w:val="FAAC16"/>
        </w:rPr>
        <w:t>Hire</w:t>
      </w:r>
      <w:r>
        <w:rPr>
          <w:sz w:val="20"/>
          <w:szCs w:val="20"/>
          <w:color w:val="auto"/>
        </w:rPr>
        <w:tab/>
      </w:r>
      <w:r>
        <w:rPr>
          <w:rFonts w:ascii="Arial" w:cs="Arial" w:eastAsia="Arial" w:hAnsi="Arial"/>
          <w:sz w:val="20"/>
          <w:szCs w:val="20"/>
          <w:b w:val="1"/>
          <w:bCs w:val="1"/>
          <w:color w:val="FAAC16"/>
        </w:rPr>
        <w:t>Record</w:t>
      </w:r>
      <w:r>
        <w:rPr>
          <w:sz w:val="20"/>
          <w:szCs w:val="20"/>
          <w:color w:val="auto"/>
        </w:rPr>
        <w:tab/>
      </w:r>
      <w:r>
        <w:rPr>
          <w:rFonts w:ascii="Arial" w:cs="Arial" w:eastAsia="Arial" w:hAnsi="Arial"/>
          <w:sz w:val="19"/>
          <w:szCs w:val="19"/>
          <w:b w:val="1"/>
          <w:bCs w:val="1"/>
          <w:color w:val="FAAC16"/>
        </w:rPr>
        <w:t>Treasury</w:t>
      </w:r>
    </w:p>
    <w:p>
      <w:pPr>
        <w:spacing w:after="0" w:line="10" w:lineRule="exact"/>
        <w:rPr>
          <w:sz w:val="20"/>
          <w:szCs w:val="20"/>
          <w:color w:val="auto"/>
        </w:rPr>
      </w:pPr>
    </w:p>
    <w:p>
      <w:pPr>
        <w:jc w:val="right"/>
        <w:ind w:right="2820"/>
        <w:spacing w:after="0"/>
        <w:tabs>
          <w:tab w:leader="none" w:pos="5640" w:val="left"/>
          <w:tab w:leader="none" w:pos="4280" w:val="left"/>
          <w:tab w:leader="none" w:pos="2480" w:val="left"/>
          <w:tab w:leader="none" w:pos="900" w:val="left"/>
        </w:tabs>
        <w:rPr>
          <w:sz w:val="20"/>
          <w:szCs w:val="20"/>
          <w:color w:val="auto"/>
        </w:rPr>
      </w:pPr>
      <w:r>
        <w:rPr>
          <w:rFonts w:ascii="Arial" w:cs="Arial" w:eastAsia="Arial" w:hAnsi="Arial"/>
          <w:sz w:val="20"/>
          <w:szCs w:val="20"/>
          <w:b w:val="1"/>
          <w:bCs w:val="1"/>
          <w:color w:val="FAAC16"/>
        </w:rPr>
        <w:t>to pay</w:t>
      </w:r>
      <w:r>
        <w:rPr>
          <w:sz w:val="20"/>
          <w:szCs w:val="20"/>
          <w:color w:val="auto"/>
        </w:rPr>
        <w:tab/>
      </w:r>
      <w:r>
        <w:rPr>
          <w:rFonts w:ascii="Arial" w:cs="Arial" w:eastAsia="Arial" w:hAnsi="Arial"/>
          <w:sz w:val="20"/>
          <w:szCs w:val="20"/>
          <w:b w:val="1"/>
          <w:bCs w:val="1"/>
          <w:color w:val="FAAC16"/>
        </w:rPr>
        <w:t>to cash</w:t>
      </w:r>
      <w:r>
        <w:rPr>
          <w:sz w:val="20"/>
          <w:szCs w:val="20"/>
          <w:color w:val="auto"/>
        </w:rPr>
        <w:tab/>
      </w:r>
      <w:r>
        <w:rPr>
          <w:rFonts w:ascii="Arial" w:cs="Arial" w:eastAsia="Arial" w:hAnsi="Arial"/>
          <w:sz w:val="20"/>
          <w:szCs w:val="20"/>
          <w:b w:val="1"/>
          <w:bCs w:val="1"/>
          <w:color w:val="FAAC16"/>
        </w:rPr>
        <w:t>to retire</w:t>
      </w:r>
      <w:r>
        <w:rPr>
          <w:sz w:val="20"/>
          <w:szCs w:val="20"/>
          <w:color w:val="auto"/>
        </w:rPr>
        <w:tab/>
      </w:r>
      <w:r>
        <w:rPr>
          <w:rFonts w:ascii="Arial" w:cs="Arial" w:eastAsia="Arial" w:hAnsi="Arial"/>
          <w:sz w:val="20"/>
          <w:szCs w:val="20"/>
          <w:b w:val="1"/>
          <w:bCs w:val="1"/>
          <w:color w:val="FAAC16"/>
        </w:rPr>
        <w:t>to report</w:t>
      </w:r>
      <w:r>
        <w:rPr>
          <w:sz w:val="20"/>
          <w:szCs w:val="20"/>
          <w:color w:val="auto"/>
        </w:rPr>
        <w:tab/>
      </w:r>
      <w:r>
        <w:rPr>
          <w:rFonts w:ascii="Arial" w:cs="Arial" w:eastAsia="Arial" w:hAnsi="Arial"/>
          <w:sz w:val="19"/>
          <w:szCs w:val="19"/>
          <w:b w:val="1"/>
          <w:bCs w:val="1"/>
          <w:color w:val="FAAC16"/>
        </w:rPr>
        <w:t>and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147955</wp:posOffset>
            </wp:positionV>
            <wp:extent cx="5591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75" w:lineRule="exact"/>
        <w:rPr>
          <w:sz w:val="20"/>
          <w:szCs w:val="20"/>
          <w:color w:val="auto"/>
        </w:rPr>
      </w:pPr>
    </w:p>
    <w:p>
      <w:pPr>
        <w:ind w:left="1480" w:hanging="142"/>
        <w:spacing w:after="0"/>
        <w:tabs>
          <w:tab w:leader="none" w:pos="1480" w:val="left"/>
        </w:tabs>
        <w:numPr>
          <w:ilvl w:val="0"/>
          <w:numId w:val="9"/>
        </w:numPr>
        <w:rPr>
          <w:rFonts w:ascii="Arial" w:cs="Arial" w:eastAsia="Arial" w:hAnsi="Arial"/>
          <w:sz w:val="16"/>
          <w:szCs w:val="16"/>
          <w:b w:val="1"/>
          <w:bCs w:val="1"/>
          <w:color w:val="FAAC16"/>
        </w:rPr>
      </w:pPr>
      <w:r>
        <w:rPr>
          <w:rFonts w:ascii="Arial" w:cs="Arial" w:eastAsia="Arial" w:hAnsi="Arial"/>
          <w:sz w:val="16"/>
          <w:szCs w:val="16"/>
          <w:color w:val="auto"/>
        </w:rPr>
        <w:t>Sourcing strategy</w:t>
      </w:r>
    </w:p>
    <w:p>
      <w:pPr>
        <w:spacing w:after="0" w:line="113" w:lineRule="exact"/>
        <w:rPr>
          <w:rFonts w:ascii="Arial" w:cs="Arial" w:eastAsia="Arial" w:hAnsi="Arial"/>
          <w:sz w:val="16"/>
          <w:szCs w:val="16"/>
          <w:b w:val="1"/>
          <w:bCs w:val="1"/>
          <w:color w:val="FAAC16"/>
        </w:rPr>
      </w:pPr>
    </w:p>
    <w:p>
      <w:pPr>
        <w:ind w:left="1480" w:hanging="142"/>
        <w:spacing w:after="0"/>
        <w:tabs>
          <w:tab w:leader="none" w:pos="1480" w:val="left"/>
        </w:tabs>
        <w:numPr>
          <w:ilvl w:val="0"/>
          <w:numId w:val="9"/>
        </w:numPr>
        <w:rPr>
          <w:rFonts w:ascii="Arial" w:cs="Arial" w:eastAsia="Arial" w:hAnsi="Arial"/>
          <w:sz w:val="16"/>
          <w:szCs w:val="16"/>
          <w:b w:val="1"/>
          <w:bCs w:val="1"/>
          <w:color w:val="FAAC16"/>
        </w:rPr>
      </w:pPr>
      <w:r>
        <w:rPr>
          <w:rFonts w:ascii="Arial" w:cs="Arial" w:eastAsia="Arial" w:hAnsi="Arial"/>
          <w:sz w:val="16"/>
          <w:szCs w:val="16"/>
          <w:color w:val="auto"/>
        </w:rPr>
        <w:t>Procurement</w:t>
      </w:r>
    </w:p>
    <w:p>
      <w:pPr>
        <w:spacing w:after="0" w:line="113" w:lineRule="exact"/>
        <w:rPr>
          <w:rFonts w:ascii="Arial" w:cs="Arial" w:eastAsia="Arial" w:hAnsi="Arial"/>
          <w:sz w:val="16"/>
          <w:szCs w:val="16"/>
          <w:b w:val="1"/>
          <w:bCs w:val="1"/>
          <w:color w:val="FAAC16"/>
        </w:rPr>
      </w:pPr>
    </w:p>
    <w:p>
      <w:pPr>
        <w:jc w:val="both"/>
        <w:ind w:left="1500" w:right="140" w:hanging="162"/>
        <w:spacing w:after="0" w:line="260" w:lineRule="auto"/>
        <w:tabs>
          <w:tab w:leader="none" w:pos="1477" w:val="left"/>
        </w:tabs>
        <w:numPr>
          <w:ilvl w:val="0"/>
          <w:numId w:val="9"/>
        </w:numPr>
        <w:rPr>
          <w:rFonts w:ascii="Arial" w:cs="Arial" w:eastAsia="Arial" w:hAnsi="Arial"/>
          <w:sz w:val="16"/>
          <w:szCs w:val="16"/>
          <w:b w:val="1"/>
          <w:bCs w:val="1"/>
          <w:color w:val="FAAC16"/>
        </w:rPr>
      </w:pPr>
      <w:r>
        <w:rPr>
          <w:rFonts w:ascii="Arial" w:cs="Arial" w:eastAsia="Arial" w:hAnsi="Arial"/>
          <w:sz w:val="16"/>
          <w:szCs w:val="16"/>
          <w:color w:val="auto"/>
        </w:rPr>
        <w:t>Invoice capture and processing</w:t>
      </w:r>
    </w:p>
    <w:p>
      <w:pPr>
        <w:spacing w:after="0" w:line="87" w:lineRule="exact"/>
        <w:rPr>
          <w:rFonts w:ascii="Arial" w:cs="Arial" w:eastAsia="Arial" w:hAnsi="Arial"/>
          <w:sz w:val="16"/>
          <w:szCs w:val="16"/>
          <w:b w:val="1"/>
          <w:bCs w:val="1"/>
          <w:color w:val="FAAC16"/>
        </w:rPr>
      </w:pPr>
    </w:p>
    <w:p>
      <w:pPr>
        <w:ind w:left="1480" w:hanging="142"/>
        <w:spacing w:after="0"/>
        <w:tabs>
          <w:tab w:leader="none" w:pos="1480" w:val="left"/>
        </w:tabs>
        <w:numPr>
          <w:ilvl w:val="0"/>
          <w:numId w:val="9"/>
        </w:numPr>
        <w:rPr>
          <w:rFonts w:ascii="Arial" w:cs="Arial" w:eastAsia="Arial" w:hAnsi="Arial"/>
          <w:sz w:val="16"/>
          <w:szCs w:val="16"/>
          <w:b w:val="1"/>
          <w:bCs w:val="1"/>
          <w:color w:val="FAAC16"/>
        </w:rPr>
      </w:pPr>
      <w:r>
        <w:rPr>
          <w:rFonts w:ascii="Arial" w:cs="Arial" w:eastAsia="Arial" w:hAnsi="Arial"/>
          <w:sz w:val="16"/>
          <w:szCs w:val="16"/>
          <w:color w:val="auto"/>
        </w:rPr>
        <w:t>Disbursements</w:t>
      </w:r>
    </w:p>
    <w:p>
      <w:pPr>
        <w:spacing w:after="0" w:line="113" w:lineRule="exact"/>
        <w:rPr>
          <w:rFonts w:ascii="Arial" w:cs="Arial" w:eastAsia="Arial" w:hAnsi="Arial"/>
          <w:sz w:val="16"/>
          <w:szCs w:val="16"/>
          <w:b w:val="1"/>
          <w:bCs w:val="1"/>
          <w:color w:val="FAAC16"/>
        </w:rPr>
      </w:pPr>
    </w:p>
    <w:p>
      <w:pPr>
        <w:ind w:left="1480" w:hanging="142"/>
        <w:spacing w:after="0"/>
        <w:tabs>
          <w:tab w:leader="none" w:pos="1480" w:val="left"/>
        </w:tabs>
        <w:numPr>
          <w:ilvl w:val="0"/>
          <w:numId w:val="9"/>
        </w:numPr>
        <w:rPr>
          <w:rFonts w:ascii="Arial" w:cs="Arial" w:eastAsia="Arial" w:hAnsi="Arial"/>
          <w:sz w:val="16"/>
          <w:szCs w:val="16"/>
          <w:b w:val="1"/>
          <w:bCs w:val="1"/>
          <w:color w:val="FAAC16"/>
        </w:rPr>
      </w:pPr>
      <w:r>
        <w:rPr>
          <w:rFonts w:ascii="Arial" w:cs="Arial" w:eastAsia="Arial" w:hAnsi="Arial"/>
          <w:sz w:val="16"/>
          <w:szCs w:val="16"/>
          <w:color w:val="auto"/>
        </w:rPr>
        <w:t>Spend analysis</w:t>
      </w:r>
    </w:p>
    <w:p>
      <w:pPr>
        <w:spacing w:after="0" w:line="113" w:lineRule="exact"/>
        <w:rPr>
          <w:rFonts w:ascii="Arial" w:cs="Arial" w:eastAsia="Arial" w:hAnsi="Arial"/>
          <w:sz w:val="16"/>
          <w:szCs w:val="16"/>
          <w:b w:val="1"/>
          <w:bCs w:val="1"/>
          <w:color w:val="FAAC16"/>
        </w:rPr>
      </w:pPr>
    </w:p>
    <w:p>
      <w:pPr>
        <w:ind w:left="1500" w:right="20" w:hanging="162"/>
        <w:spacing w:after="0" w:line="260" w:lineRule="auto"/>
        <w:tabs>
          <w:tab w:leader="none" w:pos="1477" w:val="left"/>
        </w:tabs>
        <w:numPr>
          <w:ilvl w:val="0"/>
          <w:numId w:val="9"/>
        </w:numPr>
        <w:rPr>
          <w:rFonts w:ascii="Arial" w:cs="Arial" w:eastAsia="Arial" w:hAnsi="Arial"/>
          <w:sz w:val="16"/>
          <w:szCs w:val="16"/>
          <w:b w:val="1"/>
          <w:bCs w:val="1"/>
          <w:color w:val="FAAC16"/>
        </w:rPr>
      </w:pPr>
      <w:r>
        <w:rPr>
          <w:rFonts w:ascii="Arial" w:cs="Arial" w:eastAsia="Arial" w:hAnsi="Arial"/>
          <w:sz w:val="16"/>
          <w:szCs w:val="16"/>
          <w:color w:val="auto"/>
        </w:rPr>
        <w:t>Contact and data services</w:t>
      </w:r>
    </w:p>
    <w:p>
      <w:pPr>
        <w:spacing w:after="0" w:line="87" w:lineRule="exact"/>
        <w:rPr>
          <w:rFonts w:ascii="Arial" w:cs="Arial" w:eastAsia="Arial" w:hAnsi="Arial"/>
          <w:sz w:val="16"/>
          <w:szCs w:val="16"/>
          <w:b w:val="1"/>
          <w:bCs w:val="1"/>
          <w:color w:val="FAAC16"/>
        </w:rPr>
      </w:pPr>
    </w:p>
    <w:p>
      <w:pPr>
        <w:ind w:left="1500" w:right="300" w:hanging="162"/>
        <w:spacing w:after="0" w:line="260" w:lineRule="auto"/>
        <w:tabs>
          <w:tab w:leader="none" w:pos="1477" w:val="left"/>
        </w:tabs>
        <w:numPr>
          <w:ilvl w:val="0"/>
          <w:numId w:val="9"/>
        </w:numPr>
        <w:rPr>
          <w:rFonts w:ascii="Arial" w:cs="Arial" w:eastAsia="Arial" w:hAnsi="Arial"/>
          <w:sz w:val="16"/>
          <w:szCs w:val="16"/>
          <w:b w:val="1"/>
          <w:bCs w:val="1"/>
          <w:color w:val="FAAC16"/>
        </w:rPr>
      </w:pPr>
      <w:r>
        <w:rPr>
          <w:rFonts w:ascii="Arial" w:cs="Arial" w:eastAsia="Arial" w:hAnsi="Arial"/>
          <w:sz w:val="16"/>
          <w:szCs w:val="16"/>
          <w:color w:val="auto"/>
        </w:rPr>
        <w:t>Master data management</w:t>
      </w:r>
    </w:p>
    <w:p>
      <w:pPr>
        <w:spacing w:after="0" w:line="87" w:lineRule="exact"/>
        <w:rPr>
          <w:rFonts w:ascii="Arial" w:cs="Arial" w:eastAsia="Arial" w:hAnsi="Arial"/>
          <w:sz w:val="16"/>
          <w:szCs w:val="16"/>
          <w:b w:val="1"/>
          <w:bCs w:val="1"/>
          <w:color w:val="FAAC16"/>
        </w:rPr>
      </w:pPr>
    </w:p>
    <w:p>
      <w:pPr>
        <w:ind w:left="1480" w:hanging="142"/>
        <w:spacing w:after="0"/>
        <w:tabs>
          <w:tab w:leader="none" w:pos="1480" w:val="left"/>
        </w:tabs>
        <w:numPr>
          <w:ilvl w:val="0"/>
          <w:numId w:val="9"/>
        </w:numPr>
        <w:rPr>
          <w:rFonts w:ascii="Arial" w:cs="Arial" w:eastAsia="Arial" w:hAnsi="Arial"/>
          <w:sz w:val="16"/>
          <w:szCs w:val="16"/>
          <w:b w:val="1"/>
          <w:bCs w:val="1"/>
          <w:color w:val="FAAC16"/>
        </w:rPr>
      </w:pPr>
      <w:r>
        <w:rPr>
          <w:rFonts w:ascii="Arial" w:cs="Arial" w:eastAsia="Arial" w:hAnsi="Arial"/>
          <w:sz w:val="16"/>
          <w:szCs w:val="16"/>
          <w:color w:val="auto"/>
        </w:rPr>
        <w:t>T&amp;E processing</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ind w:left="148" w:hanging="148"/>
        <w:spacing w:after="0"/>
        <w:tabs>
          <w:tab w:leader="none" w:pos="148" w:val="left"/>
        </w:tabs>
        <w:numPr>
          <w:ilvl w:val="0"/>
          <w:numId w:val="10"/>
        </w:numPr>
        <w:rPr>
          <w:rFonts w:ascii="Arial" w:cs="Arial" w:eastAsia="Arial" w:hAnsi="Arial"/>
          <w:sz w:val="16"/>
          <w:szCs w:val="16"/>
          <w:b w:val="1"/>
          <w:bCs w:val="1"/>
          <w:color w:val="FAAC16"/>
        </w:rPr>
      </w:pPr>
      <w:r>
        <w:rPr>
          <w:rFonts w:ascii="Arial" w:cs="Arial" w:eastAsia="Arial" w:hAnsi="Arial"/>
          <w:sz w:val="16"/>
          <w:szCs w:val="16"/>
          <w:color w:val="auto"/>
        </w:rPr>
        <w:t>Order entry</w:t>
      </w:r>
      <w:r>
        <w:rPr>
          <w:rFonts w:ascii="Arial" w:cs="Arial" w:eastAsia="Arial" w:hAnsi="Arial"/>
          <w:sz w:val="16"/>
          <w:szCs w:val="16"/>
          <w:b w:val="1"/>
          <w:bCs w:val="1"/>
          <w:color w:val="FAAC16"/>
        </w:rPr>
        <w:t xml:space="preserve">&gt; </w:t>
      </w:r>
      <w:r>
        <w:rPr>
          <w:rFonts w:ascii="Arial" w:cs="Arial" w:eastAsia="Arial" w:hAnsi="Arial"/>
          <w:sz w:val="16"/>
          <w:szCs w:val="16"/>
          <w:color w:val="000000"/>
        </w:rPr>
        <w:t>Payroll processing</w:t>
      </w:r>
    </w:p>
    <w:p>
      <w:pPr>
        <w:spacing w:after="0" w:line="2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1260" w:type="dxa"/>
            <w:vAlign w:val="bottom"/>
          </w:tcPr>
          <w:p>
            <w:pPr>
              <w:ind w:left="160"/>
              <w:spacing w:after="0"/>
              <w:rPr>
                <w:sz w:val="20"/>
                <w:szCs w:val="20"/>
                <w:color w:val="auto"/>
              </w:rPr>
            </w:pPr>
            <w:r>
              <w:rPr>
                <w:rFonts w:ascii="Arial" w:cs="Arial" w:eastAsia="Arial" w:hAnsi="Arial"/>
                <w:sz w:val="16"/>
                <w:szCs w:val="16"/>
                <w:color w:val="auto"/>
              </w:rPr>
              <w:t>and fulfillment</w:t>
            </w:r>
          </w:p>
        </w:tc>
        <w:tc>
          <w:tcPr>
            <w:tcW w:w="12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Benefits</w:t>
            </w:r>
          </w:p>
        </w:tc>
        <w:tc>
          <w:tcPr>
            <w:tcW w:w="0" w:type="dxa"/>
            <w:vAlign w:val="bottom"/>
          </w:tcPr>
          <w:p>
            <w:pPr>
              <w:spacing w:after="0"/>
              <w:rPr>
                <w:sz w:val="1"/>
                <w:szCs w:val="1"/>
                <w:color w:val="auto"/>
              </w:rPr>
            </w:pPr>
          </w:p>
        </w:tc>
      </w:tr>
      <w:tr>
        <w:trPr>
          <w:trHeight w:val="102"/>
        </w:trPr>
        <w:tc>
          <w:tcPr>
            <w:tcW w:w="126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Master data</w:t>
            </w: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260" w:type="dxa"/>
            <w:vAlign w:val="bottom"/>
            <w:vMerge w:val="continue"/>
          </w:tcPr>
          <w:p>
            <w:pPr>
              <w:spacing w:after="0"/>
              <w:rPr>
                <w:sz w:val="16"/>
                <w:szCs w:val="16"/>
                <w:color w:val="auto"/>
              </w:rPr>
            </w:pPr>
          </w:p>
        </w:tc>
        <w:tc>
          <w:tcPr>
            <w:tcW w:w="1260" w:type="dxa"/>
            <w:vAlign w:val="bottom"/>
          </w:tcPr>
          <w:p>
            <w:pPr>
              <w:ind w:left="260"/>
              <w:spacing w:after="0"/>
              <w:rPr>
                <w:sz w:val="20"/>
                <w:szCs w:val="20"/>
                <w:color w:val="auto"/>
              </w:rPr>
            </w:pPr>
            <w:r>
              <w:rPr>
                <w:rFonts w:ascii="Arial" w:cs="Arial" w:eastAsia="Arial" w:hAnsi="Arial"/>
                <w:sz w:val="16"/>
                <w:szCs w:val="16"/>
                <w:color w:val="auto"/>
                <w:w w:val="98"/>
              </w:rPr>
              <w:t>administration</w:t>
            </w:r>
          </w:p>
        </w:tc>
        <w:tc>
          <w:tcPr>
            <w:tcW w:w="0" w:type="dxa"/>
            <w:vAlign w:val="bottom"/>
          </w:tcPr>
          <w:p>
            <w:pPr>
              <w:spacing w:after="0"/>
              <w:rPr>
                <w:sz w:val="1"/>
                <w:szCs w:val="1"/>
                <w:color w:val="auto"/>
              </w:rPr>
            </w:pPr>
          </w:p>
        </w:tc>
      </w:tr>
      <w:tr>
        <w:trPr>
          <w:trHeight w:val="195"/>
        </w:trPr>
        <w:tc>
          <w:tcPr>
            <w:tcW w:w="1260" w:type="dxa"/>
            <w:vAlign w:val="bottom"/>
          </w:tcPr>
          <w:p>
            <w:pPr>
              <w:ind w:left="160"/>
              <w:spacing w:after="0"/>
              <w:rPr>
                <w:sz w:val="20"/>
                <w:szCs w:val="20"/>
                <w:color w:val="auto"/>
              </w:rPr>
            </w:pPr>
            <w:r>
              <w:rPr>
                <w:rFonts w:ascii="Arial" w:cs="Arial" w:eastAsia="Arial" w:hAnsi="Arial"/>
                <w:sz w:val="16"/>
                <w:szCs w:val="16"/>
                <w:color w:val="auto"/>
              </w:rPr>
              <w:t>management</w:t>
            </w:r>
          </w:p>
        </w:tc>
        <w:tc>
          <w:tcPr>
            <w:tcW w:w="12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Workplace</w:t>
            </w:r>
          </w:p>
        </w:tc>
        <w:tc>
          <w:tcPr>
            <w:tcW w:w="0" w:type="dxa"/>
            <w:vAlign w:val="bottom"/>
          </w:tcPr>
          <w:p>
            <w:pPr>
              <w:spacing w:after="0"/>
              <w:rPr>
                <w:sz w:val="1"/>
                <w:szCs w:val="1"/>
                <w:color w:val="auto"/>
              </w:rPr>
            </w:pPr>
          </w:p>
        </w:tc>
      </w:tr>
      <w:tr>
        <w:trPr>
          <w:trHeight w:val="102"/>
        </w:trPr>
        <w:tc>
          <w:tcPr>
            <w:tcW w:w="126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Billing</w:t>
            </w: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260" w:type="dxa"/>
            <w:vAlign w:val="bottom"/>
            <w:vMerge w:val="continue"/>
          </w:tcPr>
          <w:p>
            <w:pPr>
              <w:spacing w:after="0"/>
              <w:rPr>
                <w:sz w:val="16"/>
                <w:szCs w:val="16"/>
                <w:color w:val="auto"/>
              </w:rPr>
            </w:pPr>
          </w:p>
        </w:tc>
        <w:tc>
          <w:tcPr>
            <w:tcW w:w="1260" w:type="dxa"/>
            <w:vAlign w:val="bottom"/>
          </w:tcPr>
          <w:p>
            <w:pPr>
              <w:ind w:left="260"/>
              <w:spacing w:after="0"/>
              <w:rPr>
                <w:sz w:val="20"/>
                <w:szCs w:val="20"/>
                <w:color w:val="auto"/>
              </w:rPr>
            </w:pPr>
            <w:r>
              <w:rPr>
                <w:rFonts w:ascii="Arial" w:cs="Arial" w:eastAsia="Arial" w:hAnsi="Arial"/>
                <w:sz w:val="16"/>
                <w:szCs w:val="16"/>
                <w:color w:val="auto"/>
                <w:w w:val="98"/>
              </w:rPr>
              <w:t>administration</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148" w:hanging="148"/>
        <w:spacing w:after="0"/>
        <w:tabs>
          <w:tab w:leader="none" w:pos="148" w:val="left"/>
        </w:tabs>
        <w:numPr>
          <w:ilvl w:val="0"/>
          <w:numId w:val="11"/>
        </w:numPr>
        <w:rPr>
          <w:rFonts w:ascii="Arial" w:cs="Arial" w:eastAsia="Arial" w:hAnsi="Arial"/>
          <w:sz w:val="16"/>
          <w:szCs w:val="16"/>
          <w:b w:val="1"/>
          <w:bCs w:val="1"/>
          <w:color w:val="FAAC16"/>
        </w:rPr>
      </w:pPr>
      <w:r>
        <w:rPr>
          <w:rFonts w:ascii="Arial" w:cs="Arial" w:eastAsia="Arial" w:hAnsi="Arial"/>
          <w:sz w:val="16"/>
          <w:szCs w:val="16"/>
          <w:color w:val="auto"/>
        </w:rPr>
        <w:t>Deductions</w:t>
      </w:r>
      <w:r>
        <w:rPr>
          <w:rFonts w:ascii="Arial" w:cs="Arial" w:eastAsia="Arial" w:hAnsi="Arial"/>
          <w:sz w:val="16"/>
          <w:szCs w:val="16"/>
          <w:b w:val="1"/>
          <w:bCs w:val="1"/>
          <w:color w:val="FAAC16"/>
        </w:rPr>
        <w:t xml:space="preserve">&gt; </w:t>
      </w:r>
      <w:r>
        <w:rPr>
          <w:rFonts w:ascii="Arial" w:cs="Arial" w:eastAsia="Arial" w:hAnsi="Arial"/>
          <w:sz w:val="16"/>
          <w:szCs w:val="16"/>
          <w:color w:val="000000"/>
        </w:rPr>
        <w:t>Stock option and</w:t>
      </w:r>
    </w:p>
    <w:p>
      <w:pPr>
        <w:spacing w:after="0" w:line="25" w:lineRule="exact"/>
        <w:rPr>
          <w:sz w:val="20"/>
          <w:szCs w:val="20"/>
          <w:color w:val="auto"/>
        </w:rPr>
      </w:pPr>
    </w:p>
    <w:p>
      <w:pPr>
        <w:ind w:left="168"/>
        <w:spacing w:after="0"/>
        <w:tabs>
          <w:tab w:leader="none" w:pos="1507" w:val="left"/>
        </w:tabs>
        <w:rPr>
          <w:sz w:val="20"/>
          <w:szCs w:val="20"/>
          <w:color w:val="auto"/>
        </w:rPr>
      </w:pPr>
      <w:r>
        <w:rPr>
          <w:rFonts w:ascii="Arial" w:cs="Arial" w:eastAsia="Arial" w:hAnsi="Arial"/>
          <w:sz w:val="16"/>
          <w:szCs w:val="16"/>
          <w:color w:val="auto"/>
        </w:rPr>
        <w:t>management</w:t>
      </w:r>
      <w:r>
        <w:rPr>
          <w:sz w:val="20"/>
          <w:szCs w:val="20"/>
          <w:color w:val="auto"/>
        </w:rPr>
        <w:tab/>
      </w:r>
      <w:r>
        <w:rPr>
          <w:rFonts w:ascii="Arial" w:cs="Arial" w:eastAsia="Arial" w:hAnsi="Arial"/>
          <w:sz w:val="16"/>
          <w:szCs w:val="16"/>
          <w:color w:val="auto"/>
        </w:rPr>
        <w:t>pension accounting</w:t>
      </w:r>
    </w:p>
    <w:p>
      <w:pPr>
        <w:spacing w:after="0" w:line="93" w:lineRule="exact"/>
        <w:rPr>
          <w:sz w:val="20"/>
          <w:szCs w:val="20"/>
          <w:color w:val="auto"/>
        </w:rPr>
      </w:pPr>
    </w:p>
    <w:p>
      <w:pPr>
        <w:ind w:left="148" w:hanging="148"/>
        <w:spacing w:after="0"/>
        <w:tabs>
          <w:tab w:leader="none" w:pos="148" w:val="left"/>
        </w:tabs>
        <w:numPr>
          <w:ilvl w:val="0"/>
          <w:numId w:val="12"/>
        </w:numPr>
        <w:rPr>
          <w:rFonts w:ascii="Arial" w:cs="Arial" w:eastAsia="Arial" w:hAnsi="Arial"/>
          <w:sz w:val="16"/>
          <w:szCs w:val="16"/>
          <w:b w:val="1"/>
          <w:bCs w:val="1"/>
          <w:color w:val="FAAC16"/>
        </w:rPr>
      </w:pPr>
      <w:r>
        <w:rPr>
          <w:rFonts w:ascii="Arial" w:cs="Arial" w:eastAsia="Arial" w:hAnsi="Arial"/>
          <w:sz w:val="16"/>
          <w:szCs w:val="16"/>
          <w:color w:val="auto"/>
        </w:rPr>
        <w:t>Credit and</w:t>
      </w:r>
      <w:r>
        <w:rPr>
          <w:rFonts w:ascii="Arial" w:cs="Arial" w:eastAsia="Arial" w:hAnsi="Arial"/>
          <w:sz w:val="16"/>
          <w:szCs w:val="16"/>
          <w:b w:val="1"/>
          <w:bCs w:val="1"/>
          <w:color w:val="FAAC16"/>
        </w:rPr>
        <w:t xml:space="preserve">&gt; </w:t>
      </w:r>
      <w:r>
        <w:rPr>
          <w:rFonts w:ascii="Arial" w:cs="Arial" w:eastAsia="Arial" w:hAnsi="Arial"/>
          <w:sz w:val="16"/>
          <w:szCs w:val="16"/>
          <w:color w:val="000000"/>
        </w:rPr>
        <w:t>Employee master</w:t>
      </w:r>
    </w:p>
    <w:p>
      <w:pPr>
        <w:spacing w:after="0" w:line="25" w:lineRule="exact"/>
        <w:rPr>
          <w:sz w:val="20"/>
          <w:szCs w:val="20"/>
          <w:color w:val="auto"/>
        </w:rPr>
      </w:pPr>
    </w:p>
    <w:p>
      <w:pPr>
        <w:ind w:left="168"/>
        <w:spacing w:after="0"/>
        <w:tabs>
          <w:tab w:leader="none" w:pos="1507" w:val="left"/>
        </w:tabs>
        <w:rPr>
          <w:sz w:val="20"/>
          <w:szCs w:val="20"/>
          <w:color w:val="auto"/>
        </w:rPr>
      </w:pPr>
      <w:r>
        <w:rPr>
          <w:rFonts w:ascii="Arial" w:cs="Arial" w:eastAsia="Arial" w:hAnsi="Arial"/>
          <w:sz w:val="16"/>
          <w:szCs w:val="16"/>
          <w:color w:val="auto"/>
        </w:rPr>
        <w:t>collections</w:t>
      </w:r>
      <w:r>
        <w:rPr>
          <w:sz w:val="20"/>
          <w:szCs w:val="20"/>
          <w:color w:val="auto"/>
        </w:rPr>
        <w:tab/>
      </w:r>
      <w:r>
        <w:rPr>
          <w:rFonts w:ascii="Arial" w:cs="Arial" w:eastAsia="Arial" w:hAnsi="Arial"/>
          <w:sz w:val="16"/>
          <w:szCs w:val="16"/>
          <w:color w:val="auto"/>
        </w:rPr>
        <w:t>data management</w:t>
      </w:r>
    </w:p>
    <w:p>
      <w:pPr>
        <w:spacing w:after="0" w:line="93" w:lineRule="exact"/>
        <w:rPr>
          <w:sz w:val="20"/>
          <w:szCs w:val="20"/>
          <w:color w:val="auto"/>
        </w:rPr>
      </w:pPr>
    </w:p>
    <w:p>
      <w:pPr>
        <w:ind w:left="8"/>
        <w:spacing w:after="0"/>
        <w:tabs>
          <w:tab w:leader="none" w:pos="1347" w:val="left"/>
        </w:tabs>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Cash</w:t>
      </w:r>
      <w:r>
        <w:rPr>
          <w:sz w:val="20"/>
          <w:szCs w:val="20"/>
          <w:color w:val="auto"/>
        </w:rPr>
        <w:tab/>
      </w:r>
      <w:r>
        <w:rPr>
          <w:rFonts w:ascii="Arial" w:cs="Arial" w:eastAsia="Arial" w:hAnsi="Arial"/>
          <w:sz w:val="16"/>
          <w:szCs w:val="16"/>
          <w:b w:val="1"/>
          <w:bCs w:val="1"/>
          <w:color w:val="FAAC16"/>
        </w:rPr>
        <w:t xml:space="preserve">&gt; </w:t>
      </w:r>
      <w:r>
        <w:rPr>
          <w:rFonts w:ascii="Arial" w:cs="Arial" w:eastAsia="Arial" w:hAnsi="Arial"/>
          <w:sz w:val="16"/>
          <w:szCs w:val="16"/>
          <w:color w:val="000000"/>
        </w:rPr>
        <w:t>Contact and data</w:t>
      </w:r>
    </w:p>
    <w:p>
      <w:pPr>
        <w:spacing w:after="0" w:line="25" w:lineRule="exact"/>
        <w:rPr>
          <w:sz w:val="20"/>
          <w:szCs w:val="20"/>
          <w:color w:val="auto"/>
        </w:rPr>
      </w:pPr>
    </w:p>
    <w:p>
      <w:pPr>
        <w:ind w:left="168"/>
        <w:spacing w:after="0"/>
        <w:tabs>
          <w:tab w:leader="none" w:pos="1507" w:val="left"/>
        </w:tabs>
        <w:rPr>
          <w:sz w:val="20"/>
          <w:szCs w:val="20"/>
          <w:color w:val="auto"/>
        </w:rPr>
      </w:pPr>
      <w:r>
        <w:rPr>
          <w:rFonts w:ascii="Arial" w:cs="Arial" w:eastAsia="Arial" w:hAnsi="Arial"/>
          <w:sz w:val="16"/>
          <w:szCs w:val="16"/>
          <w:color w:val="auto"/>
        </w:rPr>
        <w:t>applications</w:t>
      </w:r>
      <w:r>
        <w:rPr>
          <w:sz w:val="20"/>
          <w:szCs w:val="20"/>
          <w:color w:val="auto"/>
        </w:rPr>
        <w:tab/>
      </w:r>
      <w:r>
        <w:rPr>
          <w:rFonts w:ascii="Arial" w:cs="Arial" w:eastAsia="Arial" w:hAnsi="Arial"/>
          <w:sz w:val="16"/>
          <w:szCs w:val="16"/>
          <w:color w:val="auto"/>
        </w:rPr>
        <w:t>services</w:t>
      </w:r>
    </w:p>
    <w:p>
      <w:pPr>
        <w:spacing w:after="0" w:line="113" w:lineRule="exact"/>
        <w:rPr>
          <w:sz w:val="20"/>
          <w:szCs w:val="20"/>
          <w:color w:val="auto"/>
        </w:rPr>
      </w:pPr>
    </w:p>
    <w:p>
      <w:pPr>
        <w:ind w:left="168" w:right="1820" w:hanging="168"/>
        <w:spacing w:after="0" w:line="293" w:lineRule="auto"/>
        <w:tabs>
          <w:tab w:leader="none" w:pos="146" w:val="left"/>
        </w:tabs>
        <w:numPr>
          <w:ilvl w:val="0"/>
          <w:numId w:val="13"/>
        </w:numPr>
        <w:rPr>
          <w:rFonts w:ascii="Arial" w:cs="Arial" w:eastAsia="Arial" w:hAnsi="Arial"/>
          <w:sz w:val="15"/>
          <w:szCs w:val="15"/>
          <w:b w:val="1"/>
          <w:bCs w:val="1"/>
          <w:color w:val="FAAC16"/>
        </w:rPr>
      </w:pPr>
      <w:r>
        <w:rPr>
          <w:rFonts w:ascii="Arial" w:cs="Arial" w:eastAsia="Arial" w:hAnsi="Arial"/>
          <w:sz w:val="15"/>
          <w:szCs w:val="15"/>
          <w:color w:val="auto"/>
        </w:rPr>
        <w:t>Contact and data services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54" w:right="400" w:hanging="154"/>
        <w:spacing w:after="0" w:line="260" w:lineRule="auto"/>
        <w:tabs>
          <w:tab w:leader="none" w:pos="132" w:val="left"/>
        </w:tabs>
        <w:numPr>
          <w:ilvl w:val="0"/>
          <w:numId w:val="14"/>
        </w:numPr>
        <w:rPr>
          <w:rFonts w:ascii="Arial" w:cs="Arial" w:eastAsia="Arial" w:hAnsi="Arial"/>
          <w:sz w:val="16"/>
          <w:szCs w:val="16"/>
          <w:b w:val="1"/>
          <w:bCs w:val="1"/>
          <w:color w:val="FAAC16"/>
        </w:rPr>
      </w:pPr>
      <w:r>
        <w:rPr>
          <w:rFonts w:ascii="Arial" w:cs="Arial" w:eastAsia="Arial" w:hAnsi="Arial"/>
          <w:sz w:val="16"/>
          <w:szCs w:val="16"/>
          <w:color w:val="auto"/>
        </w:rPr>
        <w:t>General accounting</w:t>
      </w:r>
    </w:p>
    <w:p>
      <w:pPr>
        <w:spacing w:after="0" w:line="87" w:lineRule="exact"/>
        <w:rPr>
          <w:rFonts w:ascii="Arial" w:cs="Arial" w:eastAsia="Arial" w:hAnsi="Arial"/>
          <w:sz w:val="16"/>
          <w:szCs w:val="16"/>
          <w:b w:val="1"/>
          <w:bCs w:val="1"/>
          <w:color w:val="FAAC16"/>
        </w:rPr>
      </w:pPr>
    </w:p>
    <w:p>
      <w:pPr>
        <w:ind w:left="154" w:right="240" w:hanging="154"/>
        <w:spacing w:after="0" w:line="260" w:lineRule="auto"/>
        <w:tabs>
          <w:tab w:leader="none" w:pos="132" w:val="left"/>
        </w:tabs>
        <w:numPr>
          <w:ilvl w:val="0"/>
          <w:numId w:val="14"/>
        </w:numPr>
        <w:rPr>
          <w:rFonts w:ascii="Arial" w:cs="Arial" w:eastAsia="Arial" w:hAnsi="Arial"/>
          <w:sz w:val="16"/>
          <w:szCs w:val="16"/>
          <w:b w:val="1"/>
          <w:bCs w:val="1"/>
          <w:color w:val="FAAC16"/>
        </w:rPr>
      </w:pPr>
      <w:r>
        <w:rPr>
          <w:rFonts w:ascii="Arial" w:cs="Arial" w:eastAsia="Arial" w:hAnsi="Arial"/>
          <w:sz w:val="16"/>
          <w:szCs w:val="16"/>
          <w:color w:val="auto"/>
        </w:rPr>
        <w:t>Intercompany accounting</w:t>
      </w:r>
    </w:p>
    <w:p>
      <w:pPr>
        <w:spacing w:after="0" w:line="87" w:lineRule="exact"/>
        <w:rPr>
          <w:rFonts w:ascii="Arial" w:cs="Arial" w:eastAsia="Arial" w:hAnsi="Arial"/>
          <w:sz w:val="16"/>
          <w:szCs w:val="16"/>
          <w:b w:val="1"/>
          <w:bCs w:val="1"/>
          <w:color w:val="FAAC16"/>
        </w:rPr>
      </w:pPr>
    </w:p>
    <w:p>
      <w:pPr>
        <w:jc w:val="both"/>
        <w:ind w:left="154" w:right="380" w:hanging="154"/>
        <w:spacing w:after="0" w:line="260" w:lineRule="auto"/>
        <w:tabs>
          <w:tab w:leader="none" w:pos="132" w:val="left"/>
        </w:tabs>
        <w:numPr>
          <w:ilvl w:val="0"/>
          <w:numId w:val="14"/>
        </w:numPr>
        <w:rPr>
          <w:rFonts w:ascii="Arial" w:cs="Arial" w:eastAsia="Arial" w:hAnsi="Arial"/>
          <w:sz w:val="16"/>
          <w:szCs w:val="16"/>
          <w:b w:val="1"/>
          <w:bCs w:val="1"/>
          <w:color w:val="FAAC16"/>
        </w:rPr>
      </w:pPr>
      <w:r>
        <w:rPr>
          <w:rFonts w:ascii="Arial" w:cs="Arial" w:eastAsia="Arial" w:hAnsi="Arial"/>
          <w:sz w:val="16"/>
          <w:szCs w:val="16"/>
          <w:color w:val="auto"/>
        </w:rPr>
        <w:t>Fixed asset accounting</w:t>
      </w:r>
    </w:p>
    <w:p>
      <w:pPr>
        <w:spacing w:after="0" w:line="87" w:lineRule="exact"/>
        <w:rPr>
          <w:rFonts w:ascii="Arial" w:cs="Arial" w:eastAsia="Arial" w:hAnsi="Arial"/>
          <w:sz w:val="16"/>
          <w:szCs w:val="16"/>
          <w:b w:val="1"/>
          <w:bCs w:val="1"/>
          <w:color w:val="FAAC16"/>
        </w:rPr>
      </w:pPr>
    </w:p>
    <w:p>
      <w:pPr>
        <w:ind w:left="134" w:hanging="134"/>
        <w:spacing w:after="0"/>
        <w:tabs>
          <w:tab w:leader="none" w:pos="134" w:val="left"/>
        </w:tabs>
        <w:numPr>
          <w:ilvl w:val="0"/>
          <w:numId w:val="14"/>
        </w:numPr>
        <w:rPr>
          <w:rFonts w:ascii="Arial" w:cs="Arial" w:eastAsia="Arial" w:hAnsi="Arial"/>
          <w:sz w:val="16"/>
          <w:szCs w:val="16"/>
          <w:b w:val="1"/>
          <w:bCs w:val="1"/>
          <w:color w:val="FAAC16"/>
        </w:rPr>
      </w:pPr>
      <w:r>
        <w:rPr>
          <w:rFonts w:ascii="Arial" w:cs="Arial" w:eastAsia="Arial" w:hAnsi="Arial"/>
          <w:sz w:val="16"/>
          <w:szCs w:val="16"/>
          <w:color w:val="auto"/>
        </w:rPr>
        <w:t>Reconciliations</w:t>
      </w:r>
    </w:p>
    <w:p>
      <w:pPr>
        <w:spacing w:after="0" w:line="113" w:lineRule="exact"/>
        <w:rPr>
          <w:rFonts w:ascii="Arial" w:cs="Arial" w:eastAsia="Arial" w:hAnsi="Arial"/>
          <w:sz w:val="16"/>
          <w:szCs w:val="16"/>
          <w:b w:val="1"/>
          <w:bCs w:val="1"/>
          <w:color w:val="FAAC16"/>
        </w:rPr>
      </w:pPr>
    </w:p>
    <w:p>
      <w:pPr>
        <w:ind w:left="134" w:hanging="134"/>
        <w:spacing w:after="0"/>
        <w:tabs>
          <w:tab w:leader="none" w:pos="134" w:val="left"/>
        </w:tabs>
        <w:numPr>
          <w:ilvl w:val="0"/>
          <w:numId w:val="14"/>
        </w:numPr>
        <w:rPr>
          <w:rFonts w:ascii="Arial" w:cs="Arial" w:eastAsia="Arial" w:hAnsi="Arial"/>
          <w:sz w:val="16"/>
          <w:szCs w:val="16"/>
          <w:b w:val="1"/>
          <w:bCs w:val="1"/>
          <w:color w:val="FAAC16"/>
        </w:rPr>
      </w:pPr>
      <w:r>
        <w:rPr>
          <w:rFonts w:ascii="Arial" w:cs="Arial" w:eastAsia="Arial" w:hAnsi="Arial"/>
          <w:sz w:val="16"/>
          <w:szCs w:val="16"/>
          <w:color w:val="auto"/>
        </w:rPr>
        <w:t>Period-end close</w:t>
      </w:r>
    </w:p>
    <w:p>
      <w:pPr>
        <w:spacing w:after="0" w:line="113" w:lineRule="exact"/>
        <w:rPr>
          <w:rFonts w:ascii="Arial" w:cs="Arial" w:eastAsia="Arial" w:hAnsi="Arial"/>
          <w:sz w:val="16"/>
          <w:szCs w:val="16"/>
          <w:b w:val="1"/>
          <w:bCs w:val="1"/>
          <w:color w:val="FAAC16"/>
        </w:rPr>
      </w:pPr>
    </w:p>
    <w:p>
      <w:pPr>
        <w:jc w:val="both"/>
        <w:ind w:left="154" w:right="380" w:hanging="154"/>
        <w:spacing w:after="0" w:line="260" w:lineRule="auto"/>
        <w:tabs>
          <w:tab w:leader="none" w:pos="132" w:val="left"/>
        </w:tabs>
        <w:numPr>
          <w:ilvl w:val="0"/>
          <w:numId w:val="14"/>
        </w:numPr>
        <w:rPr>
          <w:rFonts w:ascii="Arial" w:cs="Arial" w:eastAsia="Arial" w:hAnsi="Arial"/>
          <w:sz w:val="16"/>
          <w:szCs w:val="16"/>
          <w:b w:val="1"/>
          <w:bCs w:val="1"/>
          <w:color w:val="FAAC16"/>
        </w:rPr>
      </w:pPr>
      <w:r>
        <w:rPr>
          <w:rFonts w:ascii="Arial" w:cs="Arial" w:eastAsia="Arial" w:hAnsi="Arial"/>
          <w:sz w:val="16"/>
          <w:szCs w:val="16"/>
          <w:color w:val="auto"/>
        </w:rPr>
        <w:t>Specialized accounting</w:t>
      </w:r>
    </w:p>
    <w:p>
      <w:pPr>
        <w:spacing w:after="0" w:line="87" w:lineRule="exact"/>
        <w:rPr>
          <w:rFonts w:ascii="Arial" w:cs="Arial" w:eastAsia="Arial" w:hAnsi="Arial"/>
          <w:sz w:val="16"/>
          <w:szCs w:val="16"/>
          <w:b w:val="1"/>
          <w:bCs w:val="1"/>
          <w:color w:val="FAAC16"/>
        </w:rPr>
      </w:pPr>
    </w:p>
    <w:p>
      <w:pPr>
        <w:ind w:left="154" w:right="260" w:hanging="154"/>
        <w:spacing w:after="0" w:line="253" w:lineRule="auto"/>
        <w:tabs>
          <w:tab w:leader="none" w:pos="132" w:val="left"/>
        </w:tabs>
        <w:numPr>
          <w:ilvl w:val="0"/>
          <w:numId w:val="14"/>
        </w:numPr>
        <w:rPr>
          <w:rFonts w:ascii="Arial" w:cs="Arial" w:eastAsia="Arial" w:hAnsi="Arial"/>
          <w:sz w:val="16"/>
          <w:szCs w:val="16"/>
          <w:b w:val="1"/>
          <w:bCs w:val="1"/>
          <w:color w:val="FAAC16"/>
        </w:rPr>
      </w:pPr>
      <w:r>
        <w:rPr>
          <w:rFonts w:ascii="Arial" w:cs="Arial" w:eastAsia="Arial" w:hAnsi="Arial"/>
          <w:sz w:val="16"/>
          <w:szCs w:val="16"/>
          <w:color w:val="auto"/>
        </w:rPr>
        <w:t>Financial and statutory reporting</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54" w:right="2060" w:hanging="154"/>
        <w:spacing w:after="0" w:line="260" w:lineRule="auto"/>
        <w:tabs>
          <w:tab w:leader="none" w:pos="132" w:val="left"/>
        </w:tabs>
        <w:numPr>
          <w:ilvl w:val="0"/>
          <w:numId w:val="15"/>
        </w:numPr>
        <w:rPr>
          <w:rFonts w:ascii="Arial" w:cs="Arial" w:eastAsia="Arial" w:hAnsi="Arial"/>
          <w:sz w:val="16"/>
          <w:szCs w:val="16"/>
          <w:b w:val="1"/>
          <w:bCs w:val="1"/>
          <w:color w:val="FAAC16"/>
        </w:rPr>
      </w:pPr>
      <w:r>
        <w:rPr>
          <w:rFonts w:ascii="Arial" w:cs="Arial" w:eastAsia="Arial" w:hAnsi="Arial"/>
          <w:sz w:val="16"/>
          <w:szCs w:val="16"/>
          <w:color w:val="auto"/>
        </w:rPr>
        <w:t>Cash forecasting and management</w:t>
      </w:r>
    </w:p>
    <w:p>
      <w:pPr>
        <w:spacing w:after="0" w:line="87" w:lineRule="exact"/>
        <w:rPr>
          <w:rFonts w:ascii="Arial" w:cs="Arial" w:eastAsia="Arial" w:hAnsi="Arial"/>
          <w:sz w:val="16"/>
          <w:szCs w:val="16"/>
          <w:b w:val="1"/>
          <w:bCs w:val="1"/>
          <w:color w:val="FAAC16"/>
        </w:rPr>
      </w:pPr>
    </w:p>
    <w:p>
      <w:pPr>
        <w:ind w:left="134" w:hanging="134"/>
        <w:spacing w:after="0"/>
        <w:tabs>
          <w:tab w:leader="none" w:pos="134" w:val="left"/>
        </w:tabs>
        <w:numPr>
          <w:ilvl w:val="0"/>
          <w:numId w:val="15"/>
        </w:numPr>
        <w:rPr>
          <w:rFonts w:ascii="Arial" w:cs="Arial" w:eastAsia="Arial" w:hAnsi="Arial"/>
          <w:sz w:val="16"/>
          <w:szCs w:val="16"/>
          <w:b w:val="1"/>
          <w:bCs w:val="1"/>
          <w:color w:val="FAAC16"/>
        </w:rPr>
      </w:pPr>
      <w:r>
        <w:rPr>
          <w:rFonts w:ascii="Arial" w:cs="Arial" w:eastAsia="Arial" w:hAnsi="Arial"/>
          <w:sz w:val="16"/>
          <w:szCs w:val="16"/>
          <w:color w:val="auto"/>
        </w:rPr>
        <w:t>Direct taxes</w:t>
      </w:r>
    </w:p>
    <w:p>
      <w:pPr>
        <w:spacing w:after="0" w:line="113" w:lineRule="exact"/>
        <w:rPr>
          <w:rFonts w:ascii="Arial" w:cs="Arial" w:eastAsia="Arial" w:hAnsi="Arial"/>
          <w:sz w:val="16"/>
          <w:szCs w:val="16"/>
          <w:b w:val="1"/>
          <w:bCs w:val="1"/>
          <w:color w:val="FAAC16"/>
        </w:rPr>
      </w:pPr>
    </w:p>
    <w:p>
      <w:pPr>
        <w:ind w:left="154" w:right="1360" w:hanging="154"/>
        <w:spacing w:after="0" w:line="260" w:lineRule="auto"/>
        <w:tabs>
          <w:tab w:leader="none" w:pos="132" w:val="left"/>
        </w:tabs>
        <w:numPr>
          <w:ilvl w:val="0"/>
          <w:numId w:val="15"/>
        </w:numPr>
        <w:rPr>
          <w:rFonts w:ascii="Arial" w:cs="Arial" w:eastAsia="Arial" w:hAnsi="Arial"/>
          <w:sz w:val="16"/>
          <w:szCs w:val="16"/>
          <w:b w:val="1"/>
          <w:bCs w:val="1"/>
          <w:color w:val="FAAC16"/>
        </w:rPr>
      </w:pPr>
      <w:r>
        <w:rPr>
          <w:rFonts w:ascii="Arial" w:cs="Arial" w:eastAsia="Arial" w:hAnsi="Arial"/>
          <w:sz w:val="16"/>
          <w:szCs w:val="16"/>
          <w:color w:val="auto"/>
        </w:rPr>
        <w:t>U.S. tax reporting and statutory compliance</w:t>
      </w:r>
    </w:p>
    <w:p>
      <w:pPr>
        <w:spacing w:after="0" w:line="87" w:lineRule="exact"/>
        <w:rPr>
          <w:rFonts w:ascii="Arial" w:cs="Arial" w:eastAsia="Arial" w:hAnsi="Arial"/>
          <w:sz w:val="16"/>
          <w:szCs w:val="16"/>
          <w:b w:val="1"/>
          <w:bCs w:val="1"/>
          <w:color w:val="FAAC16"/>
        </w:rPr>
      </w:pPr>
    </w:p>
    <w:p>
      <w:pPr>
        <w:ind w:left="154" w:right="1440" w:hanging="154"/>
        <w:spacing w:after="0" w:line="260" w:lineRule="auto"/>
        <w:tabs>
          <w:tab w:leader="none" w:pos="132" w:val="left"/>
        </w:tabs>
        <w:numPr>
          <w:ilvl w:val="0"/>
          <w:numId w:val="15"/>
        </w:numPr>
        <w:rPr>
          <w:rFonts w:ascii="Arial" w:cs="Arial" w:eastAsia="Arial" w:hAnsi="Arial"/>
          <w:sz w:val="16"/>
          <w:szCs w:val="16"/>
          <w:b w:val="1"/>
          <w:bCs w:val="1"/>
          <w:color w:val="FAAC16"/>
        </w:rPr>
      </w:pPr>
      <w:r>
        <w:rPr>
          <w:rFonts w:ascii="Arial" w:cs="Arial" w:eastAsia="Arial" w:hAnsi="Arial"/>
          <w:sz w:val="16"/>
          <w:szCs w:val="16"/>
          <w:color w:val="auto"/>
        </w:rPr>
        <w:t>International and U.S. federal, state and municipal taxes</w:t>
      </w:r>
    </w:p>
    <w:p>
      <w:pPr>
        <w:spacing w:after="0" w:line="1681" w:lineRule="exact"/>
        <w:rPr>
          <w:sz w:val="20"/>
          <w:szCs w:val="20"/>
          <w:color w:val="auto"/>
        </w:rPr>
      </w:pPr>
    </w:p>
    <w:p>
      <w:pPr>
        <w:sectPr>
          <w:pgSz w:w="11900" w:h="16838" w:orient="portrait"/>
          <w:cols w:equalWidth="0" w:num="4">
            <w:col w:w="2740" w:space="192"/>
            <w:col w:w="2928" w:space="246"/>
            <w:col w:w="1354" w:space="226"/>
            <w:col w:w="3734"/>
          </w:cols>
          <w:pgMar w:left="240" w:top="337" w:right="239" w:bottom="1440" w:gutter="0" w:footer="0" w:header="0"/>
          <w:type w:val="continuous"/>
        </w:sectPr>
      </w:pP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u w:val="single" w:color="auto"/>
          <w:color w:val="auto"/>
        </w:rPr>
        <w:t>Consulting</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Consulting services, which includes operations consulting and finance consulting, provides industry-specific expertise that helps our clients deliver process innovation, design optimal operating models that deal with rapidly changing market environments, and manage change in the regulatory and compliance landscape. We provide a broad range of consulting services that include process optimization, benchmarking and performance management and Business Process Automation. Utilizing Lean and Six Sigma methodologies, we advise our clients on enhancing operational effectiveness, driving cost reduction initiatives, business process automation and subsequently managing the implementation of our recommendations through the use of innovative technologies, data integration and analytics.</w:t>
      </w:r>
    </w:p>
    <w:p>
      <w:pPr>
        <w:spacing w:after="0" w:line="193"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Our finance consulting business specializes in serving the finance and accounting function across a range of industries. Many of our professionals who provide these services are certified accountants, internal auditors and process and technology experts. Our finance consulting services include governance, risk and compliance, finance accounting support, finance organizational design, finance process optimization, and finance systems advisory.</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Consulting services include:</w:t>
      </w:r>
    </w:p>
    <w:p>
      <w:pPr>
        <w:spacing w:after="0" w:line="371"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FFFFFF"/>
        </w:rPr>
        <w:t>Operations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-179705</wp:posOffset>
            </wp:positionV>
            <wp:extent cx="560006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0065" cy="231775"/>
                    </a:xfrm>
                    <a:prstGeom prst="rect">
                      <a:avLst/>
                    </a:prstGeom>
                    <a:noFill/>
                  </pic:spPr>
                </pic:pic>
              </a:graphicData>
            </a:graphic>
          </wp:anchor>
        </w:drawing>
      </w:r>
    </w:p>
    <w:p>
      <w:pPr>
        <w:spacing w:after="0" w:line="46"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2720" w:type="dxa"/>
            <w:vAlign w:val="bottom"/>
          </w:tcPr>
          <w:p>
            <w:pPr>
              <w:ind w:left="40"/>
              <w:spacing w:after="0"/>
              <w:rPr>
                <w:sz w:val="20"/>
                <w:szCs w:val="20"/>
                <w:color w:val="auto"/>
              </w:rPr>
            </w:pPr>
            <w:r>
              <w:rPr>
                <w:rFonts w:ascii="Arial" w:cs="Arial" w:eastAsia="Arial" w:hAnsi="Arial"/>
                <w:sz w:val="20"/>
                <w:szCs w:val="20"/>
                <w:b w:val="1"/>
                <w:bCs w:val="1"/>
                <w:color w:val="FAAC16"/>
              </w:rPr>
              <w:t>Strategic operations</w:t>
            </w:r>
          </w:p>
        </w:tc>
        <w:tc>
          <w:tcPr>
            <w:tcW w:w="2540" w:type="dxa"/>
            <w:vAlign w:val="bottom"/>
          </w:tcPr>
          <w:p>
            <w:pPr>
              <w:ind w:left="40"/>
              <w:spacing w:after="0"/>
              <w:rPr>
                <w:sz w:val="20"/>
                <w:szCs w:val="20"/>
                <w:color w:val="auto"/>
              </w:rPr>
            </w:pPr>
            <w:r>
              <w:rPr>
                <w:rFonts w:ascii="Arial" w:cs="Arial" w:eastAsia="Arial" w:hAnsi="Arial"/>
                <w:sz w:val="20"/>
                <w:szCs w:val="20"/>
                <w:b w:val="1"/>
                <w:bCs w:val="1"/>
                <w:color w:val="FAAC16"/>
              </w:rPr>
              <w:t>Strategic cost</w:t>
            </w:r>
          </w:p>
        </w:tc>
        <w:tc>
          <w:tcPr>
            <w:tcW w:w="1660" w:type="dxa"/>
            <w:vAlign w:val="bottom"/>
          </w:tcPr>
          <w:p>
            <w:pPr>
              <w:ind w:left="100"/>
              <w:spacing w:after="0"/>
              <w:rPr>
                <w:sz w:val="20"/>
                <w:szCs w:val="20"/>
                <w:color w:val="auto"/>
              </w:rPr>
            </w:pPr>
            <w:r>
              <w:rPr>
                <w:rFonts w:ascii="Arial" w:cs="Arial" w:eastAsia="Arial" w:hAnsi="Arial"/>
                <w:sz w:val="20"/>
                <w:szCs w:val="20"/>
                <w:b w:val="1"/>
                <w:bCs w:val="1"/>
                <w:color w:val="FAAC16"/>
              </w:rPr>
              <w:t>Operations</w:t>
            </w:r>
          </w:p>
        </w:tc>
        <w:tc>
          <w:tcPr>
            <w:tcW w:w="1900" w:type="dxa"/>
            <w:vAlign w:val="bottom"/>
          </w:tcPr>
          <w:p>
            <w:pPr>
              <w:ind w:left="180"/>
              <w:spacing w:after="0"/>
              <w:rPr>
                <w:sz w:val="20"/>
                <w:szCs w:val="20"/>
                <w:color w:val="auto"/>
              </w:rPr>
            </w:pPr>
            <w:r>
              <w:rPr>
                <w:rFonts w:ascii="Arial" w:cs="Arial" w:eastAsia="Arial" w:hAnsi="Arial"/>
                <w:sz w:val="20"/>
                <w:szCs w:val="20"/>
                <w:b w:val="1"/>
                <w:bCs w:val="1"/>
                <w:color w:val="FAAC16"/>
              </w:rPr>
              <w:t>Operational</w:t>
            </w:r>
          </w:p>
        </w:tc>
        <w:tc>
          <w:tcPr>
            <w:tcW w:w="0" w:type="dxa"/>
            <w:vAlign w:val="bottom"/>
          </w:tcPr>
          <w:p>
            <w:pPr>
              <w:spacing w:after="0"/>
              <w:rPr>
                <w:sz w:val="1"/>
                <w:szCs w:val="1"/>
                <w:color w:val="auto"/>
              </w:rPr>
            </w:pPr>
          </w:p>
        </w:tc>
      </w:tr>
      <w:tr>
        <w:trPr>
          <w:trHeight w:val="216"/>
        </w:trPr>
        <w:tc>
          <w:tcPr>
            <w:tcW w:w="2720" w:type="dxa"/>
            <w:vAlign w:val="bottom"/>
          </w:tcPr>
          <w:p>
            <w:pPr>
              <w:ind w:left="40"/>
              <w:spacing w:after="0" w:line="216" w:lineRule="exact"/>
              <w:rPr>
                <w:sz w:val="20"/>
                <w:szCs w:val="20"/>
                <w:color w:val="auto"/>
              </w:rPr>
            </w:pPr>
            <w:r>
              <w:rPr>
                <w:rFonts w:ascii="Arial" w:cs="Arial" w:eastAsia="Arial" w:hAnsi="Arial"/>
                <w:sz w:val="20"/>
                <w:szCs w:val="20"/>
                <w:b w:val="1"/>
                <w:bCs w:val="1"/>
                <w:color w:val="FAAC16"/>
              </w:rPr>
              <w:t>design</w:t>
            </w:r>
          </w:p>
        </w:tc>
        <w:tc>
          <w:tcPr>
            <w:tcW w:w="2540" w:type="dxa"/>
            <w:vAlign w:val="bottom"/>
          </w:tcPr>
          <w:p>
            <w:pPr>
              <w:ind w:left="40"/>
              <w:spacing w:after="0" w:line="216" w:lineRule="exact"/>
              <w:rPr>
                <w:sz w:val="20"/>
                <w:szCs w:val="20"/>
                <w:color w:val="auto"/>
              </w:rPr>
            </w:pPr>
            <w:r>
              <w:rPr>
                <w:rFonts w:ascii="Arial" w:cs="Arial" w:eastAsia="Arial" w:hAnsi="Arial"/>
                <w:sz w:val="20"/>
                <w:szCs w:val="20"/>
                <w:b w:val="1"/>
                <w:bCs w:val="1"/>
                <w:color w:val="FAAC16"/>
              </w:rPr>
              <w:t>transformation</w:t>
            </w:r>
          </w:p>
        </w:tc>
        <w:tc>
          <w:tcPr>
            <w:tcW w:w="1660" w:type="dxa"/>
            <w:vAlign w:val="bottom"/>
          </w:tcPr>
          <w:p>
            <w:pPr>
              <w:ind w:left="100"/>
              <w:spacing w:after="0" w:line="216" w:lineRule="exact"/>
              <w:rPr>
                <w:sz w:val="20"/>
                <w:szCs w:val="20"/>
                <w:color w:val="auto"/>
              </w:rPr>
            </w:pPr>
            <w:r>
              <w:rPr>
                <w:rFonts w:ascii="Arial" w:cs="Arial" w:eastAsia="Arial" w:hAnsi="Arial"/>
                <w:sz w:val="20"/>
                <w:szCs w:val="20"/>
                <w:b w:val="1"/>
                <w:bCs w:val="1"/>
                <w:color w:val="FAAC16"/>
              </w:rPr>
              <w:t>performance</w:t>
            </w:r>
          </w:p>
        </w:tc>
        <w:tc>
          <w:tcPr>
            <w:tcW w:w="1900" w:type="dxa"/>
            <w:vAlign w:val="bottom"/>
          </w:tcPr>
          <w:p>
            <w:pPr>
              <w:ind w:left="180"/>
              <w:spacing w:after="0" w:line="216" w:lineRule="exact"/>
              <w:rPr>
                <w:sz w:val="20"/>
                <w:szCs w:val="20"/>
                <w:color w:val="auto"/>
              </w:rPr>
            </w:pPr>
            <w:r>
              <w:rPr>
                <w:rFonts w:ascii="Arial" w:cs="Arial" w:eastAsia="Arial" w:hAnsi="Arial"/>
                <w:sz w:val="20"/>
                <w:szCs w:val="20"/>
                <w:b w:val="1"/>
                <w:bCs w:val="1"/>
                <w:color w:val="FAAC16"/>
              </w:rPr>
              <w:t>innovation</w:t>
            </w:r>
          </w:p>
        </w:tc>
        <w:tc>
          <w:tcPr>
            <w:tcW w:w="0" w:type="dxa"/>
            <w:vAlign w:val="bottom"/>
          </w:tcPr>
          <w:p>
            <w:pPr>
              <w:spacing w:after="0"/>
              <w:rPr>
                <w:sz w:val="1"/>
                <w:szCs w:val="1"/>
                <w:color w:val="auto"/>
              </w:rPr>
            </w:pPr>
          </w:p>
        </w:tc>
      </w:tr>
      <w:tr>
        <w:trPr>
          <w:trHeight w:val="261"/>
        </w:trPr>
        <w:tc>
          <w:tcPr>
            <w:tcW w:w="27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660" w:type="dxa"/>
            <w:vAlign w:val="bottom"/>
          </w:tcPr>
          <w:p>
            <w:pPr>
              <w:ind w:left="100"/>
              <w:spacing w:after="0"/>
              <w:rPr>
                <w:sz w:val="20"/>
                <w:szCs w:val="20"/>
                <w:color w:val="auto"/>
              </w:rPr>
            </w:pPr>
            <w:r>
              <w:rPr>
                <w:rFonts w:ascii="Arial" w:cs="Arial" w:eastAsia="Arial" w:hAnsi="Arial"/>
                <w:sz w:val="20"/>
                <w:szCs w:val="20"/>
                <w:b w:val="1"/>
                <w:bCs w:val="1"/>
                <w:color w:val="FAAC16"/>
              </w:rPr>
              <w:t>improvement</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2"/>
        </w:trPr>
        <w:tc>
          <w:tcPr>
            <w:tcW w:w="27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72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Target operating model design</w:t>
            </w:r>
          </w:p>
        </w:tc>
        <w:tc>
          <w:tcPr>
            <w:tcW w:w="254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Full service cost optimization</w:t>
            </w:r>
          </w:p>
        </w:tc>
        <w:tc>
          <w:tcPr>
            <w:tcW w:w="166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Waste reduction</w:t>
            </w:r>
          </w:p>
        </w:tc>
        <w:tc>
          <w:tcPr>
            <w:tcW w:w="1900" w:type="dxa"/>
            <w:vAlign w:val="bottom"/>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Golden Template/</w:t>
            </w:r>
          </w:p>
        </w:tc>
        <w:tc>
          <w:tcPr>
            <w:tcW w:w="0" w:type="dxa"/>
            <w:vAlign w:val="bottom"/>
          </w:tcPr>
          <w:p>
            <w:pPr>
              <w:spacing w:after="0"/>
              <w:rPr>
                <w:sz w:val="1"/>
                <w:szCs w:val="1"/>
                <w:color w:val="auto"/>
              </w:rPr>
            </w:pPr>
          </w:p>
        </w:tc>
      </w:tr>
      <w:tr>
        <w:trPr>
          <w:trHeight w:val="189"/>
        </w:trPr>
        <w:tc>
          <w:tcPr>
            <w:tcW w:w="2720" w:type="dxa"/>
            <w:vAlign w:val="bottom"/>
            <w:vMerge w:val="restart"/>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Shared services design</w:t>
            </w:r>
          </w:p>
        </w:tc>
        <w:tc>
          <w:tcPr>
            <w:tcW w:w="2540" w:type="dxa"/>
            <w:vAlign w:val="bottom"/>
            <w:vMerge w:val="restart"/>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Cost transparency analysis</w:t>
            </w:r>
          </w:p>
        </w:tc>
        <w:tc>
          <w:tcPr>
            <w:tcW w:w="1660" w:type="dxa"/>
            <w:vAlign w:val="bottom"/>
          </w:tcPr>
          <w:p>
            <w:pPr>
              <w:ind w:left="260"/>
              <w:spacing w:after="0"/>
              <w:rPr>
                <w:sz w:val="20"/>
                <w:szCs w:val="20"/>
                <w:color w:val="auto"/>
              </w:rPr>
            </w:pPr>
            <w:r>
              <w:rPr>
                <w:rFonts w:ascii="Arial" w:cs="Arial" w:eastAsia="Arial" w:hAnsi="Arial"/>
                <w:sz w:val="16"/>
                <w:szCs w:val="16"/>
                <w:color w:val="auto"/>
              </w:rPr>
              <w:t>consulting</w:t>
            </w:r>
          </w:p>
        </w:tc>
        <w:tc>
          <w:tcPr>
            <w:tcW w:w="1900" w:type="dxa"/>
            <w:vAlign w:val="bottom"/>
          </w:tcPr>
          <w:p>
            <w:pPr>
              <w:ind w:left="340"/>
              <w:spacing w:after="0"/>
              <w:rPr>
                <w:sz w:val="20"/>
                <w:szCs w:val="20"/>
                <w:color w:val="auto"/>
              </w:rPr>
            </w:pPr>
            <w:r>
              <w:rPr>
                <w:rFonts w:ascii="Arial" w:cs="Arial" w:eastAsia="Arial" w:hAnsi="Arial"/>
                <w:sz w:val="16"/>
                <w:szCs w:val="16"/>
                <w:color w:val="auto"/>
              </w:rPr>
              <w:t>Ideal State</w:t>
            </w:r>
          </w:p>
        </w:tc>
        <w:tc>
          <w:tcPr>
            <w:tcW w:w="0" w:type="dxa"/>
            <w:vAlign w:val="bottom"/>
          </w:tcPr>
          <w:p>
            <w:pPr>
              <w:spacing w:after="0"/>
              <w:rPr>
                <w:sz w:val="1"/>
                <w:szCs w:val="1"/>
                <w:color w:val="auto"/>
              </w:rPr>
            </w:pPr>
          </w:p>
        </w:tc>
      </w:tr>
      <w:tr>
        <w:trPr>
          <w:trHeight w:val="114"/>
        </w:trPr>
        <w:tc>
          <w:tcPr>
            <w:tcW w:w="272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16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Productivity</w:t>
            </w:r>
          </w:p>
        </w:tc>
        <w:tc>
          <w:tcPr>
            <w:tcW w:w="1900" w:type="dxa"/>
            <w:vAlign w:val="bottom"/>
            <w:vMerge w:val="restart"/>
          </w:tcPr>
          <w:p>
            <w:pPr>
              <w:ind w:left="340"/>
              <w:spacing w:after="0"/>
              <w:rPr>
                <w:sz w:val="20"/>
                <w:szCs w:val="20"/>
                <w:color w:val="auto"/>
              </w:rPr>
            </w:pPr>
            <w:r>
              <w:rPr>
                <w:rFonts w:ascii="Arial" w:cs="Arial" w:eastAsia="Arial" w:hAnsi="Arial"/>
                <w:sz w:val="16"/>
                <w:szCs w:val="16"/>
                <w:color w:val="auto"/>
              </w:rPr>
              <w:t>consulting</w:t>
            </w:r>
          </w:p>
        </w:tc>
        <w:tc>
          <w:tcPr>
            <w:tcW w:w="0" w:type="dxa"/>
            <w:vAlign w:val="bottom"/>
          </w:tcPr>
          <w:p>
            <w:pPr>
              <w:spacing w:after="0"/>
              <w:rPr>
                <w:sz w:val="1"/>
                <w:szCs w:val="1"/>
                <w:color w:val="auto"/>
              </w:rPr>
            </w:pPr>
          </w:p>
        </w:tc>
      </w:tr>
      <w:tr>
        <w:trPr>
          <w:trHeight w:val="81"/>
        </w:trPr>
        <w:tc>
          <w:tcPr>
            <w:tcW w:w="27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720" w:type="dxa"/>
            <w:vAlign w:val="bottom"/>
            <w:vMerge w:val="restart"/>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Captive design</w:t>
            </w:r>
          </w:p>
        </w:tc>
        <w:tc>
          <w:tcPr>
            <w:tcW w:w="2540" w:type="dxa"/>
            <w:vAlign w:val="bottom"/>
            <w:vMerge w:val="restart"/>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Capacity/demand management</w:t>
            </w:r>
          </w:p>
        </w:tc>
        <w:tc>
          <w:tcPr>
            <w:tcW w:w="1660" w:type="dxa"/>
            <w:vAlign w:val="bottom"/>
            <w:vMerge w:val="continue"/>
          </w:tcPr>
          <w:p>
            <w:pPr>
              <w:spacing w:after="0"/>
              <w:rPr>
                <w:sz w:val="8"/>
                <w:szCs w:val="8"/>
                <w:color w:val="auto"/>
              </w:rPr>
            </w:pPr>
          </w:p>
        </w:tc>
        <w:tc>
          <w:tcPr>
            <w:tcW w:w="1900" w:type="dxa"/>
            <w:vAlign w:val="bottom"/>
            <w:vMerge w:val="restart"/>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Best practices</w:t>
            </w:r>
          </w:p>
        </w:tc>
        <w:tc>
          <w:tcPr>
            <w:tcW w:w="0" w:type="dxa"/>
            <w:vAlign w:val="bottom"/>
          </w:tcPr>
          <w:p>
            <w:pPr>
              <w:spacing w:after="0"/>
              <w:rPr>
                <w:sz w:val="1"/>
                <w:szCs w:val="1"/>
                <w:color w:val="auto"/>
              </w:rPr>
            </w:pPr>
          </w:p>
        </w:tc>
      </w:tr>
      <w:tr>
        <w:trPr>
          <w:trHeight w:val="114"/>
        </w:trPr>
        <w:tc>
          <w:tcPr>
            <w:tcW w:w="2720" w:type="dxa"/>
            <w:vAlign w:val="bottom"/>
            <w:vMerge w:val="continue"/>
          </w:tcPr>
          <w:p>
            <w:pPr>
              <w:spacing w:after="0"/>
              <w:rPr>
                <w:sz w:val="9"/>
                <w:szCs w:val="9"/>
                <w:color w:val="auto"/>
              </w:rPr>
            </w:pPr>
          </w:p>
        </w:tc>
        <w:tc>
          <w:tcPr>
            <w:tcW w:w="2540" w:type="dxa"/>
            <w:vAlign w:val="bottom"/>
            <w:vMerge w:val="continue"/>
          </w:tcPr>
          <w:p>
            <w:pPr>
              <w:spacing w:after="0"/>
              <w:rPr>
                <w:sz w:val="9"/>
                <w:szCs w:val="9"/>
                <w:color w:val="auto"/>
              </w:rPr>
            </w:pPr>
          </w:p>
        </w:tc>
        <w:tc>
          <w:tcPr>
            <w:tcW w:w="1660" w:type="dxa"/>
            <w:vAlign w:val="bottom"/>
            <w:vMerge w:val="restart"/>
          </w:tcPr>
          <w:p>
            <w:pPr>
              <w:ind w:left="260"/>
              <w:spacing w:after="0"/>
              <w:rPr>
                <w:sz w:val="20"/>
                <w:szCs w:val="20"/>
                <w:color w:val="auto"/>
              </w:rPr>
            </w:pPr>
            <w:r>
              <w:rPr>
                <w:rFonts w:ascii="Arial" w:cs="Arial" w:eastAsia="Arial" w:hAnsi="Arial"/>
                <w:sz w:val="16"/>
                <w:szCs w:val="16"/>
                <w:color w:val="auto"/>
              </w:rPr>
              <w:t>improvement</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7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72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Post merger integration</w:t>
            </w:r>
          </w:p>
        </w:tc>
        <w:tc>
          <w:tcPr>
            <w:tcW w:w="254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Channel optimization</w:t>
            </w:r>
          </w:p>
        </w:tc>
        <w:tc>
          <w:tcPr>
            <w:tcW w:w="1660" w:type="dxa"/>
            <w:vAlign w:val="bottom"/>
          </w:tcPr>
          <w:p>
            <w:pPr>
              <w:ind w:left="260"/>
              <w:spacing w:after="0"/>
              <w:rPr>
                <w:sz w:val="20"/>
                <w:szCs w:val="20"/>
                <w:color w:val="auto"/>
              </w:rPr>
            </w:pPr>
            <w:r>
              <w:rPr>
                <w:rFonts w:ascii="Arial" w:cs="Arial" w:eastAsia="Arial" w:hAnsi="Arial"/>
                <w:sz w:val="16"/>
                <w:szCs w:val="16"/>
                <w:color w:val="auto"/>
              </w:rPr>
              <w:t>consulting</w:t>
            </w:r>
          </w:p>
        </w:tc>
        <w:tc>
          <w:tcPr>
            <w:tcW w:w="1900" w:type="dxa"/>
            <w:vAlign w:val="bottom"/>
          </w:tcPr>
          <w:p>
            <w:pPr>
              <w:ind w:left="340"/>
              <w:spacing w:after="0"/>
              <w:rPr>
                <w:sz w:val="20"/>
                <w:szCs w:val="20"/>
                <w:color w:val="auto"/>
              </w:rPr>
            </w:pPr>
            <w:r>
              <w:rPr>
                <w:rFonts w:ascii="Arial" w:cs="Arial" w:eastAsia="Arial" w:hAnsi="Arial"/>
                <w:sz w:val="16"/>
                <w:szCs w:val="16"/>
                <w:color w:val="auto"/>
              </w:rPr>
              <w:t>consulting</w:t>
            </w:r>
          </w:p>
        </w:tc>
        <w:tc>
          <w:tcPr>
            <w:tcW w:w="0" w:type="dxa"/>
            <w:vAlign w:val="bottom"/>
          </w:tcPr>
          <w:p>
            <w:pPr>
              <w:spacing w:after="0"/>
              <w:rPr>
                <w:sz w:val="1"/>
                <w:szCs w:val="1"/>
                <w:color w:val="auto"/>
              </w:rPr>
            </w:pPr>
          </w:p>
        </w:tc>
      </w:tr>
      <w:tr>
        <w:trPr>
          <w:trHeight w:val="265"/>
        </w:trPr>
        <w:tc>
          <w:tcPr>
            <w:tcW w:w="272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Governance model design</w:t>
            </w:r>
          </w:p>
        </w:tc>
        <w:tc>
          <w:tcPr>
            <w:tcW w:w="2540" w:type="dxa"/>
            <w:vAlign w:val="bottom"/>
          </w:tcPr>
          <w:p>
            <w:pPr>
              <w:ind w:left="40"/>
              <w:spacing w:after="0"/>
              <w:rPr>
                <w:sz w:val="20"/>
                <w:szCs w:val="20"/>
                <w:color w:val="auto"/>
              </w:rPr>
            </w:pPr>
            <w:r>
              <w:rPr>
                <w:rFonts w:ascii="Arial" w:cs="Arial" w:eastAsia="Arial" w:hAnsi="Arial"/>
                <w:sz w:val="16"/>
                <w:szCs w:val="16"/>
                <w:color w:val="FAAC16"/>
              </w:rPr>
              <w:t xml:space="preserve">&gt; </w:t>
            </w:r>
            <w:r>
              <w:rPr>
                <w:rFonts w:ascii="Arial" w:cs="Arial" w:eastAsia="Arial" w:hAnsi="Arial"/>
                <w:sz w:val="16"/>
                <w:szCs w:val="16"/>
                <w:color w:val="000000"/>
              </w:rPr>
              <w:t>Expense analysis</w:t>
            </w:r>
          </w:p>
        </w:tc>
        <w:tc>
          <w:tcPr>
            <w:tcW w:w="166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Business process</w:t>
            </w:r>
          </w:p>
        </w:tc>
        <w:tc>
          <w:tcPr>
            <w:tcW w:w="1900" w:type="dxa"/>
            <w:vAlign w:val="bottom"/>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Benchmarking</w:t>
            </w: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automation</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27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66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Service metrics</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design</w:t>
            </w: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272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2"/>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720" w:type="dxa"/>
            <w:vAlign w:val="bottom"/>
          </w:tcPr>
          <w:p>
            <w:pPr>
              <w:spacing w:after="0"/>
              <w:rPr>
                <w:sz w:val="22"/>
                <w:szCs w:val="22"/>
                <w:color w:val="auto"/>
              </w:rPr>
            </w:pPr>
          </w:p>
        </w:tc>
        <w:tc>
          <w:tcPr>
            <w:tcW w:w="4200" w:type="dxa"/>
            <w:vAlign w:val="bottom"/>
            <w:gridSpan w:val="2"/>
          </w:tcPr>
          <w:p>
            <w:pPr>
              <w:ind w:left="180"/>
              <w:spacing w:after="0"/>
              <w:rPr>
                <w:sz w:val="20"/>
                <w:szCs w:val="20"/>
                <w:color w:val="auto"/>
              </w:rPr>
            </w:pPr>
            <w:r>
              <w:rPr>
                <w:rFonts w:ascii="Arial" w:cs="Arial" w:eastAsia="Arial" w:hAnsi="Arial"/>
                <w:sz w:val="20"/>
                <w:szCs w:val="20"/>
                <w:b w:val="1"/>
                <w:bCs w:val="1"/>
                <w:color w:val="676767"/>
              </w:rPr>
              <w:t>Operational excellence enablers</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3"/>
        </w:trPr>
        <w:tc>
          <w:tcPr>
            <w:tcW w:w="27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720" w:type="dxa"/>
            <w:vAlign w:val="bottom"/>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Change management and learning</w:t>
            </w:r>
          </w:p>
        </w:tc>
        <w:tc>
          <w:tcPr>
            <w:tcW w:w="2540" w:type="dxa"/>
            <w:vAlign w:val="bottom"/>
          </w:tcPr>
          <w:p>
            <w:pPr>
              <w:spacing w:after="0"/>
              <w:rPr>
                <w:sz w:val="18"/>
                <w:szCs w:val="18"/>
                <w:color w:val="auto"/>
              </w:rPr>
            </w:pPr>
          </w:p>
        </w:tc>
        <w:tc>
          <w:tcPr>
            <w:tcW w:w="3560" w:type="dxa"/>
            <w:vAlign w:val="bottom"/>
            <w:gridSpan w:val="2"/>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Operations assessment and solutioning</w:t>
            </w:r>
          </w:p>
        </w:tc>
        <w:tc>
          <w:tcPr>
            <w:tcW w:w="0" w:type="dxa"/>
            <w:vAlign w:val="bottom"/>
          </w:tcPr>
          <w:p>
            <w:pPr>
              <w:spacing w:after="0"/>
              <w:rPr>
                <w:sz w:val="1"/>
                <w:szCs w:val="1"/>
                <w:color w:val="auto"/>
              </w:rPr>
            </w:pPr>
          </w:p>
        </w:tc>
      </w:tr>
      <w:tr>
        <w:trPr>
          <w:trHeight w:val="297"/>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Six sigma operating environment implementation</w:t>
            </w:r>
          </w:p>
        </w:tc>
        <w:tc>
          <w:tcPr>
            <w:tcW w:w="3560" w:type="dxa"/>
            <w:vAlign w:val="bottom"/>
            <w:gridSpan w:val="2"/>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Program management</w:t>
            </w:r>
          </w:p>
        </w:tc>
        <w:tc>
          <w:tcPr>
            <w:tcW w:w="0" w:type="dxa"/>
            <w:vAlign w:val="bottom"/>
          </w:tcPr>
          <w:p>
            <w:pPr>
              <w:spacing w:after="0"/>
              <w:rPr>
                <w:sz w:val="1"/>
                <w:szCs w:val="1"/>
                <w:color w:val="auto"/>
              </w:rPr>
            </w:pPr>
          </w:p>
        </w:tc>
      </w:tr>
      <w:tr>
        <w:trPr>
          <w:trHeight w:val="292"/>
        </w:trPr>
        <w:tc>
          <w:tcPr>
            <w:tcW w:w="5260" w:type="dxa"/>
            <w:vAlign w:val="bottom"/>
            <w:gridSpan w:val="2"/>
          </w:tcPr>
          <w:p>
            <w:pPr>
              <w:ind w:left="4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Strategic resourcing (Six sigma black belts, migration, project</w:t>
            </w:r>
          </w:p>
        </w:tc>
        <w:tc>
          <w:tcPr>
            <w:tcW w:w="3560" w:type="dxa"/>
            <w:vAlign w:val="bottom"/>
            <w:gridSpan w:val="2"/>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Process documentation/mapping</w:t>
            </w:r>
          </w:p>
        </w:tc>
        <w:tc>
          <w:tcPr>
            <w:tcW w:w="0" w:type="dxa"/>
            <w:vAlign w:val="bottom"/>
          </w:tcPr>
          <w:p>
            <w:pPr>
              <w:spacing w:after="0"/>
              <w:rPr>
                <w:sz w:val="1"/>
                <w:szCs w:val="1"/>
                <w:color w:val="auto"/>
              </w:rPr>
            </w:pPr>
          </w:p>
        </w:tc>
      </w:tr>
      <w:tr>
        <w:trPr>
          <w:trHeight w:val="195"/>
        </w:trPr>
        <w:tc>
          <w:tcPr>
            <w:tcW w:w="5260" w:type="dxa"/>
            <w:vAlign w:val="bottom"/>
            <w:gridSpan w:val="2"/>
          </w:tcPr>
          <w:p>
            <w:pPr>
              <w:ind w:left="200"/>
              <w:spacing w:after="0"/>
              <w:rPr>
                <w:sz w:val="20"/>
                <w:szCs w:val="20"/>
                <w:color w:val="auto"/>
              </w:rPr>
            </w:pPr>
            <w:r>
              <w:rPr>
                <w:rFonts w:ascii="Arial" w:cs="Arial" w:eastAsia="Arial" w:hAnsi="Arial"/>
                <w:sz w:val="16"/>
                <w:szCs w:val="16"/>
                <w:color w:val="auto"/>
              </w:rPr>
              <w:t>management ownership, change management resourcing)</w:t>
            </w:r>
          </w:p>
        </w:tc>
        <w:tc>
          <w:tcPr>
            <w:tcW w:w="16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40"/>
        <w:spacing w:after="0"/>
        <w:rPr>
          <w:sz w:val="20"/>
          <w:szCs w:val="20"/>
          <w:color w:val="auto"/>
        </w:rPr>
      </w:pPr>
      <w:r>
        <w:rPr>
          <w:rFonts w:ascii="Arial" w:cs="Arial" w:eastAsia="Arial" w:hAnsi="Arial"/>
          <w:sz w:val="25"/>
          <w:szCs w:val="25"/>
          <w:b w:val="1"/>
          <w:bCs w:val="1"/>
          <w:color w:val="FFFFFF"/>
        </w:rPr>
        <w:t>Finance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-179705</wp:posOffset>
            </wp:positionV>
            <wp:extent cx="5591175" cy="231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91175" cy="231775"/>
                    </a:xfrm>
                    <a:prstGeom prst="rect">
                      <a:avLst/>
                    </a:prstGeom>
                    <a:noFill/>
                  </pic:spPr>
                </pic:pic>
              </a:graphicData>
            </a:graphic>
          </wp:anchor>
        </w:drawing>
      </w:r>
    </w:p>
    <w:p>
      <w:pPr>
        <w:spacing w:after="0" w:line="46"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20"/>
                <w:szCs w:val="20"/>
                <w:b w:val="1"/>
                <w:bCs w:val="1"/>
                <w:color w:val="FAAC16"/>
              </w:rPr>
              <w:t>Governance,</w:t>
            </w:r>
          </w:p>
        </w:tc>
        <w:tc>
          <w:tcPr>
            <w:tcW w:w="2300" w:type="dxa"/>
            <w:vAlign w:val="bottom"/>
          </w:tcPr>
          <w:p>
            <w:pPr>
              <w:ind w:left="320"/>
              <w:spacing w:after="0"/>
              <w:rPr>
                <w:sz w:val="20"/>
                <w:szCs w:val="20"/>
                <w:color w:val="auto"/>
              </w:rPr>
            </w:pPr>
            <w:r>
              <w:rPr>
                <w:rFonts w:ascii="Arial" w:cs="Arial" w:eastAsia="Arial" w:hAnsi="Arial"/>
                <w:sz w:val="20"/>
                <w:szCs w:val="20"/>
                <w:b w:val="1"/>
                <w:bCs w:val="1"/>
                <w:color w:val="FAAC16"/>
              </w:rPr>
              <w:t>Finance Accounting</w:t>
            </w:r>
          </w:p>
        </w:tc>
        <w:tc>
          <w:tcPr>
            <w:tcW w:w="1440" w:type="dxa"/>
            <w:vAlign w:val="bottom"/>
          </w:tcPr>
          <w:p>
            <w:pPr>
              <w:ind w:left="100"/>
              <w:spacing w:after="0"/>
              <w:rPr>
                <w:sz w:val="20"/>
                <w:szCs w:val="20"/>
                <w:color w:val="auto"/>
              </w:rPr>
            </w:pPr>
            <w:r>
              <w:rPr>
                <w:rFonts w:ascii="Arial" w:cs="Arial" w:eastAsia="Arial" w:hAnsi="Arial"/>
                <w:sz w:val="20"/>
                <w:szCs w:val="20"/>
                <w:b w:val="1"/>
                <w:bCs w:val="1"/>
                <w:color w:val="FAAC16"/>
              </w:rPr>
              <w:t>Finance</w:t>
            </w:r>
          </w:p>
        </w:tc>
        <w:tc>
          <w:tcPr>
            <w:tcW w:w="1580" w:type="dxa"/>
            <w:vAlign w:val="bottom"/>
          </w:tcPr>
          <w:p>
            <w:pPr>
              <w:ind w:left="160"/>
              <w:spacing w:after="0"/>
              <w:rPr>
                <w:sz w:val="20"/>
                <w:szCs w:val="20"/>
                <w:color w:val="auto"/>
              </w:rPr>
            </w:pPr>
            <w:r>
              <w:rPr>
                <w:rFonts w:ascii="Arial" w:cs="Arial" w:eastAsia="Arial" w:hAnsi="Arial"/>
                <w:sz w:val="20"/>
                <w:szCs w:val="20"/>
                <w:b w:val="1"/>
                <w:bCs w:val="1"/>
                <w:color w:val="FAAC16"/>
              </w:rPr>
              <w:t>Finance</w:t>
            </w:r>
          </w:p>
        </w:tc>
        <w:tc>
          <w:tcPr>
            <w:tcW w:w="1060" w:type="dxa"/>
            <w:vAlign w:val="bottom"/>
          </w:tcPr>
          <w:p>
            <w:pPr>
              <w:ind w:left="240"/>
              <w:spacing w:after="0"/>
              <w:rPr>
                <w:sz w:val="20"/>
                <w:szCs w:val="20"/>
                <w:color w:val="auto"/>
              </w:rPr>
            </w:pPr>
            <w:r>
              <w:rPr>
                <w:rFonts w:ascii="Arial" w:cs="Arial" w:eastAsia="Arial" w:hAnsi="Arial"/>
                <w:sz w:val="20"/>
                <w:szCs w:val="20"/>
                <w:b w:val="1"/>
                <w:bCs w:val="1"/>
                <w:color w:val="FAAC16"/>
              </w:rPr>
              <w:t>Finance</w:t>
            </w:r>
          </w:p>
        </w:tc>
      </w:tr>
      <w:tr>
        <w:trPr>
          <w:trHeight w:val="216"/>
        </w:trPr>
        <w:tc>
          <w:tcPr>
            <w:tcW w:w="1520" w:type="dxa"/>
            <w:vAlign w:val="bottom"/>
          </w:tcPr>
          <w:p>
            <w:pPr>
              <w:spacing w:after="0" w:line="216" w:lineRule="exact"/>
              <w:rPr>
                <w:sz w:val="20"/>
                <w:szCs w:val="20"/>
                <w:color w:val="auto"/>
              </w:rPr>
            </w:pPr>
            <w:r>
              <w:rPr>
                <w:rFonts w:ascii="Arial" w:cs="Arial" w:eastAsia="Arial" w:hAnsi="Arial"/>
                <w:sz w:val="20"/>
                <w:szCs w:val="20"/>
                <w:b w:val="1"/>
                <w:bCs w:val="1"/>
                <w:color w:val="FAAC16"/>
              </w:rPr>
              <w:t>risk and</w:t>
            </w:r>
          </w:p>
        </w:tc>
        <w:tc>
          <w:tcPr>
            <w:tcW w:w="2300" w:type="dxa"/>
            <w:vAlign w:val="bottom"/>
          </w:tcPr>
          <w:p>
            <w:pPr>
              <w:ind w:left="320"/>
              <w:spacing w:after="0" w:line="216" w:lineRule="exact"/>
              <w:rPr>
                <w:sz w:val="20"/>
                <w:szCs w:val="20"/>
                <w:color w:val="auto"/>
              </w:rPr>
            </w:pPr>
            <w:r>
              <w:rPr>
                <w:rFonts w:ascii="Arial" w:cs="Arial" w:eastAsia="Arial" w:hAnsi="Arial"/>
                <w:sz w:val="20"/>
                <w:szCs w:val="20"/>
                <w:b w:val="1"/>
                <w:bCs w:val="1"/>
                <w:color w:val="FAAC16"/>
              </w:rPr>
              <w:t>Support</w:t>
            </w:r>
          </w:p>
        </w:tc>
        <w:tc>
          <w:tcPr>
            <w:tcW w:w="1440" w:type="dxa"/>
            <w:vAlign w:val="bottom"/>
          </w:tcPr>
          <w:p>
            <w:pPr>
              <w:ind w:left="100"/>
              <w:spacing w:after="0" w:line="216" w:lineRule="exact"/>
              <w:rPr>
                <w:sz w:val="20"/>
                <w:szCs w:val="20"/>
                <w:color w:val="auto"/>
              </w:rPr>
            </w:pPr>
            <w:r>
              <w:rPr>
                <w:rFonts w:ascii="Arial" w:cs="Arial" w:eastAsia="Arial" w:hAnsi="Arial"/>
                <w:sz w:val="20"/>
                <w:szCs w:val="20"/>
                <w:b w:val="1"/>
                <w:bCs w:val="1"/>
                <w:color w:val="FAAC16"/>
              </w:rPr>
              <w:t>organization</w:t>
            </w:r>
          </w:p>
        </w:tc>
        <w:tc>
          <w:tcPr>
            <w:tcW w:w="1580" w:type="dxa"/>
            <w:vAlign w:val="bottom"/>
          </w:tcPr>
          <w:p>
            <w:pPr>
              <w:ind w:left="160"/>
              <w:spacing w:after="0" w:line="216" w:lineRule="exact"/>
              <w:rPr>
                <w:sz w:val="20"/>
                <w:szCs w:val="20"/>
                <w:color w:val="auto"/>
              </w:rPr>
            </w:pPr>
            <w:r>
              <w:rPr>
                <w:rFonts w:ascii="Arial" w:cs="Arial" w:eastAsia="Arial" w:hAnsi="Arial"/>
                <w:sz w:val="20"/>
                <w:szCs w:val="20"/>
                <w:b w:val="1"/>
                <w:bCs w:val="1"/>
                <w:color w:val="FAAC16"/>
              </w:rPr>
              <w:t>process</w:t>
            </w:r>
          </w:p>
        </w:tc>
        <w:tc>
          <w:tcPr>
            <w:tcW w:w="1060" w:type="dxa"/>
            <w:vAlign w:val="bottom"/>
          </w:tcPr>
          <w:p>
            <w:pPr>
              <w:ind w:left="240"/>
              <w:spacing w:after="0" w:line="216" w:lineRule="exact"/>
              <w:rPr>
                <w:sz w:val="20"/>
                <w:szCs w:val="20"/>
                <w:color w:val="auto"/>
              </w:rPr>
            </w:pPr>
            <w:r>
              <w:rPr>
                <w:rFonts w:ascii="Arial" w:cs="Arial" w:eastAsia="Arial" w:hAnsi="Arial"/>
                <w:sz w:val="20"/>
                <w:szCs w:val="20"/>
                <w:b w:val="1"/>
                <w:bCs w:val="1"/>
                <w:color w:val="FAAC16"/>
                <w:w w:val="99"/>
              </w:rPr>
              <w:t>systems</w:t>
            </w:r>
          </w:p>
        </w:tc>
      </w:tr>
      <w:tr>
        <w:trPr>
          <w:trHeight w:val="261"/>
        </w:trPr>
        <w:tc>
          <w:tcPr>
            <w:tcW w:w="1520" w:type="dxa"/>
            <w:vAlign w:val="bottom"/>
          </w:tcPr>
          <w:p>
            <w:pPr>
              <w:spacing w:after="0"/>
              <w:rPr>
                <w:sz w:val="20"/>
                <w:szCs w:val="20"/>
                <w:color w:val="auto"/>
              </w:rPr>
            </w:pPr>
            <w:r>
              <w:rPr>
                <w:rFonts w:ascii="Arial" w:cs="Arial" w:eastAsia="Arial" w:hAnsi="Arial"/>
                <w:sz w:val="20"/>
                <w:szCs w:val="20"/>
                <w:b w:val="1"/>
                <w:bCs w:val="1"/>
                <w:color w:val="FAAC16"/>
              </w:rPr>
              <w:t>compliance</w:t>
            </w:r>
          </w:p>
        </w:tc>
        <w:tc>
          <w:tcPr>
            <w:tcW w:w="2300" w:type="dxa"/>
            <w:vAlign w:val="bottom"/>
          </w:tcPr>
          <w:p>
            <w:pPr>
              <w:spacing w:after="0"/>
              <w:rPr>
                <w:sz w:val="22"/>
                <w:szCs w:val="22"/>
                <w:color w:val="auto"/>
              </w:rPr>
            </w:pPr>
          </w:p>
        </w:tc>
        <w:tc>
          <w:tcPr>
            <w:tcW w:w="1440" w:type="dxa"/>
            <w:vAlign w:val="bottom"/>
          </w:tcPr>
          <w:p>
            <w:pPr>
              <w:ind w:left="100"/>
              <w:spacing w:after="0"/>
              <w:rPr>
                <w:sz w:val="20"/>
                <w:szCs w:val="20"/>
                <w:color w:val="auto"/>
              </w:rPr>
            </w:pPr>
            <w:r>
              <w:rPr>
                <w:rFonts w:ascii="Arial" w:cs="Arial" w:eastAsia="Arial" w:hAnsi="Arial"/>
                <w:sz w:val="20"/>
                <w:szCs w:val="20"/>
                <w:b w:val="1"/>
                <w:bCs w:val="1"/>
                <w:color w:val="FAAC16"/>
              </w:rPr>
              <w:t>design</w:t>
            </w:r>
          </w:p>
        </w:tc>
        <w:tc>
          <w:tcPr>
            <w:tcW w:w="1580" w:type="dxa"/>
            <w:vAlign w:val="bottom"/>
          </w:tcPr>
          <w:p>
            <w:pPr>
              <w:ind w:left="160"/>
              <w:spacing w:after="0"/>
              <w:rPr>
                <w:sz w:val="20"/>
                <w:szCs w:val="20"/>
                <w:color w:val="auto"/>
              </w:rPr>
            </w:pPr>
            <w:r>
              <w:rPr>
                <w:rFonts w:ascii="Arial" w:cs="Arial" w:eastAsia="Arial" w:hAnsi="Arial"/>
                <w:sz w:val="20"/>
                <w:szCs w:val="20"/>
                <w:b w:val="1"/>
                <w:bCs w:val="1"/>
                <w:color w:val="FAAC16"/>
              </w:rPr>
              <w:t>optimization</w:t>
            </w:r>
          </w:p>
        </w:tc>
        <w:tc>
          <w:tcPr>
            <w:tcW w:w="1060" w:type="dxa"/>
            <w:vAlign w:val="bottom"/>
          </w:tcPr>
          <w:p>
            <w:pPr>
              <w:ind w:left="240"/>
              <w:spacing w:after="0"/>
              <w:rPr>
                <w:sz w:val="20"/>
                <w:szCs w:val="20"/>
                <w:color w:val="auto"/>
              </w:rPr>
            </w:pPr>
            <w:r>
              <w:rPr>
                <w:rFonts w:ascii="Arial" w:cs="Arial" w:eastAsia="Arial" w:hAnsi="Arial"/>
                <w:sz w:val="20"/>
                <w:szCs w:val="20"/>
                <w:b w:val="1"/>
                <w:bCs w:val="1"/>
                <w:color w:val="FAAC16"/>
                <w:w w:val="97"/>
              </w:rPr>
              <w:t>advisory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143510</wp:posOffset>
            </wp:positionV>
            <wp:extent cx="5591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p>
      <w:pPr>
        <w:spacing w:after="0" w:line="248" w:lineRule="exact"/>
        <w:rPr>
          <w:sz w:val="20"/>
          <w:szCs w:val="20"/>
          <w:color w:val="auto"/>
        </w:rPr>
      </w:pPr>
    </w:p>
    <w:p>
      <w:pPr>
        <w:ind w:left="1340"/>
        <w:spacing w:after="0"/>
        <w:tabs>
          <w:tab w:leader="none" w:pos="3160" w:val="left"/>
        </w:tabs>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Internal audit</w:t>
      </w:r>
      <w:r>
        <w:rPr>
          <w:sz w:val="20"/>
          <w:szCs w:val="20"/>
          <w:color w:val="auto"/>
        </w:rPr>
        <w:tab/>
      </w:r>
      <w:r>
        <w:rPr>
          <w:rFonts w:ascii="Arial" w:cs="Arial" w:eastAsia="Arial" w:hAnsi="Arial"/>
          <w:sz w:val="16"/>
          <w:szCs w:val="16"/>
          <w:b w:val="1"/>
          <w:bCs w:val="1"/>
          <w:color w:val="FAAC16"/>
        </w:rPr>
        <w:t xml:space="preserve">&gt; </w:t>
      </w:r>
      <w:r>
        <w:rPr>
          <w:rFonts w:ascii="Arial" w:cs="Arial" w:eastAsia="Arial" w:hAnsi="Arial"/>
          <w:sz w:val="16"/>
          <w:szCs w:val="16"/>
          <w:color w:val="000000"/>
        </w:rPr>
        <w:t>Controllership support</w:t>
      </w:r>
    </w:p>
    <w:p>
      <w:pPr>
        <w:spacing w:after="0" w:line="113" w:lineRule="exact"/>
        <w:rPr>
          <w:sz w:val="20"/>
          <w:szCs w:val="20"/>
          <w:color w:val="auto"/>
        </w:rPr>
      </w:pPr>
    </w:p>
    <w:p>
      <w:pPr>
        <w:ind w:left="1340"/>
        <w:spacing w:after="0"/>
        <w:tabs>
          <w:tab w:leader="none" w:pos="3160" w:val="left"/>
        </w:tabs>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Regulatory</w:t>
      </w:r>
      <w:r>
        <w:rPr>
          <w:sz w:val="20"/>
          <w:szCs w:val="20"/>
          <w:color w:val="auto"/>
        </w:rPr>
        <w:tab/>
      </w:r>
      <w:r>
        <w:rPr>
          <w:rFonts w:ascii="Arial" w:cs="Arial" w:eastAsia="Arial" w:hAnsi="Arial"/>
          <w:sz w:val="16"/>
          <w:szCs w:val="16"/>
          <w:b w:val="1"/>
          <w:bCs w:val="1"/>
          <w:color w:val="FAAC16"/>
        </w:rPr>
        <w:t xml:space="preserve">&gt; </w:t>
      </w:r>
      <w:r>
        <w:rPr>
          <w:rFonts w:ascii="Arial" w:cs="Arial" w:eastAsia="Arial" w:hAnsi="Arial"/>
          <w:sz w:val="16"/>
          <w:szCs w:val="16"/>
          <w:color w:val="000000"/>
        </w:rPr>
        <w:t>Remediation, PMO and</w:t>
      </w:r>
    </w:p>
    <w:p>
      <w:pPr>
        <w:spacing w:after="0" w:line="25" w:lineRule="exact"/>
        <w:rPr>
          <w:sz w:val="20"/>
          <w:szCs w:val="20"/>
          <w:color w:val="auto"/>
        </w:rPr>
      </w:pPr>
    </w:p>
    <w:p>
      <w:pPr>
        <w:ind w:left="1500"/>
        <w:spacing w:after="0"/>
        <w:tabs>
          <w:tab w:leader="none" w:pos="3320" w:val="left"/>
        </w:tabs>
        <w:rPr>
          <w:sz w:val="20"/>
          <w:szCs w:val="20"/>
          <w:color w:val="auto"/>
        </w:rPr>
      </w:pPr>
      <w:r>
        <w:rPr>
          <w:rFonts w:ascii="Arial" w:cs="Arial" w:eastAsia="Arial" w:hAnsi="Arial"/>
          <w:sz w:val="16"/>
          <w:szCs w:val="16"/>
          <w:color w:val="auto"/>
        </w:rPr>
        <w:t>compliance</w:t>
      </w:r>
      <w:r>
        <w:rPr>
          <w:sz w:val="20"/>
          <w:szCs w:val="20"/>
          <w:color w:val="auto"/>
        </w:rPr>
        <w:tab/>
      </w:r>
      <w:r>
        <w:rPr>
          <w:rFonts w:ascii="Arial" w:cs="Arial" w:eastAsia="Arial" w:hAnsi="Arial"/>
          <w:sz w:val="16"/>
          <w:szCs w:val="16"/>
          <w:color w:val="auto"/>
        </w:rPr>
        <w:t>special projects</w:t>
      </w:r>
    </w:p>
    <w:p>
      <w:pPr>
        <w:spacing w:after="0" w:line="93" w:lineRule="exact"/>
        <w:rPr>
          <w:sz w:val="20"/>
          <w:szCs w:val="20"/>
          <w:color w:val="auto"/>
        </w:rPr>
      </w:pPr>
    </w:p>
    <w:p>
      <w:pPr>
        <w:ind w:left="1460" w:hanging="122"/>
        <w:spacing w:after="0"/>
        <w:tabs>
          <w:tab w:leader="none" w:pos="1460" w:val="left"/>
        </w:tabs>
        <w:numPr>
          <w:ilvl w:val="0"/>
          <w:numId w:val="16"/>
        </w:numPr>
        <w:rPr>
          <w:rFonts w:ascii="Arial" w:cs="Arial" w:eastAsia="Arial" w:hAnsi="Arial"/>
          <w:sz w:val="16"/>
          <w:szCs w:val="16"/>
          <w:b w:val="1"/>
          <w:bCs w:val="1"/>
          <w:color w:val="FAAC16"/>
        </w:rPr>
      </w:pPr>
      <w:r>
        <w:rPr>
          <w:rFonts w:ascii="Arial" w:cs="Arial" w:eastAsia="Arial" w:hAnsi="Arial"/>
          <w:sz w:val="16"/>
          <w:szCs w:val="16"/>
          <w:color w:val="auto"/>
        </w:rPr>
        <w:t>Audit analytics and</w:t>
      </w:r>
      <w:r>
        <w:rPr>
          <w:rFonts w:ascii="Arial" w:cs="Arial" w:eastAsia="Arial" w:hAnsi="Arial"/>
          <w:sz w:val="16"/>
          <w:szCs w:val="16"/>
          <w:b w:val="1"/>
          <w:bCs w:val="1"/>
          <w:color w:val="FAAC16"/>
        </w:rPr>
        <w:t xml:space="preserve">&gt; </w:t>
      </w:r>
      <w:r>
        <w:rPr>
          <w:rFonts w:ascii="Arial" w:cs="Arial" w:eastAsia="Arial" w:hAnsi="Arial"/>
          <w:sz w:val="16"/>
          <w:szCs w:val="16"/>
          <w:color w:val="000000"/>
        </w:rPr>
        <w:t>Book close and financial</w:t>
      </w:r>
    </w:p>
    <w:p>
      <w:pPr>
        <w:spacing w:after="0" w:line="25" w:lineRule="exact"/>
        <w:rPr>
          <w:sz w:val="20"/>
          <w:szCs w:val="20"/>
          <w:color w:val="auto"/>
        </w:rPr>
      </w:pPr>
    </w:p>
    <w:p>
      <w:pPr>
        <w:ind w:left="1500"/>
        <w:spacing w:after="0"/>
        <w:tabs>
          <w:tab w:leader="none" w:pos="3320" w:val="left"/>
        </w:tabs>
        <w:rPr>
          <w:sz w:val="20"/>
          <w:szCs w:val="20"/>
          <w:color w:val="auto"/>
        </w:rPr>
      </w:pPr>
      <w:r>
        <w:rPr>
          <w:rFonts w:ascii="Arial" w:cs="Arial" w:eastAsia="Arial" w:hAnsi="Arial"/>
          <w:sz w:val="16"/>
          <w:szCs w:val="16"/>
          <w:color w:val="auto"/>
        </w:rPr>
        <w:t>CCM solutions</w:t>
      </w:r>
      <w:r>
        <w:rPr>
          <w:sz w:val="20"/>
          <w:szCs w:val="20"/>
          <w:color w:val="auto"/>
        </w:rPr>
        <w:tab/>
      </w:r>
      <w:r>
        <w:rPr>
          <w:rFonts w:ascii="Arial" w:cs="Arial" w:eastAsia="Arial" w:hAnsi="Arial"/>
          <w:sz w:val="16"/>
          <w:szCs w:val="16"/>
          <w:color w:val="auto"/>
        </w:rPr>
        <w:t>reporting</w:t>
      </w:r>
    </w:p>
    <w:p>
      <w:pPr>
        <w:spacing w:after="0" w:line="113" w:lineRule="exact"/>
        <w:rPr>
          <w:sz w:val="20"/>
          <w:szCs w:val="20"/>
          <w:color w:val="auto"/>
        </w:rPr>
      </w:pPr>
    </w:p>
    <w:p>
      <w:pPr>
        <w:jc w:val="both"/>
        <w:ind w:left="1500" w:right="2700" w:hanging="162"/>
        <w:spacing w:after="0" w:line="260" w:lineRule="auto"/>
        <w:tabs>
          <w:tab w:leader="none" w:pos="1477" w:val="left"/>
        </w:tabs>
        <w:numPr>
          <w:ilvl w:val="0"/>
          <w:numId w:val="17"/>
        </w:numPr>
        <w:rPr>
          <w:rFonts w:ascii="Arial" w:cs="Arial" w:eastAsia="Arial" w:hAnsi="Arial"/>
          <w:sz w:val="16"/>
          <w:szCs w:val="16"/>
          <w:b w:val="1"/>
          <w:bCs w:val="1"/>
          <w:color w:val="FAAC16"/>
        </w:rPr>
      </w:pPr>
      <w:r>
        <w:rPr>
          <w:rFonts w:ascii="Arial" w:cs="Arial" w:eastAsia="Arial" w:hAnsi="Arial"/>
          <w:sz w:val="16"/>
          <w:szCs w:val="16"/>
          <w:color w:val="auto"/>
        </w:rPr>
        <w:t>Compliance optimization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060" w:type="dxa"/>
            <w:vAlign w:val="bottom"/>
            <w:gridSpan w:val="2"/>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Finance function</w:t>
            </w:r>
            <w:r>
              <w:rPr>
                <w:rFonts w:ascii="Arial" w:cs="Arial" w:eastAsia="Arial" w:hAnsi="Arial"/>
                <w:sz w:val="16"/>
                <w:szCs w:val="16"/>
                <w:b w:val="1"/>
                <w:bCs w:val="1"/>
                <w:color w:val="FAAC16"/>
              </w:rPr>
              <w:t xml:space="preserve">  &gt; </w:t>
            </w:r>
            <w:r>
              <w:rPr>
                <w:rFonts w:ascii="Arial" w:cs="Arial" w:eastAsia="Arial" w:hAnsi="Arial"/>
                <w:sz w:val="16"/>
                <w:szCs w:val="16"/>
                <w:color w:val="000000"/>
              </w:rPr>
              <w:t>Working capital</w:t>
            </w:r>
          </w:p>
        </w:tc>
        <w:tc>
          <w:tcPr>
            <w:tcW w:w="166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Requirements</w:t>
            </w:r>
          </w:p>
        </w:tc>
        <w:tc>
          <w:tcPr>
            <w:tcW w:w="0" w:type="dxa"/>
            <w:vAlign w:val="bottom"/>
          </w:tcPr>
          <w:p>
            <w:pPr>
              <w:spacing w:after="0"/>
              <w:rPr>
                <w:sz w:val="1"/>
                <w:szCs w:val="1"/>
                <w:color w:val="auto"/>
              </w:rPr>
            </w:pPr>
          </w:p>
        </w:tc>
      </w:tr>
      <w:tr>
        <w:trPr>
          <w:trHeight w:val="195"/>
        </w:trPr>
        <w:tc>
          <w:tcPr>
            <w:tcW w:w="1400" w:type="dxa"/>
            <w:vAlign w:val="bottom"/>
          </w:tcPr>
          <w:p>
            <w:pPr>
              <w:ind w:left="160"/>
              <w:spacing w:after="0"/>
              <w:rPr>
                <w:sz w:val="20"/>
                <w:szCs w:val="20"/>
                <w:color w:val="auto"/>
              </w:rPr>
            </w:pPr>
            <w:r>
              <w:rPr>
                <w:rFonts w:ascii="Arial" w:cs="Arial" w:eastAsia="Arial" w:hAnsi="Arial"/>
                <w:sz w:val="16"/>
                <w:szCs w:val="16"/>
                <w:color w:val="auto"/>
              </w:rPr>
              <w:t>diagnostic</w:t>
            </w:r>
          </w:p>
        </w:tc>
        <w:tc>
          <w:tcPr>
            <w:tcW w:w="16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Financial close</w:t>
            </w:r>
          </w:p>
        </w:tc>
        <w:tc>
          <w:tcPr>
            <w:tcW w:w="1660" w:type="dxa"/>
            <w:vAlign w:val="bottom"/>
          </w:tcPr>
          <w:p>
            <w:pPr>
              <w:ind w:left="280"/>
              <w:spacing w:after="0"/>
              <w:rPr>
                <w:sz w:val="20"/>
                <w:szCs w:val="20"/>
                <w:color w:val="auto"/>
              </w:rPr>
            </w:pPr>
            <w:r>
              <w:rPr>
                <w:rFonts w:ascii="Arial" w:cs="Arial" w:eastAsia="Arial" w:hAnsi="Arial"/>
                <w:sz w:val="16"/>
                <w:szCs w:val="16"/>
                <w:color w:val="auto"/>
              </w:rPr>
              <w:t>analysis</w:t>
            </w:r>
          </w:p>
        </w:tc>
        <w:tc>
          <w:tcPr>
            <w:tcW w:w="0" w:type="dxa"/>
            <w:vAlign w:val="bottom"/>
          </w:tcPr>
          <w:p>
            <w:pPr>
              <w:spacing w:after="0"/>
              <w:rPr>
                <w:sz w:val="1"/>
                <w:szCs w:val="1"/>
                <w:color w:val="auto"/>
              </w:rPr>
            </w:pPr>
          </w:p>
        </w:tc>
      </w:tr>
      <w:tr>
        <w:trPr>
          <w:trHeight w:val="108"/>
        </w:trPr>
        <w:tc>
          <w:tcPr>
            <w:tcW w:w="140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Opportunity</w:t>
            </w:r>
          </w:p>
        </w:tc>
        <w:tc>
          <w:tcPr>
            <w:tcW w:w="1660" w:type="dxa"/>
            <w:vAlign w:val="bottom"/>
            <w:vMerge w:val="continue"/>
          </w:tcPr>
          <w:p>
            <w:pPr>
              <w:spacing w:after="0"/>
              <w:rPr>
                <w:sz w:val="9"/>
                <w:szCs w:val="9"/>
                <w:color w:val="auto"/>
              </w:rPr>
            </w:pPr>
          </w:p>
        </w:tc>
        <w:tc>
          <w:tcPr>
            <w:tcW w:w="16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Systems</w:t>
            </w:r>
          </w:p>
        </w:tc>
        <w:tc>
          <w:tcPr>
            <w:tcW w:w="0" w:type="dxa"/>
            <w:vAlign w:val="bottom"/>
          </w:tcPr>
          <w:p>
            <w:pPr>
              <w:spacing w:after="0"/>
              <w:rPr>
                <w:sz w:val="1"/>
                <w:szCs w:val="1"/>
                <w:color w:val="auto"/>
              </w:rPr>
            </w:pPr>
          </w:p>
        </w:tc>
      </w:tr>
      <w:tr>
        <w:trPr>
          <w:trHeight w:val="183"/>
        </w:trPr>
        <w:tc>
          <w:tcPr>
            <w:tcW w:w="1400" w:type="dxa"/>
            <w:vAlign w:val="bottom"/>
            <w:vMerge w:val="continue"/>
          </w:tcPr>
          <w:p>
            <w:pPr>
              <w:spacing w:after="0"/>
              <w:rPr>
                <w:sz w:val="15"/>
                <w:szCs w:val="15"/>
                <w:color w:val="auto"/>
              </w:rPr>
            </w:pPr>
          </w:p>
        </w:tc>
        <w:tc>
          <w:tcPr>
            <w:tcW w:w="16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Financial reporting</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1400" w:type="dxa"/>
            <w:vAlign w:val="bottom"/>
            <w:vMerge w:val="restart"/>
          </w:tcPr>
          <w:p>
            <w:pPr>
              <w:ind w:left="160"/>
              <w:spacing w:after="0"/>
              <w:rPr>
                <w:sz w:val="20"/>
                <w:szCs w:val="20"/>
                <w:color w:val="auto"/>
              </w:rPr>
            </w:pPr>
            <w:r>
              <w:rPr>
                <w:rFonts w:ascii="Arial" w:cs="Arial" w:eastAsia="Arial" w:hAnsi="Arial"/>
                <w:sz w:val="16"/>
                <w:szCs w:val="16"/>
                <w:color w:val="auto"/>
              </w:rPr>
              <w:t>identification</w:t>
            </w:r>
          </w:p>
        </w:tc>
        <w:tc>
          <w:tcPr>
            <w:tcW w:w="1660" w:type="dxa"/>
            <w:vAlign w:val="bottom"/>
            <w:vMerge w:val="continue"/>
          </w:tcPr>
          <w:p>
            <w:pPr>
              <w:spacing w:after="0"/>
              <w:rPr>
                <w:sz w:val="9"/>
                <w:szCs w:val="9"/>
                <w:color w:val="auto"/>
              </w:rPr>
            </w:pPr>
          </w:p>
        </w:tc>
        <w:tc>
          <w:tcPr>
            <w:tcW w:w="1660" w:type="dxa"/>
            <w:vAlign w:val="bottom"/>
            <w:vMerge w:val="restart"/>
          </w:tcPr>
          <w:p>
            <w:pPr>
              <w:ind w:left="280"/>
              <w:spacing w:after="0"/>
              <w:rPr>
                <w:sz w:val="20"/>
                <w:szCs w:val="20"/>
                <w:color w:val="auto"/>
              </w:rPr>
            </w:pPr>
            <w:r>
              <w:rPr>
                <w:rFonts w:ascii="Arial" w:cs="Arial" w:eastAsia="Arial" w:hAnsi="Arial"/>
                <w:sz w:val="16"/>
                <w:szCs w:val="16"/>
                <w:color w:val="auto"/>
              </w:rPr>
              <w:t>assessment and</w:t>
            </w:r>
          </w:p>
        </w:tc>
        <w:tc>
          <w:tcPr>
            <w:tcW w:w="0" w:type="dxa"/>
            <w:vAlign w:val="bottom"/>
          </w:tcPr>
          <w:p>
            <w:pPr>
              <w:spacing w:after="0"/>
              <w:rPr>
                <w:sz w:val="1"/>
                <w:szCs w:val="1"/>
                <w:color w:val="auto"/>
              </w:rPr>
            </w:pPr>
          </w:p>
        </w:tc>
      </w:tr>
      <w:tr>
        <w:trPr>
          <w:trHeight w:val="75"/>
        </w:trPr>
        <w:tc>
          <w:tcPr>
            <w:tcW w:w="140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Shared services</w:t>
            </w:r>
          </w:p>
        </w:tc>
        <w:tc>
          <w:tcPr>
            <w:tcW w:w="166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Management</w:t>
            </w:r>
          </w:p>
        </w:tc>
        <w:tc>
          <w:tcPr>
            <w:tcW w:w="1660" w:type="dxa"/>
            <w:vAlign w:val="bottom"/>
          </w:tcPr>
          <w:p>
            <w:pPr>
              <w:ind w:left="280"/>
              <w:spacing w:after="0"/>
              <w:rPr>
                <w:sz w:val="20"/>
                <w:szCs w:val="20"/>
                <w:color w:val="auto"/>
              </w:rPr>
            </w:pPr>
            <w:r>
              <w:rPr>
                <w:rFonts w:ascii="Arial" w:cs="Arial" w:eastAsia="Arial" w:hAnsi="Arial"/>
                <w:sz w:val="16"/>
                <w:szCs w:val="16"/>
                <w:color w:val="auto"/>
              </w:rPr>
              <w:t>selection</w:t>
            </w:r>
          </w:p>
        </w:tc>
        <w:tc>
          <w:tcPr>
            <w:tcW w:w="0" w:type="dxa"/>
            <w:vAlign w:val="bottom"/>
          </w:tcPr>
          <w:p>
            <w:pPr>
              <w:spacing w:after="0"/>
              <w:rPr>
                <w:sz w:val="1"/>
                <w:szCs w:val="1"/>
                <w:color w:val="auto"/>
              </w:rPr>
            </w:pPr>
          </w:p>
        </w:tc>
      </w:tr>
      <w:tr>
        <w:trPr>
          <w:trHeight w:val="81"/>
        </w:trPr>
        <w:tc>
          <w:tcPr>
            <w:tcW w:w="1400" w:type="dxa"/>
            <w:vAlign w:val="bottom"/>
            <w:vMerge w:val="continue"/>
          </w:tcPr>
          <w:p>
            <w:pPr>
              <w:spacing w:after="0"/>
              <w:rPr>
                <w:sz w:val="7"/>
                <w:szCs w:val="7"/>
                <w:color w:val="auto"/>
              </w:rPr>
            </w:pPr>
          </w:p>
        </w:tc>
        <w:tc>
          <w:tcPr>
            <w:tcW w:w="1660" w:type="dxa"/>
            <w:vAlign w:val="bottom"/>
            <w:vMerge w:val="restart"/>
          </w:tcPr>
          <w:p>
            <w:pPr>
              <w:ind w:left="260"/>
              <w:spacing w:after="0"/>
              <w:rPr>
                <w:sz w:val="20"/>
                <w:szCs w:val="20"/>
                <w:color w:val="auto"/>
              </w:rPr>
            </w:pPr>
            <w:r>
              <w:rPr>
                <w:rFonts w:ascii="Arial" w:cs="Arial" w:eastAsia="Arial" w:hAnsi="Arial"/>
                <w:sz w:val="16"/>
                <w:szCs w:val="16"/>
                <w:color w:val="auto"/>
              </w:rPr>
              <w:t>reporting</w:t>
            </w:r>
          </w:p>
        </w:tc>
        <w:tc>
          <w:tcPr>
            <w:tcW w:w="16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Implementation</w:t>
            </w:r>
          </w:p>
        </w:tc>
        <w:tc>
          <w:tcPr>
            <w:tcW w:w="0" w:type="dxa"/>
            <w:vAlign w:val="bottom"/>
          </w:tcPr>
          <w:p>
            <w:pPr>
              <w:spacing w:after="0"/>
              <w:rPr>
                <w:sz w:val="1"/>
                <w:szCs w:val="1"/>
                <w:color w:val="auto"/>
              </w:rPr>
            </w:pPr>
          </w:p>
        </w:tc>
      </w:tr>
      <w:tr>
        <w:trPr>
          <w:trHeight w:val="114"/>
        </w:trPr>
        <w:tc>
          <w:tcPr>
            <w:tcW w:w="1400" w:type="dxa"/>
            <w:vAlign w:val="bottom"/>
            <w:vMerge w:val="restart"/>
          </w:tcPr>
          <w:p>
            <w:pPr>
              <w:ind w:left="160"/>
              <w:spacing w:after="0"/>
              <w:rPr>
                <w:sz w:val="20"/>
                <w:szCs w:val="20"/>
                <w:color w:val="auto"/>
              </w:rPr>
            </w:pPr>
            <w:r>
              <w:rPr>
                <w:rFonts w:ascii="Arial" w:cs="Arial" w:eastAsia="Arial" w:hAnsi="Arial"/>
                <w:sz w:val="16"/>
                <w:szCs w:val="16"/>
                <w:color w:val="auto"/>
              </w:rPr>
              <w:t>advisory</w:t>
            </w:r>
          </w:p>
        </w:tc>
        <w:tc>
          <w:tcPr>
            <w:tcW w:w="16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40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66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Financial planning</w:t>
            </w:r>
          </w:p>
        </w:tc>
        <w:tc>
          <w:tcPr>
            <w:tcW w:w="1660" w:type="dxa"/>
            <w:vAlign w:val="bottom"/>
          </w:tcPr>
          <w:p>
            <w:pPr>
              <w:ind w:left="280"/>
              <w:spacing w:after="0"/>
              <w:rPr>
                <w:sz w:val="20"/>
                <w:szCs w:val="20"/>
                <w:color w:val="auto"/>
              </w:rPr>
            </w:pPr>
            <w:r>
              <w:rPr>
                <w:rFonts w:ascii="Arial" w:cs="Arial" w:eastAsia="Arial" w:hAnsi="Arial"/>
                <w:sz w:val="16"/>
                <w:szCs w:val="16"/>
                <w:color w:val="auto"/>
              </w:rPr>
              <w:t>support and PMO</w:t>
            </w:r>
          </w:p>
        </w:tc>
        <w:tc>
          <w:tcPr>
            <w:tcW w:w="0" w:type="dxa"/>
            <w:vAlign w:val="bottom"/>
          </w:tcPr>
          <w:p>
            <w:pPr>
              <w:spacing w:after="0"/>
              <w:rPr>
                <w:sz w:val="1"/>
                <w:szCs w:val="1"/>
                <w:color w:val="auto"/>
              </w:rPr>
            </w:pPr>
          </w:p>
        </w:tc>
      </w:tr>
      <w:tr>
        <w:trPr>
          <w:trHeight w:val="195"/>
        </w:trPr>
        <w:tc>
          <w:tcPr>
            <w:tcW w:w="1400" w:type="dxa"/>
            <w:vAlign w:val="bottom"/>
          </w:tcPr>
          <w:p>
            <w:pPr>
              <w:spacing w:after="0"/>
              <w:rPr>
                <w:sz w:val="16"/>
                <w:szCs w:val="16"/>
                <w:color w:val="auto"/>
              </w:rPr>
            </w:pPr>
          </w:p>
        </w:tc>
        <w:tc>
          <w:tcPr>
            <w:tcW w:w="1660" w:type="dxa"/>
            <w:vAlign w:val="bottom"/>
          </w:tcPr>
          <w:p>
            <w:pPr>
              <w:ind w:left="260"/>
              <w:spacing w:after="0"/>
              <w:rPr>
                <w:sz w:val="20"/>
                <w:szCs w:val="20"/>
                <w:color w:val="auto"/>
              </w:rPr>
            </w:pPr>
            <w:r>
              <w:rPr>
                <w:rFonts w:ascii="Arial" w:cs="Arial" w:eastAsia="Arial" w:hAnsi="Arial"/>
                <w:sz w:val="16"/>
                <w:szCs w:val="16"/>
                <w:color w:val="auto"/>
              </w:rPr>
              <w:t>and analysis</w:t>
            </w:r>
          </w:p>
        </w:tc>
        <w:tc>
          <w:tcPr>
            <w:tcW w:w="166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Systems assurance</w:t>
            </w:r>
          </w:p>
        </w:tc>
        <w:tc>
          <w:tcPr>
            <w:tcW w:w="0" w:type="dxa"/>
            <w:vAlign w:val="bottom"/>
          </w:tcPr>
          <w:p>
            <w:pPr>
              <w:spacing w:after="0"/>
              <w:rPr>
                <w:sz w:val="1"/>
                <w:szCs w:val="1"/>
                <w:color w:val="auto"/>
              </w:rPr>
            </w:pPr>
          </w:p>
        </w:tc>
      </w:tr>
      <w:tr>
        <w:trPr>
          <w:trHeight w:val="81"/>
        </w:trPr>
        <w:tc>
          <w:tcPr>
            <w:tcW w:w="140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060" w:space="200"/>
            <w:col w:w="4959"/>
          </w:cols>
          <w:pgMar w:left="240" w:top="337" w:right="1440"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219"/>
          </w:cols>
          <w:pgMar w:left="240" w:top="337" w:right="1440"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Analytics</w:t>
      </w:r>
    </w:p>
    <w:p>
      <w:pPr>
        <w:spacing w:after="0" w:line="22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Our Analytics services focus on driving improved business outcomes for our customers by generating data-driven insights across all parts of 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The EXL Analytics team comprises over 1,800 professionals. Analytics represented 19.4% of EXL’s revenues in 2015.</w:t>
      </w:r>
    </w:p>
    <w:p>
      <w:pPr>
        <w:spacing w:after="0" w:line="171"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help our customers leverage internal and external data sources, enhance their data assets, identify and visualize data patterns, and utilize data-driven insights to improve their effectiveness. Our services for our customers include -</w:t>
      </w:r>
    </w:p>
    <w:p>
      <w:pPr>
        <w:spacing w:after="0" w:line="197" w:lineRule="exact"/>
        <w:rPr>
          <w:sz w:val="20"/>
          <w:szCs w:val="20"/>
          <w:color w:val="auto"/>
        </w:rPr>
      </w:pPr>
    </w:p>
    <w:p>
      <w:pPr>
        <w:ind w:firstLine="400"/>
        <w:spacing w:after="0" w:line="324" w:lineRule="auto"/>
        <w:tabs>
          <w:tab w:leader="none" w:pos="6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Identification, cleansing, matching and use of structured, semi-structured and unstructured data available both internally to our customer’s organization and externally</w:t>
      </w:r>
    </w:p>
    <w:p>
      <w:pPr>
        <w:spacing w:after="0" w:line="170" w:lineRule="exact"/>
        <w:rPr>
          <w:rFonts w:ascii="Arial" w:cs="Arial" w:eastAsia="Arial" w:hAnsi="Arial"/>
          <w:sz w:val="18"/>
          <w:szCs w:val="18"/>
          <w:color w:val="auto"/>
        </w:rPr>
      </w:pPr>
    </w:p>
    <w:p>
      <w:pPr>
        <w:ind w:firstLine="400"/>
        <w:spacing w:after="0" w:line="324" w:lineRule="auto"/>
        <w:tabs>
          <w:tab w:leader="none" w:pos="698"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Deployment of analytics professionals and data scientists who utilize analytics tools, cutting edge statistical techniques and methodologies in ways designed to help customers better understand their data to generate actionable business insights</w:t>
      </w:r>
    </w:p>
    <w:p>
      <w:pPr>
        <w:spacing w:after="0" w:line="170" w:lineRule="exact"/>
        <w:rPr>
          <w:rFonts w:ascii="Arial" w:cs="Arial" w:eastAsia="Arial" w:hAnsi="Arial"/>
          <w:sz w:val="18"/>
          <w:szCs w:val="18"/>
          <w:color w:val="auto"/>
        </w:rPr>
      </w:pPr>
    </w:p>
    <w:p>
      <w:pPr>
        <w:ind w:left="700" w:hanging="300"/>
        <w:spacing w:after="0"/>
        <w:tabs>
          <w:tab w:leader="none" w:pos="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Design and Implementation of solutions enabling data visualization and management reporting enabling business users to segment, drill-down, and</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filter data</w:t>
      </w:r>
    </w:p>
    <w:p>
      <w:pPr>
        <w:spacing w:after="0" w:line="265" w:lineRule="exact"/>
        <w:rPr>
          <w:rFonts w:ascii="Arial" w:cs="Arial" w:eastAsia="Arial" w:hAnsi="Arial"/>
          <w:sz w:val="16"/>
          <w:szCs w:val="16"/>
          <w:color w:val="auto"/>
        </w:rPr>
      </w:pPr>
    </w:p>
    <w:p>
      <w:pPr>
        <w:ind w:left="700" w:hanging="300"/>
        <w:spacing w:after="0"/>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Integration of data insights and predictive models in the real-time decision making processes to drive measurable business impact</w:t>
      </w:r>
    </w:p>
    <w:p>
      <w:pPr>
        <w:spacing w:after="0" w:line="239"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Our Analytics engagements span both project work and longer-term annuity arrangements where EXL provides ongoing analytics modeling and services for a year or more. We utilize domain and industry knowledge related to the business problem being considered to support these Analytics engagements.</w:t>
      </w:r>
    </w:p>
    <w:p>
      <w:pPr>
        <w:spacing w:after="0" w:line="124"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opened a new Analytics Center of Excellence in 2015 in Gurgaon, India with a capacity of 950 seats, dedicated to providing best in class management reporting, advanced analytics, predictive modeling and data management services. In 2015, we acquired RPM which specializes in analyzing large consumer data sets to segment populations, predict response rates, forecast customer lifetime value and design targeted, multi-channel marketing campaigns. RPM focuses on the insurance industry, including P&amp;C, life and health. RPM maintains and supports data on over 235 million consumers and 120 million U.S. households. The quantity and combination of data attributes managed by RPM drives optimal, data-driven decision-making and enables it to build models that analyze prospects individually. RPM also employs proprietary predictive analytics and domain-specific pattern recognition algorithms to deliver results through a flexible, on-demand service model.</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7"/>
          <w:szCs w:val="17"/>
          <w:color w:val="auto"/>
        </w:rPr>
        <w:t>Our Analytics business is structured by business verticals. Our Analytics solutions for each of the Banking and Financial Services, Healthcare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Insurance industries include:</w:t>
      </w:r>
    </w:p>
    <w:p>
      <w:pPr>
        <w:spacing w:after="0" w:line="357"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FFFFFF"/>
        </w:rPr>
        <w:t>Banking and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-179705</wp:posOffset>
            </wp:positionV>
            <wp:extent cx="5600065" cy="231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0065" cy="231775"/>
                    </a:xfrm>
                    <a:prstGeom prst="rect">
                      <a:avLst/>
                    </a:prstGeom>
                    <a:noFill/>
                  </pic:spPr>
                </pic:pic>
              </a:graphicData>
            </a:graphic>
          </wp:anchor>
        </w:drawing>
      </w:r>
    </w:p>
    <w:p>
      <w:pPr>
        <w:spacing w:after="0" w:line="60" w:lineRule="exact"/>
        <w:rPr>
          <w:sz w:val="20"/>
          <w:szCs w:val="20"/>
          <w:color w:val="auto"/>
        </w:rPr>
      </w:pPr>
    </w:p>
    <w:p>
      <w:pPr>
        <w:ind w:left="1340"/>
        <w:spacing w:after="0"/>
        <w:tabs>
          <w:tab w:leader="none" w:pos="5100" w:val="left"/>
          <w:tab w:leader="none" w:pos="7680" w:val="left"/>
        </w:tabs>
        <w:rPr>
          <w:sz w:val="20"/>
          <w:szCs w:val="20"/>
          <w:color w:val="auto"/>
        </w:rPr>
      </w:pPr>
      <w:r>
        <w:rPr>
          <w:rFonts w:ascii="Arial" w:cs="Arial" w:eastAsia="Arial" w:hAnsi="Arial"/>
          <w:sz w:val="20"/>
          <w:szCs w:val="20"/>
          <w:b w:val="1"/>
          <w:bCs w:val="1"/>
          <w:color w:val="FAAC16"/>
        </w:rPr>
        <w:t>Retail banking</w:t>
      </w:r>
      <w:r>
        <w:rPr>
          <w:sz w:val="20"/>
          <w:szCs w:val="20"/>
          <w:color w:val="auto"/>
        </w:rPr>
        <w:tab/>
      </w:r>
      <w:r>
        <w:rPr>
          <w:rFonts w:ascii="Arial" w:cs="Arial" w:eastAsia="Arial" w:hAnsi="Arial"/>
          <w:sz w:val="20"/>
          <w:szCs w:val="20"/>
          <w:b w:val="1"/>
          <w:bCs w:val="1"/>
          <w:color w:val="FAAC16"/>
        </w:rPr>
        <w:t>Commercial banking</w:t>
      </w:r>
      <w:r>
        <w:rPr>
          <w:sz w:val="20"/>
          <w:szCs w:val="20"/>
          <w:color w:val="auto"/>
        </w:rPr>
        <w:tab/>
      </w:r>
      <w:r>
        <w:rPr>
          <w:rFonts w:ascii="Arial" w:cs="Arial" w:eastAsia="Arial" w:hAnsi="Arial"/>
          <w:sz w:val="19"/>
          <w:szCs w:val="19"/>
          <w:b w:val="1"/>
          <w:bCs w:val="1"/>
          <w:color w:val="FAAC16"/>
        </w:rPr>
        <w:t>Investment banking /</w:t>
      </w:r>
    </w:p>
    <w:p>
      <w:pPr>
        <w:spacing w:after="0" w:line="10" w:lineRule="exact"/>
        <w:rPr>
          <w:sz w:val="20"/>
          <w:szCs w:val="20"/>
          <w:color w:val="auto"/>
        </w:rPr>
      </w:pPr>
    </w:p>
    <w:p>
      <w:pPr>
        <w:ind w:left="7700"/>
        <w:spacing w:after="0"/>
        <w:rPr>
          <w:sz w:val="20"/>
          <w:szCs w:val="20"/>
          <w:color w:val="auto"/>
        </w:rPr>
      </w:pPr>
      <w:r>
        <w:rPr>
          <w:rFonts w:ascii="Arial" w:cs="Arial" w:eastAsia="Arial" w:hAnsi="Arial"/>
          <w:sz w:val="20"/>
          <w:szCs w:val="20"/>
          <w:b w:val="1"/>
          <w:bCs w:val="1"/>
          <w:color w:val="FAAC16"/>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10795</wp:posOffset>
            </wp:positionV>
            <wp:extent cx="56000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59" w:lineRule="exact"/>
        <w:rPr>
          <w:sz w:val="20"/>
          <w:szCs w:val="20"/>
          <w:color w:val="auto"/>
        </w:rPr>
      </w:pPr>
    </w:p>
    <w:p>
      <w:pPr>
        <w:ind w:left="1460" w:hanging="128"/>
        <w:spacing w:after="0"/>
        <w:tabs>
          <w:tab w:leader="none" w:pos="146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Application and transaction fraud management</w:t>
      </w:r>
    </w:p>
    <w:p>
      <w:pPr>
        <w:spacing w:after="0" w:line="113" w:lineRule="exact"/>
        <w:rPr>
          <w:rFonts w:ascii="Arial" w:cs="Arial" w:eastAsia="Arial" w:hAnsi="Arial"/>
          <w:sz w:val="16"/>
          <w:szCs w:val="16"/>
          <w:b w:val="1"/>
          <w:bCs w:val="1"/>
          <w:color w:val="FAAC16"/>
        </w:rPr>
      </w:pPr>
    </w:p>
    <w:p>
      <w:pPr>
        <w:ind w:left="1460" w:hanging="128"/>
        <w:spacing w:after="0"/>
        <w:tabs>
          <w:tab w:leader="none" w:pos="146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Transaction processing</w:t>
      </w:r>
    </w:p>
    <w:p>
      <w:pPr>
        <w:spacing w:after="0" w:line="113" w:lineRule="exact"/>
        <w:rPr>
          <w:rFonts w:ascii="Arial" w:cs="Arial" w:eastAsia="Arial" w:hAnsi="Arial"/>
          <w:sz w:val="16"/>
          <w:szCs w:val="16"/>
          <w:b w:val="1"/>
          <w:bCs w:val="1"/>
          <w:color w:val="FAAC16"/>
        </w:rPr>
      </w:pPr>
    </w:p>
    <w:p>
      <w:pPr>
        <w:ind w:left="1480" w:hanging="148"/>
        <w:spacing w:after="0"/>
        <w:tabs>
          <w:tab w:leader="none" w:pos="148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New account acquisition / setup</w:t>
      </w:r>
    </w:p>
    <w:p>
      <w:pPr>
        <w:spacing w:after="0" w:line="113" w:lineRule="exact"/>
        <w:rPr>
          <w:rFonts w:ascii="Arial" w:cs="Arial" w:eastAsia="Arial" w:hAnsi="Arial"/>
          <w:sz w:val="16"/>
          <w:szCs w:val="16"/>
          <w:b w:val="1"/>
          <w:bCs w:val="1"/>
          <w:color w:val="FAAC16"/>
        </w:rPr>
      </w:pPr>
    </w:p>
    <w:p>
      <w:pPr>
        <w:ind w:left="1480" w:hanging="148"/>
        <w:spacing w:after="0"/>
        <w:tabs>
          <w:tab w:leader="none" w:pos="148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Complaint management/contact center analytics</w:t>
      </w:r>
    </w:p>
    <w:p>
      <w:pPr>
        <w:spacing w:after="0" w:line="113" w:lineRule="exact"/>
        <w:rPr>
          <w:rFonts w:ascii="Arial" w:cs="Arial" w:eastAsia="Arial" w:hAnsi="Arial"/>
          <w:sz w:val="16"/>
          <w:szCs w:val="16"/>
          <w:b w:val="1"/>
          <w:bCs w:val="1"/>
          <w:color w:val="FAAC16"/>
        </w:rPr>
      </w:pPr>
    </w:p>
    <w:p>
      <w:pPr>
        <w:ind w:left="1480" w:hanging="148"/>
        <w:spacing w:after="0"/>
        <w:tabs>
          <w:tab w:leader="none" w:pos="148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Portfolio analytics</w:t>
      </w:r>
    </w:p>
    <w:p>
      <w:pPr>
        <w:spacing w:after="0" w:line="113" w:lineRule="exact"/>
        <w:rPr>
          <w:rFonts w:ascii="Arial" w:cs="Arial" w:eastAsia="Arial" w:hAnsi="Arial"/>
          <w:sz w:val="16"/>
          <w:szCs w:val="16"/>
          <w:b w:val="1"/>
          <w:bCs w:val="1"/>
          <w:color w:val="FAAC16"/>
        </w:rPr>
      </w:pPr>
    </w:p>
    <w:p>
      <w:pPr>
        <w:ind w:left="1480" w:hanging="148"/>
        <w:spacing w:after="0"/>
        <w:tabs>
          <w:tab w:leader="none" w:pos="148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Marketing analytics</w:t>
      </w:r>
    </w:p>
    <w:p>
      <w:pPr>
        <w:spacing w:after="0" w:line="113" w:lineRule="exact"/>
        <w:rPr>
          <w:rFonts w:ascii="Arial" w:cs="Arial" w:eastAsia="Arial" w:hAnsi="Arial"/>
          <w:sz w:val="16"/>
          <w:szCs w:val="16"/>
          <w:b w:val="1"/>
          <w:bCs w:val="1"/>
          <w:color w:val="FAAC16"/>
        </w:rPr>
      </w:pPr>
    </w:p>
    <w:p>
      <w:pPr>
        <w:ind w:left="1480" w:hanging="148"/>
        <w:spacing w:after="0"/>
        <w:tabs>
          <w:tab w:leader="none" w:pos="148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Model development</w:t>
      </w:r>
    </w:p>
    <w:p>
      <w:pPr>
        <w:spacing w:after="0" w:line="113" w:lineRule="exact"/>
        <w:rPr>
          <w:rFonts w:ascii="Arial" w:cs="Arial" w:eastAsia="Arial" w:hAnsi="Arial"/>
          <w:sz w:val="16"/>
          <w:szCs w:val="16"/>
          <w:b w:val="1"/>
          <w:bCs w:val="1"/>
          <w:color w:val="FAAC16"/>
        </w:rPr>
      </w:pPr>
    </w:p>
    <w:p>
      <w:pPr>
        <w:ind w:left="1480" w:hanging="148"/>
        <w:spacing w:after="0"/>
        <w:tabs>
          <w:tab w:leader="none" w:pos="148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Model validation</w:t>
      </w:r>
    </w:p>
    <w:p>
      <w:pPr>
        <w:spacing w:after="0" w:line="113" w:lineRule="exact"/>
        <w:rPr>
          <w:rFonts w:ascii="Arial" w:cs="Arial" w:eastAsia="Arial" w:hAnsi="Arial"/>
          <w:sz w:val="16"/>
          <w:szCs w:val="16"/>
          <w:b w:val="1"/>
          <w:bCs w:val="1"/>
          <w:color w:val="FAAC16"/>
        </w:rPr>
      </w:pPr>
    </w:p>
    <w:p>
      <w:pPr>
        <w:ind w:left="1480" w:hanging="148"/>
        <w:spacing w:after="0"/>
        <w:tabs>
          <w:tab w:leader="none" w:pos="1480"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Model documentation</w:t>
      </w:r>
    </w:p>
    <w:p>
      <w:pPr>
        <w:spacing w:after="0" w:line="113" w:lineRule="exact"/>
        <w:rPr>
          <w:rFonts w:ascii="Arial" w:cs="Arial" w:eastAsia="Arial" w:hAnsi="Arial"/>
          <w:sz w:val="16"/>
          <w:szCs w:val="16"/>
          <w:b w:val="1"/>
          <w:bCs w:val="1"/>
          <w:color w:val="FAAC16"/>
        </w:rPr>
      </w:pPr>
    </w:p>
    <w:p>
      <w:pPr>
        <w:ind w:left="1500" w:right="220" w:hanging="168"/>
        <w:spacing w:after="0" w:line="260" w:lineRule="auto"/>
        <w:tabs>
          <w:tab w:leader="none" w:pos="1478" w:val="left"/>
        </w:tabs>
        <w:numPr>
          <w:ilvl w:val="0"/>
          <w:numId w:val="19"/>
        </w:numPr>
        <w:rPr>
          <w:rFonts w:ascii="Arial" w:cs="Arial" w:eastAsia="Arial" w:hAnsi="Arial"/>
          <w:sz w:val="16"/>
          <w:szCs w:val="16"/>
          <w:b w:val="1"/>
          <w:bCs w:val="1"/>
          <w:color w:val="FAAC16"/>
        </w:rPr>
      </w:pPr>
      <w:r>
        <w:rPr>
          <w:rFonts w:ascii="Arial" w:cs="Arial" w:eastAsia="Arial" w:hAnsi="Arial"/>
          <w:sz w:val="16"/>
          <w:szCs w:val="16"/>
          <w:color w:val="auto"/>
        </w:rPr>
        <w:t>Comprehensive Capital Analysis and Review submission support</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53" w:hanging="153"/>
        <w:spacing w:after="0" w:line="260" w:lineRule="auto"/>
        <w:tabs>
          <w:tab w:leader="none" w:pos="131" w:val="left"/>
        </w:tabs>
        <w:numPr>
          <w:ilvl w:val="0"/>
          <w:numId w:val="20"/>
        </w:numPr>
        <w:rPr>
          <w:rFonts w:ascii="Arial" w:cs="Arial" w:eastAsia="Arial" w:hAnsi="Arial"/>
          <w:sz w:val="16"/>
          <w:szCs w:val="16"/>
          <w:b w:val="1"/>
          <w:bCs w:val="1"/>
          <w:color w:val="FAAC16"/>
        </w:rPr>
      </w:pPr>
      <w:r>
        <w:rPr>
          <w:rFonts w:ascii="Arial" w:cs="Arial" w:eastAsia="Arial" w:hAnsi="Arial"/>
          <w:sz w:val="16"/>
          <w:szCs w:val="16"/>
          <w:color w:val="auto"/>
        </w:rPr>
        <w:t>Customer acquisition and loans origination</w:t>
      </w:r>
    </w:p>
    <w:p>
      <w:pPr>
        <w:spacing w:after="0" w:line="87" w:lineRule="exact"/>
        <w:rPr>
          <w:rFonts w:ascii="Arial" w:cs="Arial" w:eastAsia="Arial" w:hAnsi="Arial"/>
          <w:sz w:val="16"/>
          <w:szCs w:val="16"/>
          <w:b w:val="1"/>
          <w:bCs w:val="1"/>
          <w:color w:val="FAAC16"/>
        </w:rPr>
      </w:pPr>
    </w:p>
    <w:p>
      <w:pPr>
        <w:ind w:left="153" w:right="320" w:hanging="153"/>
        <w:spacing w:after="0" w:line="260" w:lineRule="auto"/>
        <w:tabs>
          <w:tab w:leader="none" w:pos="122" w:val="left"/>
        </w:tabs>
        <w:numPr>
          <w:ilvl w:val="0"/>
          <w:numId w:val="20"/>
        </w:numPr>
        <w:rPr>
          <w:rFonts w:ascii="Arial" w:cs="Arial" w:eastAsia="Arial" w:hAnsi="Arial"/>
          <w:sz w:val="16"/>
          <w:szCs w:val="16"/>
          <w:b w:val="1"/>
          <w:bCs w:val="1"/>
          <w:color w:val="FAAC16"/>
        </w:rPr>
      </w:pPr>
      <w:r>
        <w:rPr>
          <w:rFonts w:ascii="Arial" w:cs="Arial" w:eastAsia="Arial" w:hAnsi="Arial"/>
          <w:sz w:val="16"/>
          <w:szCs w:val="16"/>
          <w:color w:val="auto"/>
        </w:rPr>
        <w:t>Application processing and underwriting</w:t>
      </w:r>
    </w:p>
    <w:p>
      <w:pPr>
        <w:spacing w:after="0" w:line="87" w:lineRule="exact"/>
        <w:rPr>
          <w:rFonts w:ascii="Arial" w:cs="Arial" w:eastAsia="Arial" w:hAnsi="Arial"/>
          <w:sz w:val="16"/>
          <w:szCs w:val="16"/>
          <w:b w:val="1"/>
          <w:bCs w:val="1"/>
          <w:color w:val="FAAC16"/>
        </w:rPr>
      </w:pPr>
    </w:p>
    <w:p>
      <w:pPr>
        <w:ind w:left="153" w:right="620" w:hanging="153"/>
        <w:spacing w:after="0" w:line="260" w:lineRule="auto"/>
        <w:tabs>
          <w:tab w:leader="none" w:pos="131" w:val="left"/>
        </w:tabs>
        <w:numPr>
          <w:ilvl w:val="0"/>
          <w:numId w:val="20"/>
        </w:numPr>
        <w:rPr>
          <w:rFonts w:ascii="Arial" w:cs="Arial" w:eastAsia="Arial" w:hAnsi="Arial"/>
          <w:sz w:val="16"/>
          <w:szCs w:val="16"/>
          <w:b w:val="1"/>
          <w:bCs w:val="1"/>
          <w:color w:val="FAAC16"/>
        </w:rPr>
      </w:pPr>
      <w:r>
        <w:rPr>
          <w:rFonts w:ascii="Arial" w:cs="Arial" w:eastAsia="Arial" w:hAnsi="Arial"/>
          <w:sz w:val="16"/>
          <w:szCs w:val="16"/>
          <w:color w:val="auto"/>
        </w:rPr>
        <w:t>Customer and account management</w:t>
      </w:r>
    </w:p>
    <w:p>
      <w:pPr>
        <w:spacing w:after="0" w:line="87" w:lineRule="exact"/>
        <w:rPr>
          <w:rFonts w:ascii="Arial" w:cs="Arial" w:eastAsia="Arial" w:hAnsi="Arial"/>
          <w:sz w:val="16"/>
          <w:szCs w:val="16"/>
          <w:b w:val="1"/>
          <w:bCs w:val="1"/>
          <w:color w:val="FAAC16"/>
        </w:rPr>
      </w:pPr>
    </w:p>
    <w:p>
      <w:pPr>
        <w:ind w:left="153" w:right="440" w:hanging="153"/>
        <w:spacing w:after="0" w:line="260" w:lineRule="auto"/>
        <w:tabs>
          <w:tab w:leader="none" w:pos="131" w:val="left"/>
        </w:tabs>
        <w:numPr>
          <w:ilvl w:val="0"/>
          <w:numId w:val="20"/>
        </w:numPr>
        <w:rPr>
          <w:rFonts w:ascii="Arial" w:cs="Arial" w:eastAsia="Arial" w:hAnsi="Arial"/>
          <w:sz w:val="16"/>
          <w:szCs w:val="16"/>
          <w:b w:val="1"/>
          <w:bCs w:val="1"/>
          <w:color w:val="FAAC16"/>
        </w:rPr>
      </w:pPr>
      <w:r>
        <w:rPr>
          <w:rFonts w:ascii="Arial" w:cs="Arial" w:eastAsia="Arial" w:hAnsi="Arial"/>
          <w:sz w:val="16"/>
          <w:szCs w:val="16"/>
          <w:color w:val="auto"/>
        </w:rPr>
        <w:t>Electronic documentation management</w:t>
      </w:r>
    </w:p>
    <w:p>
      <w:pPr>
        <w:spacing w:after="0" w:line="87" w:lineRule="exact"/>
        <w:rPr>
          <w:rFonts w:ascii="Arial" w:cs="Arial" w:eastAsia="Arial" w:hAnsi="Arial"/>
          <w:sz w:val="16"/>
          <w:szCs w:val="16"/>
          <w:b w:val="1"/>
          <w:bCs w:val="1"/>
          <w:color w:val="FAAC16"/>
        </w:rPr>
      </w:pPr>
    </w:p>
    <w:p>
      <w:pPr>
        <w:ind w:left="153" w:right="900" w:hanging="153"/>
        <w:spacing w:after="0" w:line="260" w:lineRule="auto"/>
        <w:tabs>
          <w:tab w:leader="none" w:pos="131" w:val="left"/>
        </w:tabs>
        <w:numPr>
          <w:ilvl w:val="0"/>
          <w:numId w:val="20"/>
        </w:numPr>
        <w:rPr>
          <w:rFonts w:ascii="Arial" w:cs="Arial" w:eastAsia="Arial" w:hAnsi="Arial"/>
          <w:sz w:val="16"/>
          <w:szCs w:val="16"/>
          <w:b w:val="1"/>
          <w:bCs w:val="1"/>
          <w:color w:val="FAAC16"/>
        </w:rPr>
      </w:pPr>
      <w:r>
        <w:rPr>
          <w:rFonts w:ascii="Arial" w:cs="Arial" w:eastAsia="Arial" w:hAnsi="Arial"/>
          <w:sz w:val="16"/>
          <w:szCs w:val="16"/>
          <w:color w:val="auto"/>
        </w:rPr>
        <w:t>Screening Solution Implementation</w:t>
      </w:r>
    </w:p>
    <w:p>
      <w:pPr>
        <w:spacing w:after="0" w:line="87" w:lineRule="exact"/>
        <w:rPr>
          <w:rFonts w:ascii="Arial" w:cs="Arial" w:eastAsia="Arial" w:hAnsi="Arial"/>
          <w:sz w:val="16"/>
          <w:szCs w:val="16"/>
          <w:b w:val="1"/>
          <w:bCs w:val="1"/>
          <w:color w:val="FAAC16"/>
        </w:rPr>
      </w:pPr>
    </w:p>
    <w:p>
      <w:pPr>
        <w:ind w:left="153" w:right="160" w:hanging="153"/>
        <w:spacing w:after="0" w:line="260" w:lineRule="auto"/>
        <w:tabs>
          <w:tab w:leader="none" w:pos="122" w:val="left"/>
        </w:tabs>
        <w:numPr>
          <w:ilvl w:val="0"/>
          <w:numId w:val="20"/>
        </w:numPr>
        <w:rPr>
          <w:rFonts w:ascii="Arial" w:cs="Arial" w:eastAsia="Arial" w:hAnsi="Arial"/>
          <w:sz w:val="16"/>
          <w:szCs w:val="16"/>
          <w:b w:val="1"/>
          <w:bCs w:val="1"/>
          <w:color w:val="FAAC16"/>
        </w:rPr>
      </w:pPr>
      <w:r>
        <w:rPr>
          <w:rFonts w:ascii="Arial" w:cs="Arial" w:eastAsia="Arial" w:hAnsi="Arial"/>
          <w:sz w:val="16"/>
          <w:szCs w:val="16"/>
          <w:color w:val="auto"/>
        </w:rPr>
        <w:t>Anti-money laundering model validation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154" w:right="1880" w:hanging="154"/>
        <w:spacing w:after="0" w:line="260" w:lineRule="auto"/>
        <w:tabs>
          <w:tab w:leader="none" w:pos="132" w:val="left"/>
        </w:tabs>
        <w:numPr>
          <w:ilvl w:val="0"/>
          <w:numId w:val="21"/>
        </w:numPr>
        <w:rPr>
          <w:rFonts w:ascii="Arial" w:cs="Arial" w:eastAsia="Arial" w:hAnsi="Arial"/>
          <w:sz w:val="16"/>
          <w:szCs w:val="16"/>
          <w:b w:val="1"/>
          <w:bCs w:val="1"/>
          <w:color w:val="FAAC16"/>
        </w:rPr>
      </w:pPr>
      <w:r>
        <w:rPr>
          <w:rFonts w:ascii="Arial" w:cs="Arial" w:eastAsia="Arial" w:hAnsi="Arial"/>
          <w:sz w:val="16"/>
          <w:szCs w:val="16"/>
          <w:color w:val="auto"/>
        </w:rPr>
        <w:t>Cash management and treasury</w:t>
      </w:r>
    </w:p>
    <w:p>
      <w:pPr>
        <w:spacing w:after="0" w:line="87" w:lineRule="exact"/>
        <w:rPr>
          <w:rFonts w:ascii="Arial" w:cs="Arial" w:eastAsia="Arial" w:hAnsi="Arial"/>
          <w:sz w:val="16"/>
          <w:szCs w:val="16"/>
          <w:b w:val="1"/>
          <w:bCs w:val="1"/>
          <w:color w:val="FAAC16"/>
        </w:rPr>
      </w:pPr>
    </w:p>
    <w:p>
      <w:pPr>
        <w:ind w:left="134" w:hanging="134"/>
        <w:spacing w:after="0"/>
        <w:tabs>
          <w:tab w:leader="none" w:pos="134" w:val="left"/>
        </w:tabs>
        <w:numPr>
          <w:ilvl w:val="0"/>
          <w:numId w:val="21"/>
        </w:numPr>
        <w:rPr>
          <w:rFonts w:ascii="Arial" w:cs="Arial" w:eastAsia="Arial" w:hAnsi="Arial"/>
          <w:sz w:val="16"/>
          <w:szCs w:val="16"/>
          <w:b w:val="1"/>
          <w:bCs w:val="1"/>
          <w:color w:val="FAAC16"/>
        </w:rPr>
      </w:pPr>
      <w:r>
        <w:rPr>
          <w:rFonts w:ascii="Arial" w:cs="Arial" w:eastAsia="Arial" w:hAnsi="Arial"/>
          <w:sz w:val="16"/>
          <w:szCs w:val="16"/>
          <w:color w:val="auto"/>
        </w:rPr>
        <w:t>Portfolio reconciliation</w:t>
      </w:r>
    </w:p>
    <w:p>
      <w:pPr>
        <w:spacing w:after="0" w:line="113" w:lineRule="exact"/>
        <w:rPr>
          <w:rFonts w:ascii="Arial" w:cs="Arial" w:eastAsia="Arial" w:hAnsi="Arial"/>
          <w:sz w:val="16"/>
          <w:szCs w:val="16"/>
          <w:b w:val="1"/>
          <w:bCs w:val="1"/>
          <w:color w:val="FAAC16"/>
        </w:rPr>
      </w:pPr>
    </w:p>
    <w:p>
      <w:pPr>
        <w:ind w:left="134" w:hanging="134"/>
        <w:spacing w:after="0"/>
        <w:tabs>
          <w:tab w:leader="none" w:pos="134" w:val="left"/>
        </w:tabs>
        <w:numPr>
          <w:ilvl w:val="0"/>
          <w:numId w:val="21"/>
        </w:numPr>
        <w:rPr>
          <w:rFonts w:ascii="Arial" w:cs="Arial" w:eastAsia="Arial" w:hAnsi="Arial"/>
          <w:sz w:val="16"/>
          <w:szCs w:val="16"/>
          <w:b w:val="1"/>
          <w:bCs w:val="1"/>
          <w:color w:val="FAAC16"/>
        </w:rPr>
      </w:pPr>
      <w:r>
        <w:rPr>
          <w:rFonts w:ascii="Arial" w:cs="Arial" w:eastAsia="Arial" w:hAnsi="Arial"/>
          <w:sz w:val="16"/>
          <w:szCs w:val="16"/>
          <w:color w:val="auto"/>
        </w:rPr>
        <w:t>Investor reporting</w:t>
      </w:r>
    </w:p>
    <w:p>
      <w:pPr>
        <w:spacing w:after="0" w:line="113" w:lineRule="exact"/>
        <w:rPr>
          <w:rFonts w:ascii="Arial" w:cs="Arial" w:eastAsia="Arial" w:hAnsi="Arial"/>
          <w:sz w:val="16"/>
          <w:szCs w:val="16"/>
          <w:b w:val="1"/>
          <w:bCs w:val="1"/>
          <w:color w:val="FAAC16"/>
        </w:rPr>
      </w:pPr>
    </w:p>
    <w:p>
      <w:pPr>
        <w:ind w:left="134" w:hanging="134"/>
        <w:spacing w:after="0"/>
        <w:tabs>
          <w:tab w:leader="none" w:pos="134" w:val="left"/>
        </w:tabs>
        <w:numPr>
          <w:ilvl w:val="0"/>
          <w:numId w:val="21"/>
        </w:numPr>
        <w:rPr>
          <w:rFonts w:ascii="Arial" w:cs="Arial" w:eastAsia="Arial" w:hAnsi="Arial"/>
          <w:sz w:val="16"/>
          <w:szCs w:val="16"/>
          <w:b w:val="1"/>
          <w:bCs w:val="1"/>
          <w:color w:val="FAAC16"/>
        </w:rPr>
      </w:pPr>
      <w:r>
        <w:rPr>
          <w:rFonts w:ascii="Arial" w:cs="Arial" w:eastAsia="Arial" w:hAnsi="Arial"/>
          <w:sz w:val="16"/>
          <w:szCs w:val="16"/>
          <w:color w:val="auto"/>
        </w:rPr>
        <w:t>Portfolio reporting</w:t>
      </w:r>
    </w:p>
    <w:p>
      <w:pPr>
        <w:spacing w:after="0" w:line="113" w:lineRule="exact"/>
        <w:rPr>
          <w:rFonts w:ascii="Arial" w:cs="Arial" w:eastAsia="Arial" w:hAnsi="Arial"/>
          <w:sz w:val="16"/>
          <w:szCs w:val="16"/>
          <w:b w:val="1"/>
          <w:bCs w:val="1"/>
          <w:color w:val="FAAC16"/>
        </w:rPr>
      </w:pPr>
    </w:p>
    <w:p>
      <w:pPr>
        <w:ind w:left="134" w:hanging="134"/>
        <w:spacing w:after="0"/>
        <w:tabs>
          <w:tab w:leader="none" w:pos="134" w:val="left"/>
        </w:tabs>
        <w:numPr>
          <w:ilvl w:val="0"/>
          <w:numId w:val="21"/>
        </w:numPr>
        <w:rPr>
          <w:rFonts w:ascii="Arial" w:cs="Arial" w:eastAsia="Arial" w:hAnsi="Arial"/>
          <w:sz w:val="16"/>
          <w:szCs w:val="16"/>
          <w:b w:val="1"/>
          <w:bCs w:val="1"/>
          <w:color w:val="FAAC16"/>
        </w:rPr>
      </w:pPr>
      <w:r>
        <w:rPr>
          <w:rFonts w:ascii="Arial" w:cs="Arial" w:eastAsia="Arial" w:hAnsi="Arial"/>
          <w:sz w:val="16"/>
          <w:szCs w:val="16"/>
          <w:color w:val="auto"/>
        </w:rPr>
        <w:t>Reconciliation and payments</w:t>
      </w:r>
    </w:p>
    <w:p>
      <w:pPr>
        <w:spacing w:after="0" w:line="113" w:lineRule="exact"/>
        <w:rPr>
          <w:rFonts w:ascii="Arial" w:cs="Arial" w:eastAsia="Arial" w:hAnsi="Arial"/>
          <w:sz w:val="16"/>
          <w:szCs w:val="16"/>
          <w:b w:val="1"/>
          <w:bCs w:val="1"/>
          <w:color w:val="FAAC16"/>
        </w:rPr>
      </w:pPr>
    </w:p>
    <w:p>
      <w:pPr>
        <w:ind w:left="134" w:hanging="134"/>
        <w:spacing w:after="0"/>
        <w:tabs>
          <w:tab w:leader="none" w:pos="134" w:val="left"/>
        </w:tabs>
        <w:numPr>
          <w:ilvl w:val="0"/>
          <w:numId w:val="21"/>
        </w:numPr>
        <w:rPr>
          <w:rFonts w:ascii="Arial" w:cs="Arial" w:eastAsia="Arial" w:hAnsi="Arial"/>
          <w:sz w:val="16"/>
          <w:szCs w:val="16"/>
          <w:b w:val="1"/>
          <w:bCs w:val="1"/>
          <w:color w:val="FAAC16"/>
        </w:rPr>
      </w:pPr>
      <w:r>
        <w:rPr>
          <w:rFonts w:ascii="Arial" w:cs="Arial" w:eastAsia="Arial" w:hAnsi="Arial"/>
          <w:sz w:val="16"/>
          <w:szCs w:val="16"/>
          <w:color w:val="auto"/>
        </w:rPr>
        <w:t>Collateral tracking</w:t>
      </w:r>
    </w:p>
    <w:p>
      <w:pPr>
        <w:spacing w:after="0" w:line="113" w:lineRule="exact"/>
        <w:rPr>
          <w:rFonts w:ascii="Arial" w:cs="Arial" w:eastAsia="Arial" w:hAnsi="Arial"/>
          <w:sz w:val="16"/>
          <w:szCs w:val="16"/>
          <w:b w:val="1"/>
          <w:bCs w:val="1"/>
          <w:color w:val="FAAC16"/>
        </w:rPr>
      </w:pPr>
    </w:p>
    <w:p>
      <w:pPr>
        <w:ind w:left="134" w:hanging="134"/>
        <w:spacing w:after="0"/>
        <w:tabs>
          <w:tab w:leader="none" w:pos="134" w:val="left"/>
        </w:tabs>
        <w:numPr>
          <w:ilvl w:val="0"/>
          <w:numId w:val="21"/>
        </w:numPr>
        <w:rPr>
          <w:rFonts w:ascii="Arial" w:cs="Arial" w:eastAsia="Arial" w:hAnsi="Arial"/>
          <w:sz w:val="16"/>
          <w:szCs w:val="16"/>
          <w:b w:val="1"/>
          <w:bCs w:val="1"/>
          <w:color w:val="FAAC16"/>
        </w:rPr>
      </w:pPr>
      <w:r>
        <w:rPr>
          <w:rFonts w:ascii="Arial" w:cs="Arial" w:eastAsia="Arial" w:hAnsi="Arial"/>
          <w:sz w:val="16"/>
          <w:szCs w:val="16"/>
          <w:color w:val="auto"/>
        </w:rPr>
        <w:t>Risk management</w:t>
      </w:r>
    </w:p>
    <w:p>
      <w:pPr>
        <w:spacing w:after="0" w:line="1116" w:lineRule="exact"/>
        <w:rPr>
          <w:sz w:val="20"/>
          <w:szCs w:val="20"/>
          <w:color w:val="auto"/>
        </w:rPr>
      </w:pPr>
    </w:p>
    <w:p>
      <w:pPr>
        <w:sectPr>
          <w:pgSz w:w="11900" w:h="16838" w:orient="portrait"/>
          <w:cols w:equalWidth="0" w:num="3">
            <w:col w:w="4920" w:space="207"/>
            <w:col w:w="2393" w:space="186"/>
            <w:col w:w="3714"/>
          </w:cols>
          <w:pgMar w:left="240" w:top="337" w:right="2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0" w:lineRule="exact"/>
        <w:rPr>
          <w:sz w:val="20"/>
          <w:szCs w:val="20"/>
          <w:color w:val="auto"/>
        </w:rPr>
      </w:pPr>
    </w:p>
    <w:p>
      <w:pPr>
        <w:ind w:left="2060"/>
        <w:spacing w:after="0"/>
        <w:rPr>
          <w:sz w:val="20"/>
          <w:szCs w:val="20"/>
          <w:color w:val="auto"/>
        </w:rPr>
      </w:pPr>
      <w:r>
        <w:rPr>
          <w:rFonts w:ascii="Arial" w:cs="Arial" w:eastAsia="Arial" w:hAnsi="Arial"/>
          <w:sz w:val="25"/>
          <w:szCs w:val="25"/>
          <w:b w:val="1"/>
          <w:bCs w:val="1"/>
          <w:color w:val="FFFFFF"/>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-179705</wp:posOffset>
            </wp:positionV>
            <wp:extent cx="5582920" cy="2317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82920" cy="231775"/>
                    </a:xfrm>
                    <a:prstGeom prst="rect">
                      <a:avLst/>
                    </a:prstGeom>
                    <a:noFill/>
                  </pic:spPr>
                </pic:pic>
              </a:graphicData>
            </a:graphic>
          </wp:anchor>
        </w:drawing>
      </w:r>
    </w:p>
    <w:p>
      <w:pPr>
        <w:spacing w:after="0" w:line="46"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340" w:type="dxa"/>
            <w:vAlign w:val="bottom"/>
          </w:tcPr>
          <w:p>
            <w:pPr>
              <w:ind w:left="20"/>
              <w:spacing w:after="0"/>
              <w:rPr>
                <w:sz w:val="20"/>
                <w:szCs w:val="20"/>
                <w:color w:val="auto"/>
              </w:rPr>
            </w:pPr>
            <w:r>
              <w:rPr>
                <w:rFonts w:ascii="Arial" w:cs="Arial" w:eastAsia="Arial" w:hAnsi="Arial"/>
                <w:sz w:val="20"/>
                <w:szCs w:val="20"/>
                <w:b w:val="1"/>
                <w:bCs w:val="1"/>
                <w:color w:val="FAAC16"/>
              </w:rPr>
              <w:t>Actuarial</w:t>
            </w:r>
          </w:p>
        </w:tc>
        <w:tc>
          <w:tcPr>
            <w:tcW w:w="1460" w:type="dxa"/>
            <w:vAlign w:val="bottom"/>
          </w:tcPr>
          <w:p>
            <w:pPr>
              <w:ind w:left="80"/>
              <w:spacing w:after="0"/>
              <w:rPr>
                <w:sz w:val="20"/>
                <w:szCs w:val="20"/>
                <w:color w:val="auto"/>
              </w:rPr>
            </w:pPr>
            <w:r>
              <w:rPr>
                <w:rFonts w:ascii="Arial" w:cs="Arial" w:eastAsia="Arial" w:hAnsi="Arial"/>
                <w:sz w:val="20"/>
                <w:szCs w:val="20"/>
                <w:b w:val="1"/>
                <w:bCs w:val="1"/>
                <w:color w:val="FAAC16"/>
              </w:rPr>
              <w:t>Claims</w:t>
            </w:r>
          </w:p>
        </w:tc>
        <w:tc>
          <w:tcPr>
            <w:tcW w:w="1320" w:type="dxa"/>
            <w:vAlign w:val="bottom"/>
          </w:tcPr>
          <w:p>
            <w:pPr>
              <w:ind w:left="80"/>
              <w:spacing w:after="0"/>
              <w:rPr>
                <w:sz w:val="20"/>
                <w:szCs w:val="20"/>
                <w:color w:val="auto"/>
              </w:rPr>
            </w:pPr>
            <w:r>
              <w:rPr>
                <w:rFonts w:ascii="Arial" w:cs="Arial" w:eastAsia="Arial" w:hAnsi="Arial"/>
                <w:sz w:val="20"/>
                <w:szCs w:val="20"/>
                <w:b w:val="1"/>
                <w:bCs w:val="1"/>
                <w:color w:val="FAAC16"/>
              </w:rPr>
              <w:t>Informatics</w:t>
            </w:r>
          </w:p>
        </w:tc>
        <w:tc>
          <w:tcPr>
            <w:tcW w:w="1580" w:type="dxa"/>
            <w:vAlign w:val="bottom"/>
          </w:tcPr>
          <w:p>
            <w:pPr>
              <w:ind w:left="100"/>
              <w:spacing w:after="0"/>
              <w:rPr>
                <w:sz w:val="20"/>
                <w:szCs w:val="20"/>
                <w:color w:val="auto"/>
              </w:rPr>
            </w:pPr>
            <w:r>
              <w:rPr>
                <w:rFonts w:ascii="Arial" w:cs="Arial" w:eastAsia="Arial" w:hAnsi="Arial"/>
                <w:sz w:val="20"/>
                <w:szCs w:val="20"/>
                <w:b w:val="1"/>
                <w:bCs w:val="1"/>
                <w:color w:val="FAAC16"/>
              </w:rPr>
              <w:t>CRM and</w:t>
            </w:r>
          </w:p>
        </w:tc>
        <w:tc>
          <w:tcPr>
            <w:tcW w:w="1700" w:type="dxa"/>
            <w:vAlign w:val="bottom"/>
          </w:tcPr>
          <w:p>
            <w:pPr>
              <w:ind w:left="180"/>
              <w:spacing w:after="0"/>
              <w:rPr>
                <w:sz w:val="20"/>
                <w:szCs w:val="20"/>
                <w:color w:val="auto"/>
              </w:rPr>
            </w:pPr>
            <w:r>
              <w:rPr>
                <w:rFonts w:ascii="Arial" w:cs="Arial" w:eastAsia="Arial" w:hAnsi="Arial"/>
                <w:sz w:val="20"/>
                <w:szCs w:val="20"/>
                <w:b w:val="1"/>
                <w:bCs w:val="1"/>
                <w:color w:val="FAAC16"/>
              </w:rPr>
              <w:t>Medical cost</w:t>
            </w:r>
          </w:p>
        </w:tc>
        <w:tc>
          <w:tcPr>
            <w:tcW w:w="1380" w:type="dxa"/>
            <w:vAlign w:val="bottom"/>
          </w:tcPr>
          <w:p>
            <w:pPr>
              <w:ind w:left="80"/>
              <w:spacing w:after="0"/>
              <w:rPr>
                <w:sz w:val="20"/>
                <w:szCs w:val="20"/>
                <w:color w:val="auto"/>
              </w:rPr>
            </w:pPr>
            <w:r>
              <w:rPr>
                <w:rFonts w:ascii="Arial" w:cs="Arial" w:eastAsia="Arial" w:hAnsi="Arial"/>
                <w:sz w:val="20"/>
                <w:szCs w:val="20"/>
                <w:b w:val="1"/>
                <w:bCs w:val="1"/>
                <w:color w:val="FAAC16"/>
              </w:rPr>
              <w:t>Operational</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580" w:type="dxa"/>
            <w:vAlign w:val="bottom"/>
          </w:tcPr>
          <w:p>
            <w:pPr>
              <w:ind w:left="100"/>
              <w:spacing w:after="0" w:line="216" w:lineRule="exact"/>
              <w:rPr>
                <w:sz w:val="20"/>
                <w:szCs w:val="20"/>
                <w:color w:val="auto"/>
              </w:rPr>
            </w:pPr>
            <w:r>
              <w:rPr>
                <w:rFonts w:ascii="Arial" w:cs="Arial" w:eastAsia="Arial" w:hAnsi="Arial"/>
                <w:sz w:val="20"/>
                <w:szCs w:val="20"/>
                <w:b w:val="1"/>
                <w:bCs w:val="1"/>
                <w:color w:val="FAAC16"/>
              </w:rPr>
              <w:t>Marketing</w:t>
            </w:r>
          </w:p>
        </w:tc>
        <w:tc>
          <w:tcPr>
            <w:tcW w:w="1700" w:type="dxa"/>
            <w:vAlign w:val="bottom"/>
          </w:tcPr>
          <w:p>
            <w:pPr>
              <w:ind w:left="180"/>
              <w:spacing w:after="0" w:line="216" w:lineRule="exact"/>
              <w:rPr>
                <w:sz w:val="20"/>
                <w:szCs w:val="20"/>
                <w:color w:val="auto"/>
              </w:rPr>
            </w:pPr>
            <w:r>
              <w:rPr>
                <w:rFonts w:ascii="Arial" w:cs="Arial" w:eastAsia="Arial" w:hAnsi="Arial"/>
                <w:sz w:val="20"/>
                <w:szCs w:val="20"/>
                <w:b w:val="1"/>
                <w:bCs w:val="1"/>
                <w:color w:val="FAAC16"/>
              </w:rPr>
              <w:t>and care</w:t>
            </w:r>
          </w:p>
        </w:tc>
        <w:tc>
          <w:tcPr>
            <w:tcW w:w="1380" w:type="dxa"/>
            <w:vAlign w:val="bottom"/>
          </w:tcPr>
          <w:p>
            <w:pPr>
              <w:ind w:left="80"/>
              <w:spacing w:after="0" w:line="216" w:lineRule="exact"/>
              <w:rPr>
                <w:sz w:val="20"/>
                <w:szCs w:val="20"/>
                <w:color w:val="auto"/>
              </w:rPr>
            </w:pPr>
            <w:r>
              <w:rPr>
                <w:rFonts w:ascii="Arial" w:cs="Arial" w:eastAsia="Arial" w:hAnsi="Arial"/>
                <w:sz w:val="20"/>
                <w:szCs w:val="20"/>
                <w:b w:val="1"/>
                <w:bCs w:val="1"/>
                <w:color w:val="FAAC16"/>
                <w:w w:val="99"/>
              </w:rPr>
              <w:t>Effectiveness</w:t>
            </w:r>
          </w:p>
        </w:tc>
        <w:tc>
          <w:tcPr>
            <w:tcW w:w="0" w:type="dxa"/>
            <w:vAlign w:val="bottom"/>
          </w:tcPr>
          <w:p>
            <w:pPr>
              <w:spacing w:after="0"/>
              <w:rPr>
                <w:sz w:val="1"/>
                <w:szCs w:val="1"/>
                <w:color w:val="auto"/>
              </w:rPr>
            </w:pPr>
          </w:p>
        </w:tc>
      </w:tr>
      <w:tr>
        <w:trPr>
          <w:trHeight w:val="266"/>
        </w:trPr>
        <w:tc>
          <w:tcPr>
            <w:tcW w:w="13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ind w:left="100"/>
              <w:spacing w:after="0"/>
              <w:rPr>
                <w:sz w:val="20"/>
                <w:szCs w:val="20"/>
                <w:color w:val="auto"/>
              </w:rPr>
            </w:pPr>
            <w:r>
              <w:rPr>
                <w:rFonts w:ascii="Arial" w:cs="Arial" w:eastAsia="Arial" w:hAnsi="Arial"/>
                <w:sz w:val="20"/>
                <w:szCs w:val="20"/>
                <w:b w:val="1"/>
                <w:bCs w:val="1"/>
                <w:color w:val="FAAC16"/>
              </w:rPr>
              <w:t>Analysis</w:t>
            </w:r>
          </w:p>
        </w:tc>
        <w:tc>
          <w:tcPr>
            <w:tcW w:w="1700" w:type="dxa"/>
            <w:vAlign w:val="bottom"/>
            <w:tcBorders>
              <w:bottom w:val="single" w:sz="8" w:color="auto"/>
            </w:tcBorders>
          </w:tcPr>
          <w:p>
            <w:pPr>
              <w:ind w:left="180"/>
              <w:spacing w:after="0"/>
              <w:rPr>
                <w:sz w:val="20"/>
                <w:szCs w:val="20"/>
                <w:color w:val="auto"/>
              </w:rPr>
            </w:pPr>
            <w:r>
              <w:rPr>
                <w:rFonts w:ascii="Arial" w:cs="Arial" w:eastAsia="Arial" w:hAnsi="Arial"/>
                <w:sz w:val="20"/>
                <w:szCs w:val="20"/>
                <w:b w:val="1"/>
                <w:bCs w:val="1"/>
                <w:color w:val="FAAC16"/>
              </w:rPr>
              <w:t>management</w:t>
            </w:r>
          </w:p>
        </w:tc>
        <w:tc>
          <w:tcPr>
            <w:tcW w:w="13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340" w:type="dxa"/>
            <w:vAlign w:val="bottom"/>
          </w:tcPr>
          <w:p>
            <w:pPr>
              <w:ind w:left="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Pricing</w:t>
            </w:r>
          </w:p>
        </w:tc>
        <w:tc>
          <w:tcPr>
            <w:tcW w:w="1460" w:type="dxa"/>
            <w:vAlign w:val="bottom"/>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Claims</w:t>
            </w:r>
          </w:p>
        </w:tc>
        <w:tc>
          <w:tcPr>
            <w:tcW w:w="1320" w:type="dxa"/>
            <w:vAlign w:val="bottom"/>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Population</w:t>
            </w:r>
          </w:p>
        </w:tc>
        <w:tc>
          <w:tcPr>
            <w:tcW w:w="158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Developing and</w:t>
            </w:r>
          </w:p>
        </w:tc>
        <w:tc>
          <w:tcPr>
            <w:tcW w:w="1700" w:type="dxa"/>
            <w:vAlign w:val="bottom"/>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Network</w:t>
            </w:r>
          </w:p>
        </w:tc>
        <w:tc>
          <w:tcPr>
            <w:tcW w:w="1380" w:type="dxa"/>
            <w:vAlign w:val="bottom"/>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First Contact</w:t>
            </w:r>
          </w:p>
        </w:tc>
        <w:tc>
          <w:tcPr>
            <w:tcW w:w="0" w:type="dxa"/>
            <w:vAlign w:val="bottom"/>
          </w:tcPr>
          <w:p>
            <w:pPr>
              <w:spacing w:after="0"/>
              <w:rPr>
                <w:sz w:val="1"/>
                <w:szCs w:val="1"/>
                <w:color w:val="auto"/>
              </w:rPr>
            </w:pPr>
          </w:p>
        </w:tc>
      </w:tr>
      <w:tr>
        <w:trPr>
          <w:trHeight w:val="189"/>
        </w:trPr>
        <w:tc>
          <w:tcPr>
            <w:tcW w:w="1340" w:type="dxa"/>
            <w:vAlign w:val="bottom"/>
          </w:tcPr>
          <w:p>
            <w:pPr>
              <w:ind w:left="180"/>
              <w:spacing w:after="0"/>
              <w:rPr>
                <w:sz w:val="20"/>
                <w:szCs w:val="20"/>
                <w:color w:val="auto"/>
              </w:rPr>
            </w:pPr>
            <w:r>
              <w:rPr>
                <w:rFonts w:ascii="Arial" w:cs="Arial" w:eastAsia="Arial" w:hAnsi="Arial"/>
                <w:sz w:val="16"/>
                <w:szCs w:val="16"/>
                <w:color w:val="auto"/>
              </w:rPr>
              <w:t>Support,</w:t>
            </w:r>
          </w:p>
        </w:tc>
        <w:tc>
          <w:tcPr>
            <w:tcW w:w="1460" w:type="dxa"/>
            <w:vAlign w:val="bottom"/>
          </w:tcPr>
          <w:p>
            <w:pPr>
              <w:ind w:left="260"/>
              <w:spacing w:after="0"/>
              <w:rPr>
                <w:sz w:val="20"/>
                <w:szCs w:val="20"/>
                <w:color w:val="auto"/>
              </w:rPr>
            </w:pPr>
            <w:r>
              <w:rPr>
                <w:rFonts w:ascii="Arial" w:cs="Arial" w:eastAsia="Arial" w:hAnsi="Arial"/>
                <w:sz w:val="16"/>
                <w:szCs w:val="16"/>
                <w:color w:val="auto"/>
              </w:rPr>
              <w:t>overpayment</w:t>
            </w:r>
          </w:p>
        </w:tc>
        <w:tc>
          <w:tcPr>
            <w:tcW w:w="1320" w:type="dxa"/>
            <w:vAlign w:val="bottom"/>
          </w:tcPr>
          <w:p>
            <w:pPr>
              <w:ind w:left="260"/>
              <w:spacing w:after="0"/>
              <w:rPr>
                <w:sz w:val="20"/>
                <w:szCs w:val="20"/>
                <w:color w:val="auto"/>
              </w:rPr>
            </w:pPr>
            <w:r>
              <w:rPr>
                <w:rFonts w:ascii="Arial" w:cs="Arial" w:eastAsia="Arial" w:hAnsi="Arial"/>
                <w:sz w:val="16"/>
                <w:szCs w:val="16"/>
                <w:color w:val="auto"/>
              </w:rPr>
              <w:t>Risk</w:t>
            </w:r>
          </w:p>
        </w:tc>
        <w:tc>
          <w:tcPr>
            <w:tcW w:w="1580" w:type="dxa"/>
            <w:vAlign w:val="bottom"/>
          </w:tcPr>
          <w:p>
            <w:pPr>
              <w:ind w:left="260"/>
              <w:spacing w:after="0"/>
              <w:rPr>
                <w:sz w:val="20"/>
                <w:szCs w:val="20"/>
                <w:color w:val="auto"/>
              </w:rPr>
            </w:pPr>
            <w:r>
              <w:rPr>
                <w:rFonts w:ascii="Arial" w:cs="Arial" w:eastAsia="Arial" w:hAnsi="Arial"/>
                <w:sz w:val="16"/>
                <w:szCs w:val="16"/>
                <w:color w:val="auto"/>
              </w:rPr>
              <w:t>maintaining</w:t>
            </w:r>
          </w:p>
        </w:tc>
        <w:tc>
          <w:tcPr>
            <w:tcW w:w="1700" w:type="dxa"/>
            <w:vAlign w:val="bottom"/>
          </w:tcPr>
          <w:p>
            <w:pPr>
              <w:ind w:left="340"/>
              <w:spacing w:after="0"/>
              <w:rPr>
                <w:sz w:val="20"/>
                <w:szCs w:val="20"/>
                <w:color w:val="auto"/>
              </w:rPr>
            </w:pPr>
            <w:r>
              <w:rPr>
                <w:rFonts w:ascii="Arial" w:cs="Arial" w:eastAsia="Arial" w:hAnsi="Arial"/>
                <w:sz w:val="16"/>
                <w:szCs w:val="16"/>
                <w:color w:val="auto"/>
              </w:rPr>
              <w:t>Management</w:t>
            </w:r>
          </w:p>
        </w:tc>
        <w:tc>
          <w:tcPr>
            <w:tcW w:w="1380" w:type="dxa"/>
            <w:vAlign w:val="bottom"/>
          </w:tcPr>
          <w:p>
            <w:pPr>
              <w:ind w:left="240"/>
              <w:spacing w:after="0"/>
              <w:rPr>
                <w:sz w:val="20"/>
                <w:szCs w:val="20"/>
                <w:color w:val="auto"/>
              </w:rPr>
            </w:pPr>
            <w:r>
              <w:rPr>
                <w:rFonts w:ascii="Arial" w:cs="Arial" w:eastAsia="Arial" w:hAnsi="Arial"/>
                <w:sz w:val="16"/>
                <w:szCs w:val="16"/>
                <w:color w:val="auto"/>
              </w:rPr>
              <w:t>Resolution</w:t>
            </w:r>
          </w:p>
        </w:tc>
        <w:tc>
          <w:tcPr>
            <w:tcW w:w="0" w:type="dxa"/>
            <w:vAlign w:val="bottom"/>
          </w:tcPr>
          <w:p>
            <w:pPr>
              <w:spacing w:after="0"/>
              <w:rPr>
                <w:sz w:val="1"/>
                <w:szCs w:val="1"/>
                <w:color w:val="auto"/>
              </w:rPr>
            </w:pPr>
          </w:p>
        </w:tc>
      </w:tr>
      <w:tr>
        <w:trPr>
          <w:trHeight w:val="189"/>
        </w:trPr>
        <w:tc>
          <w:tcPr>
            <w:tcW w:w="1340" w:type="dxa"/>
            <w:vAlign w:val="bottom"/>
          </w:tcPr>
          <w:p>
            <w:pPr>
              <w:ind w:left="180"/>
              <w:spacing w:after="0"/>
              <w:rPr>
                <w:sz w:val="20"/>
                <w:szCs w:val="20"/>
                <w:color w:val="auto"/>
              </w:rPr>
            </w:pPr>
            <w:r>
              <w:rPr>
                <w:rFonts w:ascii="Arial" w:cs="Arial" w:eastAsia="Arial" w:hAnsi="Arial"/>
                <w:sz w:val="16"/>
                <w:szCs w:val="16"/>
                <w:color w:val="auto"/>
              </w:rPr>
              <w:t>Durational</w:t>
            </w:r>
          </w:p>
        </w:tc>
        <w:tc>
          <w:tcPr>
            <w:tcW w:w="1460" w:type="dxa"/>
            <w:vAlign w:val="bottom"/>
          </w:tcPr>
          <w:p>
            <w:pPr>
              <w:ind w:left="260"/>
              <w:spacing w:after="0"/>
              <w:rPr>
                <w:sz w:val="20"/>
                <w:szCs w:val="20"/>
                <w:color w:val="auto"/>
              </w:rPr>
            </w:pPr>
            <w:r>
              <w:rPr>
                <w:rFonts w:ascii="Arial" w:cs="Arial" w:eastAsia="Arial" w:hAnsi="Arial"/>
                <w:sz w:val="16"/>
                <w:szCs w:val="16"/>
                <w:color w:val="auto"/>
              </w:rPr>
              <w:t>identification</w:t>
            </w:r>
          </w:p>
        </w:tc>
        <w:tc>
          <w:tcPr>
            <w:tcW w:w="1320" w:type="dxa"/>
            <w:vAlign w:val="bottom"/>
          </w:tcPr>
          <w:p>
            <w:pPr>
              <w:ind w:left="260"/>
              <w:spacing w:after="0"/>
              <w:rPr>
                <w:sz w:val="20"/>
                <w:szCs w:val="20"/>
                <w:color w:val="auto"/>
              </w:rPr>
            </w:pPr>
            <w:r>
              <w:rPr>
                <w:rFonts w:ascii="Arial" w:cs="Arial" w:eastAsia="Arial" w:hAnsi="Arial"/>
                <w:sz w:val="16"/>
                <w:szCs w:val="16"/>
                <w:color w:val="auto"/>
              </w:rPr>
              <w:t>Assessment</w:t>
            </w:r>
          </w:p>
        </w:tc>
        <w:tc>
          <w:tcPr>
            <w:tcW w:w="1580" w:type="dxa"/>
            <w:vAlign w:val="bottom"/>
          </w:tcPr>
          <w:p>
            <w:pPr>
              <w:ind w:left="260"/>
              <w:spacing w:after="0"/>
              <w:rPr>
                <w:sz w:val="20"/>
                <w:szCs w:val="20"/>
                <w:color w:val="auto"/>
              </w:rPr>
            </w:pPr>
            <w:r>
              <w:rPr>
                <w:rFonts w:ascii="Arial" w:cs="Arial" w:eastAsia="Arial" w:hAnsi="Arial"/>
                <w:sz w:val="16"/>
                <w:szCs w:val="16"/>
                <w:color w:val="auto"/>
              </w:rPr>
              <w:t>comprehensive</w:t>
            </w:r>
          </w:p>
        </w:tc>
        <w:tc>
          <w:tcPr>
            <w:tcW w:w="1700" w:type="dxa"/>
            <w:vAlign w:val="bottom"/>
          </w:tcPr>
          <w:p>
            <w:pPr>
              <w:ind w:left="340"/>
              <w:spacing w:after="0"/>
              <w:rPr>
                <w:sz w:val="20"/>
                <w:szCs w:val="20"/>
                <w:color w:val="auto"/>
              </w:rPr>
            </w:pPr>
            <w:r>
              <w:rPr>
                <w:rFonts w:ascii="Arial" w:cs="Arial" w:eastAsia="Arial" w:hAnsi="Arial"/>
                <w:sz w:val="16"/>
                <w:szCs w:val="16"/>
                <w:color w:val="auto"/>
              </w:rPr>
              <w:t>Support</w:t>
            </w:r>
          </w:p>
        </w:tc>
        <w:tc>
          <w:tcPr>
            <w:tcW w:w="138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Call root cause</w:t>
            </w:r>
          </w:p>
        </w:tc>
        <w:tc>
          <w:tcPr>
            <w:tcW w:w="0" w:type="dxa"/>
            <w:vAlign w:val="bottom"/>
          </w:tcPr>
          <w:p>
            <w:pPr>
              <w:spacing w:after="0"/>
              <w:rPr>
                <w:sz w:val="1"/>
                <w:szCs w:val="1"/>
                <w:color w:val="auto"/>
              </w:rPr>
            </w:pPr>
          </w:p>
        </w:tc>
      </w:tr>
      <w:tr>
        <w:trPr>
          <w:trHeight w:val="108"/>
        </w:trPr>
        <w:tc>
          <w:tcPr>
            <w:tcW w:w="1340" w:type="dxa"/>
            <w:vAlign w:val="bottom"/>
            <w:vMerge w:val="restart"/>
          </w:tcPr>
          <w:p>
            <w:pPr>
              <w:ind w:left="180"/>
              <w:spacing w:after="0"/>
              <w:rPr>
                <w:sz w:val="20"/>
                <w:szCs w:val="20"/>
                <w:color w:val="auto"/>
              </w:rPr>
            </w:pPr>
            <w:r>
              <w:rPr>
                <w:rFonts w:ascii="Arial" w:cs="Arial" w:eastAsia="Arial" w:hAnsi="Arial"/>
                <w:sz w:val="16"/>
                <w:szCs w:val="16"/>
                <w:color w:val="auto"/>
              </w:rPr>
              <w:t>analysis</w:t>
            </w:r>
          </w:p>
        </w:tc>
        <w:tc>
          <w:tcPr>
            <w:tcW w:w="1460" w:type="dxa"/>
            <w:vAlign w:val="bottom"/>
            <w:vMerge w:val="restart"/>
          </w:tcPr>
          <w:p>
            <w:pPr>
              <w:ind w:left="260"/>
              <w:spacing w:after="0"/>
              <w:rPr>
                <w:sz w:val="20"/>
                <w:szCs w:val="20"/>
                <w:color w:val="auto"/>
              </w:rPr>
            </w:pPr>
            <w:r>
              <w:rPr>
                <w:rFonts w:ascii="Arial" w:cs="Arial" w:eastAsia="Arial" w:hAnsi="Arial"/>
                <w:sz w:val="16"/>
                <w:szCs w:val="16"/>
                <w:color w:val="auto"/>
              </w:rPr>
              <w:t>and recovery</w:t>
            </w:r>
          </w:p>
        </w:tc>
        <w:tc>
          <w:tcPr>
            <w:tcW w:w="132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Plan sponsor</w:t>
            </w:r>
          </w:p>
        </w:tc>
        <w:tc>
          <w:tcPr>
            <w:tcW w:w="1580" w:type="dxa"/>
            <w:vAlign w:val="bottom"/>
            <w:vMerge w:val="restart"/>
          </w:tcPr>
          <w:p>
            <w:pPr>
              <w:ind w:left="260"/>
              <w:spacing w:after="0"/>
              <w:rPr>
                <w:sz w:val="20"/>
                <w:szCs w:val="20"/>
                <w:color w:val="auto"/>
              </w:rPr>
            </w:pPr>
            <w:r>
              <w:rPr>
                <w:rFonts w:ascii="Arial" w:cs="Arial" w:eastAsia="Arial" w:hAnsi="Arial"/>
                <w:sz w:val="16"/>
                <w:szCs w:val="16"/>
                <w:color w:val="auto"/>
              </w:rPr>
              <w:t>data asset</w:t>
            </w:r>
          </w:p>
        </w:tc>
        <w:tc>
          <w:tcPr>
            <w:tcW w:w="1700" w:type="dxa"/>
            <w:vAlign w:val="bottom"/>
            <w:vMerge w:val="restart"/>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Medical and</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380" w:type="dxa"/>
            <w:vAlign w:val="bottom"/>
            <w:vMerge w:val="restart"/>
          </w:tcPr>
          <w:p>
            <w:pPr>
              <w:ind w:left="240"/>
              <w:spacing w:after="0"/>
              <w:rPr>
                <w:sz w:val="20"/>
                <w:szCs w:val="20"/>
                <w:color w:val="auto"/>
              </w:rPr>
            </w:pPr>
            <w:r>
              <w:rPr>
                <w:rFonts w:ascii="Arial" w:cs="Arial" w:eastAsia="Arial" w:hAnsi="Arial"/>
                <w:sz w:val="16"/>
                <w:szCs w:val="16"/>
                <w:color w:val="auto"/>
              </w:rPr>
              <w:t>analysis</w:t>
            </w:r>
          </w:p>
        </w:tc>
        <w:tc>
          <w:tcPr>
            <w:tcW w:w="0" w:type="dxa"/>
            <w:vAlign w:val="bottom"/>
          </w:tcPr>
          <w:p>
            <w:pPr>
              <w:spacing w:after="0"/>
              <w:rPr>
                <w:sz w:val="1"/>
                <w:szCs w:val="1"/>
                <w:color w:val="auto"/>
              </w:rPr>
            </w:pPr>
          </w:p>
        </w:tc>
      </w:tr>
      <w:tr>
        <w:trPr>
          <w:trHeight w:val="102"/>
        </w:trPr>
        <w:tc>
          <w:tcPr>
            <w:tcW w:w="1340" w:type="dxa"/>
            <w:vAlign w:val="bottom"/>
            <w:vMerge w:val="restart"/>
          </w:tcPr>
          <w:p>
            <w:pPr>
              <w:ind w:left="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Reserving</w:t>
            </w:r>
          </w:p>
        </w:tc>
        <w:tc>
          <w:tcPr>
            <w:tcW w:w="146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Rework</w:t>
            </w:r>
          </w:p>
        </w:tc>
        <w:tc>
          <w:tcPr>
            <w:tcW w:w="1320" w:type="dxa"/>
            <w:vAlign w:val="bottom"/>
            <w:vMerge w:val="continue"/>
          </w:tcPr>
          <w:p>
            <w:pPr>
              <w:spacing w:after="0"/>
              <w:rPr>
                <w:sz w:val="8"/>
                <w:szCs w:val="8"/>
                <w:color w:val="auto"/>
              </w:rPr>
            </w:pPr>
          </w:p>
        </w:tc>
        <w:tc>
          <w:tcPr>
            <w:tcW w:w="15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Acquisition, Up-</w:t>
            </w:r>
          </w:p>
        </w:tc>
        <w:tc>
          <w:tcPr>
            <w:tcW w:w="170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3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Information</w:t>
            </w:r>
          </w:p>
        </w:tc>
        <w:tc>
          <w:tcPr>
            <w:tcW w:w="1580" w:type="dxa"/>
            <w:vAlign w:val="bottom"/>
            <w:vMerge w:val="continue"/>
          </w:tcPr>
          <w:p>
            <w:pPr>
              <w:spacing w:after="0"/>
              <w:rPr>
                <w:sz w:val="16"/>
                <w:szCs w:val="16"/>
                <w:color w:val="auto"/>
              </w:rPr>
            </w:pPr>
          </w:p>
        </w:tc>
        <w:tc>
          <w:tcPr>
            <w:tcW w:w="1700" w:type="dxa"/>
            <w:vAlign w:val="bottom"/>
          </w:tcPr>
          <w:p>
            <w:pPr>
              <w:ind w:left="340"/>
              <w:spacing w:after="0"/>
              <w:rPr>
                <w:sz w:val="20"/>
                <w:szCs w:val="20"/>
                <w:color w:val="auto"/>
              </w:rPr>
            </w:pPr>
            <w:r>
              <w:rPr>
                <w:rFonts w:ascii="Arial" w:cs="Arial" w:eastAsia="Arial" w:hAnsi="Arial"/>
                <w:sz w:val="16"/>
                <w:szCs w:val="16"/>
                <w:color w:val="auto"/>
              </w:rPr>
              <w:t>pharmacy cost</w:t>
            </w:r>
          </w:p>
        </w:tc>
        <w:tc>
          <w:tcPr>
            <w:tcW w:w="138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Forecasting</w:t>
            </w:r>
          </w:p>
        </w:tc>
        <w:tc>
          <w:tcPr>
            <w:tcW w:w="0" w:type="dxa"/>
            <w:vAlign w:val="bottom"/>
          </w:tcPr>
          <w:p>
            <w:pPr>
              <w:spacing w:after="0"/>
              <w:rPr>
                <w:sz w:val="1"/>
                <w:szCs w:val="1"/>
                <w:color w:val="auto"/>
              </w:rPr>
            </w:pPr>
          </w:p>
        </w:tc>
      </w:tr>
      <w:tr>
        <w:trPr>
          <w:trHeight w:val="114"/>
        </w:trPr>
        <w:tc>
          <w:tcPr>
            <w:tcW w:w="1340" w:type="dxa"/>
            <w:vAlign w:val="bottom"/>
            <w:vMerge w:val="restart"/>
          </w:tcPr>
          <w:p>
            <w:pPr>
              <w:ind w:left="180"/>
              <w:spacing w:after="0"/>
              <w:rPr>
                <w:sz w:val="20"/>
                <w:szCs w:val="20"/>
                <w:color w:val="auto"/>
              </w:rPr>
            </w:pPr>
            <w:r>
              <w:rPr>
                <w:rFonts w:ascii="Arial" w:cs="Arial" w:eastAsia="Arial" w:hAnsi="Arial"/>
                <w:sz w:val="16"/>
                <w:szCs w:val="16"/>
                <w:color w:val="auto"/>
              </w:rPr>
              <w:t>support</w:t>
            </w:r>
          </w:p>
        </w:tc>
        <w:tc>
          <w:tcPr>
            <w:tcW w:w="1460" w:type="dxa"/>
            <w:vAlign w:val="bottom"/>
            <w:vMerge w:val="restart"/>
          </w:tcPr>
          <w:p>
            <w:pPr>
              <w:ind w:left="260"/>
              <w:spacing w:after="0"/>
              <w:rPr>
                <w:sz w:val="20"/>
                <w:szCs w:val="20"/>
                <w:color w:val="auto"/>
              </w:rPr>
            </w:pPr>
            <w:r>
              <w:rPr>
                <w:rFonts w:ascii="Arial" w:cs="Arial" w:eastAsia="Arial" w:hAnsi="Arial"/>
                <w:sz w:val="16"/>
                <w:szCs w:val="16"/>
                <w:color w:val="auto"/>
              </w:rPr>
              <w:t>evaluation and</w:t>
            </w:r>
          </w:p>
        </w:tc>
        <w:tc>
          <w:tcPr>
            <w:tcW w:w="1320" w:type="dxa"/>
            <w:vAlign w:val="bottom"/>
            <w:vMerge w:val="restart"/>
          </w:tcPr>
          <w:p>
            <w:pPr>
              <w:ind w:left="260"/>
              <w:spacing w:after="0"/>
              <w:rPr>
                <w:sz w:val="20"/>
                <w:szCs w:val="20"/>
                <w:color w:val="auto"/>
              </w:rPr>
            </w:pPr>
            <w:r>
              <w:rPr>
                <w:rFonts w:ascii="Arial" w:cs="Arial" w:eastAsia="Arial" w:hAnsi="Arial"/>
                <w:sz w:val="16"/>
                <w:szCs w:val="16"/>
                <w:color w:val="auto"/>
              </w:rPr>
              <w:t>and</w:t>
            </w:r>
          </w:p>
        </w:tc>
        <w:tc>
          <w:tcPr>
            <w:tcW w:w="1580" w:type="dxa"/>
            <w:vAlign w:val="bottom"/>
            <w:vMerge w:val="restart"/>
          </w:tcPr>
          <w:p>
            <w:pPr>
              <w:ind w:left="260"/>
              <w:spacing w:after="0"/>
              <w:rPr>
                <w:sz w:val="20"/>
                <w:szCs w:val="20"/>
                <w:color w:val="auto"/>
              </w:rPr>
            </w:pPr>
            <w:r>
              <w:rPr>
                <w:rFonts w:ascii="Arial" w:cs="Arial" w:eastAsia="Arial" w:hAnsi="Arial"/>
                <w:sz w:val="16"/>
                <w:szCs w:val="16"/>
                <w:color w:val="auto"/>
              </w:rPr>
              <w:t>sell, Cross-sell</w:t>
            </w:r>
          </w:p>
        </w:tc>
        <w:tc>
          <w:tcPr>
            <w:tcW w:w="1700" w:type="dxa"/>
            <w:vAlign w:val="bottom"/>
            <w:vMerge w:val="restart"/>
          </w:tcPr>
          <w:p>
            <w:pPr>
              <w:ind w:left="340"/>
              <w:spacing w:after="0"/>
              <w:rPr>
                <w:sz w:val="20"/>
                <w:szCs w:val="20"/>
                <w:color w:val="auto"/>
              </w:rPr>
            </w:pPr>
            <w:r>
              <w:rPr>
                <w:rFonts w:ascii="Arial" w:cs="Arial" w:eastAsia="Arial" w:hAnsi="Arial"/>
                <w:sz w:val="16"/>
                <w:szCs w:val="16"/>
                <w:color w:val="auto"/>
              </w:rPr>
              <w:t>trends</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340" w:type="dxa"/>
            <w:vAlign w:val="bottom"/>
            <w:vMerge w:val="restart"/>
          </w:tcPr>
          <w:p>
            <w:pPr>
              <w:ind w:left="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Actuarial and</w:t>
            </w:r>
          </w:p>
        </w:tc>
        <w:tc>
          <w:tcPr>
            <w:tcW w:w="1460" w:type="dxa"/>
            <w:vAlign w:val="bottom"/>
          </w:tcPr>
          <w:p>
            <w:pPr>
              <w:ind w:left="260"/>
              <w:spacing w:after="0"/>
              <w:rPr>
                <w:sz w:val="20"/>
                <w:szCs w:val="20"/>
                <w:color w:val="auto"/>
              </w:rPr>
            </w:pPr>
            <w:r>
              <w:rPr>
                <w:rFonts w:ascii="Arial" w:cs="Arial" w:eastAsia="Arial" w:hAnsi="Arial"/>
                <w:sz w:val="16"/>
                <w:szCs w:val="16"/>
                <w:color w:val="auto"/>
              </w:rPr>
              <w:t>reduction</w:t>
            </w:r>
          </w:p>
        </w:tc>
        <w:tc>
          <w:tcPr>
            <w:tcW w:w="1320" w:type="dxa"/>
            <w:vAlign w:val="bottom"/>
          </w:tcPr>
          <w:p>
            <w:pPr>
              <w:ind w:left="260"/>
              <w:spacing w:after="0"/>
              <w:rPr>
                <w:sz w:val="20"/>
                <w:szCs w:val="20"/>
                <w:color w:val="auto"/>
              </w:rPr>
            </w:pPr>
            <w:r>
              <w:rPr>
                <w:rFonts w:ascii="Arial" w:cs="Arial" w:eastAsia="Arial" w:hAnsi="Arial"/>
                <w:sz w:val="16"/>
                <w:szCs w:val="16"/>
                <w:color w:val="auto"/>
              </w:rPr>
              <w:t>consulting</w:t>
            </w:r>
          </w:p>
        </w:tc>
        <w:tc>
          <w:tcPr>
            <w:tcW w:w="1580" w:type="dxa"/>
            <w:vAlign w:val="bottom"/>
          </w:tcPr>
          <w:p>
            <w:pPr>
              <w:ind w:left="260"/>
              <w:spacing w:after="0"/>
              <w:rPr>
                <w:sz w:val="20"/>
                <w:szCs w:val="20"/>
                <w:color w:val="auto"/>
              </w:rPr>
            </w:pPr>
            <w:r>
              <w:rPr>
                <w:rFonts w:ascii="Arial" w:cs="Arial" w:eastAsia="Arial" w:hAnsi="Arial"/>
                <w:sz w:val="16"/>
                <w:szCs w:val="16"/>
                <w:color w:val="auto"/>
              </w:rPr>
              <w:t>and Retention</w:t>
            </w:r>
          </w:p>
        </w:tc>
        <w:tc>
          <w:tcPr>
            <w:tcW w:w="1700" w:type="dxa"/>
            <w:vAlign w:val="bottom"/>
            <w:vMerge w:val="restart"/>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Predicting health</w:t>
            </w:r>
          </w:p>
        </w:tc>
        <w:tc>
          <w:tcPr>
            <w:tcW w:w="1380" w:type="dxa"/>
            <w:vAlign w:val="bottom"/>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Capacity</w:t>
            </w: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1460" w:type="dxa"/>
            <w:vAlign w:val="bottom"/>
            <w:vMerge w:val="restart"/>
          </w:tcPr>
          <w:p>
            <w:pPr>
              <w:ind w:left="260"/>
              <w:spacing w:after="0"/>
              <w:rPr>
                <w:sz w:val="20"/>
                <w:szCs w:val="20"/>
                <w:color w:val="auto"/>
              </w:rPr>
            </w:pPr>
            <w:r>
              <w:rPr>
                <w:rFonts w:ascii="Arial" w:cs="Arial" w:eastAsia="Arial" w:hAnsi="Arial"/>
                <w:sz w:val="16"/>
                <w:szCs w:val="16"/>
                <w:color w:val="auto"/>
              </w:rPr>
              <w:t>strategies</w:t>
            </w:r>
          </w:p>
        </w:tc>
        <w:tc>
          <w:tcPr>
            <w:tcW w:w="132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Provider</w:t>
            </w:r>
          </w:p>
        </w:tc>
        <w:tc>
          <w:tcPr>
            <w:tcW w:w="1580" w:type="dxa"/>
            <w:vAlign w:val="bottom"/>
            <w:vMerge w:val="restart"/>
          </w:tcPr>
          <w:p>
            <w:pPr>
              <w:ind w:left="260"/>
              <w:spacing w:after="0"/>
              <w:rPr>
                <w:sz w:val="20"/>
                <w:szCs w:val="20"/>
                <w:color w:val="auto"/>
              </w:rPr>
            </w:pPr>
            <w:r>
              <w:rPr>
                <w:rFonts w:ascii="Arial" w:cs="Arial" w:eastAsia="Arial" w:hAnsi="Arial"/>
                <w:sz w:val="16"/>
                <w:szCs w:val="16"/>
                <w:color w:val="auto"/>
              </w:rPr>
              <w:t>campaigns</w:t>
            </w:r>
          </w:p>
        </w:tc>
        <w:tc>
          <w:tcPr>
            <w:tcW w:w="1700" w:type="dxa"/>
            <w:vAlign w:val="bottom"/>
            <w:vMerge w:val="continue"/>
          </w:tcPr>
          <w:p>
            <w:pPr>
              <w:spacing w:after="0"/>
              <w:rPr>
                <w:sz w:val="9"/>
                <w:szCs w:val="9"/>
                <w:color w:val="auto"/>
              </w:rPr>
            </w:pPr>
          </w:p>
        </w:tc>
        <w:tc>
          <w:tcPr>
            <w:tcW w:w="1380" w:type="dxa"/>
            <w:vAlign w:val="bottom"/>
            <w:vMerge w:val="restart"/>
          </w:tcPr>
          <w:p>
            <w:pPr>
              <w:ind w:left="240"/>
              <w:spacing w:after="0"/>
              <w:rPr>
                <w:sz w:val="20"/>
                <w:szCs w:val="20"/>
                <w:color w:val="auto"/>
              </w:rPr>
            </w:pPr>
            <w:r>
              <w:rPr>
                <w:rFonts w:ascii="Arial" w:cs="Arial" w:eastAsia="Arial" w:hAnsi="Arial"/>
                <w:sz w:val="16"/>
                <w:szCs w:val="16"/>
                <w:color w:val="auto"/>
              </w:rPr>
              <w:t>planning</w:t>
            </w:r>
          </w:p>
        </w:tc>
        <w:tc>
          <w:tcPr>
            <w:tcW w:w="0" w:type="dxa"/>
            <w:vAlign w:val="bottom"/>
          </w:tcPr>
          <w:p>
            <w:pPr>
              <w:spacing w:after="0"/>
              <w:rPr>
                <w:sz w:val="1"/>
                <w:szCs w:val="1"/>
                <w:color w:val="auto"/>
              </w:rPr>
            </w:pPr>
          </w:p>
        </w:tc>
      </w:tr>
      <w:tr>
        <w:trPr>
          <w:trHeight w:val="114"/>
        </w:trPr>
        <w:tc>
          <w:tcPr>
            <w:tcW w:w="1340" w:type="dxa"/>
            <w:vAlign w:val="bottom"/>
            <w:vMerge w:val="restart"/>
          </w:tcPr>
          <w:p>
            <w:pPr>
              <w:ind w:left="180"/>
              <w:spacing w:after="0"/>
              <w:rPr>
                <w:sz w:val="20"/>
                <w:szCs w:val="20"/>
                <w:color w:val="auto"/>
              </w:rPr>
            </w:pPr>
            <w:r>
              <w:rPr>
                <w:rFonts w:ascii="Arial" w:cs="Arial" w:eastAsia="Arial" w:hAnsi="Arial"/>
                <w:sz w:val="16"/>
                <w:szCs w:val="16"/>
                <w:color w:val="auto"/>
              </w:rPr>
              <w:t>Underwriting</w:t>
            </w:r>
          </w:p>
        </w:tc>
        <w:tc>
          <w:tcPr>
            <w:tcW w:w="14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580" w:type="dxa"/>
            <w:vAlign w:val="bottom"/>
            <w:vMerge w:val="continue"/>
          </w:tcPr>
          <w:p>
            <w:pPr>
              <w:spacing w:after="0"/>
              <w:rPr>
                <w:sz w:val="9"/>
                <w:szCs w:val="9"/>
                <w:color w:val="auto"/>
              </w:rPr>
            </w:pPr>
          </w:p>
        </w:tc>
        <w:tc>
          <w:tcPr>
            <w:tcW w:w="1700" w:type="dxa"/>
            <w:vAlign w:val="bottom"/>
            <w:vMerge w:val="restart"/>
          </w:tcPr>
          <w:p>
            <w:pPr>
              <w:ind w:left="340"/>
              <w:spacing w:after="0"/>
              <w:rPr>
                <w:sz w:val="20"/>
                <w:szCs w:val="20"/>
                <w:color w:val="auto"/>
              </w:rPr>
            </w:pPr>
            <w:r>
              <w:rPr>
                <w:rFonts w:ascii="Arial" w:cs="Arial" w:eastAsia="Arial" w:hAnsi="Arial"/>
                <w:sz w:val="16"/>
                <w:szCs w:val="16"/>
                <w:color w:val="auto"/>
              </w:rPr>
              <w:t>events</w:t>
            </w: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40" w:type="dxa"/>
            <w:vAlign w:val="bottom"/>
            <w:vMerge w:val="continue"/>
          </w:tcPr>
          <w:p>
            <w:pPr>
              <w:spacing w:after="0"/>
              <w:rPr>
                <w:sz w:val="6"/>
                <w:szCs w:val="6"/>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Forecasting</w:t>
            </w:r>
          </w:p>
        </w:tc>
        <w:tc>
          <w:tcPr>
            <w:tcW w:w="1320" w:type="dxa"/>
            <w:vAlign w:val="bottom"/>
            <w:vMerge w:val="continue"/>
          </w:tcPr>
          <w:p>
            <w:pPr>
              <w:spacing w:after="0"/>
              <w:rPr>
                <w:sz w:val="6"/>
                <w:szCs w:val="6"/>
                <w:color w:val="auto"/>
              </w:rPr>
            </w:pPr>
          </w:p>
        </w:tc>
        <w:tc>
          <w:tcPr>
            <w:tcW w:w="15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Assessing</w:t>
            </w:r>
          </w:p>
        </w:tc>
        <w:tc>
          <w:tcPr>
            <w:tcW w:w="170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340" w:type="dxa"/>
            <w:vAlign w:val="bottom"/>
          </w:tcPr>
          <w:p>
            <w:pPr>
              <w:ind w:left="180"/>
              <w:spacing w:after="0"/>
              <w:rPr>
                <w:sz w:val="20"/>
                <w:szCs w:val="20"/>
                <w:color w:val="auto"/>
              </w:rPr>
            </w:pPr>
            <w:r>
              <w:rPr>
                <w:rFonts w:ascii="Arial" w:cs="Arial" w:eastAsia="Arial" w:hAnsi="Arial"/>
                <w:sz w:val="16"/>
                <w:szCs w:val="16"/>
                <w:color w:val="auto"/>
              </w:rPr>
              <w:t>tools</w:t>
            </w:r>
          </w:p>
        </w:tc>
        <w:tc>
          <w:tcPr>
            <w:tcW w:w="1460" w:type="dxa"/>
            <w:vAlign w:val="bottom"/>
            <w:vMerge w:val="continue"/>
          </w:tcPr>
          <w:p>
            <w:pPr>
              <w:spacing w:after="0"/>
              <w:rPr>
                <w:sz w:val="16"/>
                <w:szCs w:val="16"/>
                <w:color w:val="auto"/>
              </w:rPr>
            </w:pPr>
          </w:p>
        </w:tc>
        <w:tc>
          <w:tcPr>
            <w:tcW w:w="1320" w:type="dxa"/>
            <w:vAlign w:val="bottom"/>
          </w:tcPr>
          <w:p>
            <w:pPr>
              <w:ind w:left="260"/>
              <w:spacing w:after="0"/>
              <w:rPr>
                <w:sz w:val="20"/>
                <w:szCs w:val="20"/>
                <w:color w:val="auto"/>
              </w:rPr>
            </w:pPr>
            <w:r>
              <w:rPr>
                <w:rFonts w:ascii="Arial" w:cs="Arial" w:eastAsia="Arial" w:hAnsi="Arial"/>
                <w:sz w:val="16"/>
                <w:szCs w:val="16"/>
                <w:color w:val="auto"/>
              </w:rPr>
              <w:t>performance</w:t>
            </w:r>
          </w:p>
        </w:tc>
        <w:tc>
          <w:tcPr>
            <w:tcW w:w="1580" w:type="dxa"/>
            <w:vAlign w:val="bottom"/>
            <w:vMerge w:val="continue"/>
          </w:tcPr>
          <w:p>
            <w:pPr>
              <w:spacing w:after="0"/>
              <w:rPr>
                <w:sz w:val="16"/>
                <w:szCs w:val="16"/>
                <w:color w:val="auto"/>
              </w:rPr>
            </w:pPr>
          </w:p>
        </w:tc>
        <w:tc>
          <w:tcPr>
            <w:tcW w:w="1700" w:type="dxa"/>
            <w:vAlign w:val="bottom"/>
            <w:vMerge w:val="restart"/>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Determining</w:t>
            </w:r>
          </w:p>
        </w:tc>
        <w:tc>
          <w:tcPr>
            <w:tcW w:w="1380" w:type="dxa"/>
            <w:vAlign w:val="bottom"/>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Service center</w:t>
            </w:r>
          </w:p>
        </w:tc>
        <w:tc>
          <w:tcPr>
            <w:tcW w:w="0" w:type="dxa"/>
            <w:vAlign w:val="bottom"/>
          </w:tcPr>
          <w:p>
            <w:pPr>
              <w:spacing w:after="0"/>
              <w:rPr>
                <w:sz w:val="1"/>
                <w:szCs w:val="1"/>
                <w:color w:val="auto"/>
              </w:rPr>
            </w:pPr>
          </w:p>
        </w:tc>
      </w:tr>
      <w:tr>
        <w:trPr>
          <w:trHeight w:val="108"/>
        </w:trPr>
        <w:tc>
          <w:tcPr>
            <w:tcW w:w="1340" w:type="dxa"/>
            <w:vAlign w:val="bottom"/>
            <w:vMerge w:val="restart"/>
          </w:tcPr>
          <w:p>
            <w:pPr>
              <w:ind w:left="180"/>
              <w:spacing w:after="0"/>
              <w:rPr>
                <w:sz w:val="20"/>
                <w:szCs w:val="20"/>
                <w:color w:val="auto"/>
              </w:rPr>
            </w:pPr>
            <w:r>
              <w:rPr>
                <w:rFonts w:ascii="Arial" w:cs="Arial" w:eastAsia="Arial" w:hAnsi="Arial"/>
                <w:sz w:val="16"/>
                <w:szCs w:val="16"/>
                <w:color w:val="auto"/>
              </w:rPr>
              <w:t>development</w:t>
            </w:r>
          </w:p>
        </w:tc>
        <w:tc>
          <w:tcPr>
            <w:tcW w:w="1460" w:type="dxa"/>
            <w:vAlign w:val="bottom"/>
            <w:vMerge w:val="restart"/>
          </w:tcPr>
          <w:p>
            <w:pPr>
              <w:ind w:left="260"/>
              <w:spacing w:after="0"/>
              <w:rPr>
                <w:sz w:val="20"/>
                <w:szCs w:val="20"/>
                <w:color w:val="auto"/>
              </w:rPr>
            </w:pPr>
            <w:r>
              <w:rPr>
                <w:rFonts w:ascii="Arial" w:cs="Arial" w:eastAsia="Arial" w:hAnsi="Arial"/>
                <w:sz w:val="16"/>
                <w:szCs w:val="16"/>
                <w:color w:val="auto"/>
              </w:rPr>
              <w:t>and resource</w:t>
            </w:r>
          </w:p>
        </w:tc>
        <w:tc>
          <w:tcPr>
            <w:tcW w:w="1320" w:type="dxa"/>
            <w:vAlign w:val="bottom"/>
            <w:vMerge w:val="restart"/>
          </w:tcPr>
          <w:p>
            <w:pPr>
              <w:ind w:left="260"/>
              <w:spacing w:after="0"/>
              <w:rPr>
                <w:sz w:val="20"/>
                <w:szCs w:val="20"/>
                <w:color w:val="auto"/>
              </w:rPr>
            </w:pPr>
            <w:r>
              <w:rPr>
                <w:rFonts w:ascii="Arial" w:cs="Arial" w:eastAsia="Arial" w:hAnsi="Arial"/>
                <w:sz w:val="16"/>
                <w:szCs w:val="16"/>
                <w:color w:val="auto"/>
              </w:rPr>
              <w:t>management</w:t>
            </w:r>
          </w:p>
        </w:tc>
        <w:tc>
          <w:tcPr>
            <w:tcW w:w="1580" w:type="dxa"/>
            <w:vAlign w:val="bottom"/>
            <w:vMerge w:val="restart"/>
          </w:tcPr>
          <w:p>
            <w:pPr>
              <w:ind w:left="260"/>
              <w:spacing w:after="0"/>
              <w:rPr>
                <w:sz w:val="20"/>
                <w:szCs w:val="20"/>
                <w:color w:val="auto"/>
              </w:rPr>
            </w:pPr>
            <w:r>
              <w:rPr>
                <w:rFonts w:ascii="Arial" w:cs="Arial" w:eastAsia="Arial" w:hAnsi="Arial"/>
                <w:sz w:val="16"/>
                <w:szCs w:val="16"/>
                <w:color w:val="auto"/>
              </w:rPr>
              <w:t>effectiveness of</w:t>
            </w:r>
          </w:p>
        </w:tc>
        <w:tc>
          <w:tcPr>
            <w:tcW w:w="1700" w:type="dxa"/>
            <w:vAlign w:val="bottom"/>
            <w:vMerge w:val="continue"/>
          </w:tcPr>
          <w:p>
            <w:pPr>
              <w:spacing w:after="0"/>
              <w:rPr>
                <w:sz w:val="9"/>
                <w:szCs w:val="9"/>
                <w:color w:val="auto"/>
              </w:rPr>
            </w:pPr>
          </w:p>
        </w:tc>
        <w:tc>
          <w:tcPr>
            <w:tcW w:w="1380" w:type="dxa"/>
            <w:vAlign w:val="bottom"/>
            <w:vMerge w:val="restart"/>
          </w:tcPr>
          <w:p>
            <w:pPr>
              <w:ind w:left="240"/>
              <w:spacing w:after="0"/>
              <w:rPr>
                <w:sz w:val="20"/>
                <w:szCs w:val="20"/>
                <w:color w:val="auto"/>
              </w:rPr>
            </w:pPr>
            <w:r>
              <w:rPr>
                <w:rFonts w:ascii="Arial" w:cs="Arial" w:eastAsia="Arial" w:hAnsi="Arial"/>
                <w:sz w:val="16"/>
                <w:szCs w:val="16"/>
                <w:color w:val="auto"/>
              </w:rPr>
              <w:t>management</w:t>
            </w:r>
          </w:p>
        </w:tc>
        <w:tc>
          <w:tcPr>
            <w:tcW w:w="0" w:type="dxa"/>
            <w:vAlign w:val="bottom"/>
          </w:tcPr>
          <w:p>
            <w:pPr>
              <w:spacing w:after="0"/>
              <w:rPr>
                <w:sz w:val="1"/>
                <w:szCs w:val="1"/>
                <w:color w:val="auto"/>
              </w:rPr>
            </w:pPr>
          </w:p>
        </w:tc>
      </w:tr>
      <w:tr>
        <w:trPr>
          <w:trHeight w:val="81"/>
        </w:trPr>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700" w:type="dxa"/>
            <w:vAlign w:val="bottom"/>
            <w:vMerge w:val="restart"/>
          </w:tcPr>
          <w:p>
            <w:pPr>
              <w:ind w:left="340"/>
              <w:spacing w:after="0"/>
              <w:rPr>
                <w:sz w:val="20"/>
                <w:szCs w:val="20"/>
                <w:color w:val="auto"/>
              </w:rPr>
            </w:pPr>
            <w:r>
              <w:rPr>
                <w:rFonts w:ascii="Arial" w:cs="Arial" w:eastAsia="Arial" w:hAnsi="Arial"/>
                <w:sz w:val="16"/>
                <w:szCs w:val="16"/>
                <w:color w:val="auto"/>
              </w:rPr>
              <w:t>enrollment</w:t>
            </w:r>
          </w:p>
        </w:tc>
        <w:tc>
          <w:tcPr>
            <w:tcW w:w="1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40" w:type="dxa"/>
            <w:vAlign w:val="bottom"/>
            <w:vMerge w:val="restart"/>
          </w:tcPr>
          <w:p>
            <w:pPr>
              <w:ind w:left="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Regulatory</w:t>
            </w:r>
          </w:p>
        </w:tc>
        <w:tc>
          <w:tcPr>
            <w:tcW w:w="1460" w:type="dxa"/>
            <w:vAlign w:val="bottom"/>
            <w:vMerge w:val="restart"/>
          </w:tcPr>
          <w:p>
            <w:pPr>
              <w:ind w:left="260"/>
              <w:spacing w:after="0"/>
              <w:rPr>
                <w:sz w:val="20"/>
                <w:szCs w:val="20"/>
                <w:color w:val="auto"/>
              </w:rPr>
            </w:pPr>
            <w:r>
              <w:rPr>
                <w:rFonts w:ascii="Arial" w:cs="Arial" w:eastAsia="Arial" w:hAnsi="Arial"/>
                <w:sz w:val="16"/>
                <w:szCs w:val="16"/>
                <w:color w:val="auto"/>
              </w:rPr>
              <w:t>management</w:t>
            </w:r>
          </w:p>
        </w:tc>
        <w:tc>
          <w:tcPr>
            <w:tcW w:w="132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Custom</w:t>
            </w:r>
          </w:p>
        </w:tc>
        <w:tc>
          <w:tcPr>
            <w:tcW w:w="1580" w:type="dxa"/>
            <w:vAlign w:val="bottom"/>
            <w:vMerge w:val="restart"/>
          </w:tcPr>
          <w:p>
            <w:pPr>
              <w:ind w:left="260"/>
              <w:spacing w:after="0"/>
              <w:rPr>
                <w:sz w:val="20"/>
                <w:szCs w:val="20"/>
                <w:color w:val="auto"/>
              </w:rPr>
            </w:pPr>
            <w:r>
              <w:rPr>
                <w:rFonts w:ascii="Arial" w:cs="Arial" w:eastAsia="Arial" w:hAnsi="Arial"/>
                <w:sz w:val="16"/>
                <w:szCs w:val="16"/>
                <w:color w:val="auto"/>
              </w:rPr>
              <w:t>marketing</w:t>
            </w:r>
          </w:p>
        </w:tc>
        <w:tc>
          <w:tcPr>
            <w:tcW w:w="170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700" w:type="dxa"/>
            <w:vAlign w:val="bottom"/>
            <w:vMerge w:val="restart"/>
          </w:tcPr>
          <w:p>
            <w:pPr>
              <w:ind w:left="340"/>
              <w:spacing w:after="0"/>
              <w:rPr>
                <w:sz w:val="20"/>
                <w:szCs w:val="20"/>
                <w:color w:val="auto"/>
              </w:rPr>
            </w:pPr>
            <w:r>
              <w:rPr>
                <w:rFonts w:ascii="Arial" w:cs="Arial" w:eastAsia="Arial" w:hAnsi="Arial"/>
                <w:sz w:val="16"/>
                <w:szCs w:val="16"/>
                <w:color w:val="auto"/>
              </w:rPr>
              <w:t>propensity</w:t>
            </w:r>
          </w:p>
        </w:tc>
        <w:tc>
          <w:tcPr>
            <w:tcW w:w="138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Process</w:t>
            </w: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146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Fraud detection</w:t>
            </w:r>
          </w:p>
        </w:tc>
        <w:tc>
          <w:tcPr>
            <w:tcW w:w="1320" w:type="dxa"/>
            <w:vAlign w:val="bottom"/>
            <w:vMerge w:val="continue"/>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auto"/>
              </w:rPr>
              <w:t>campaigns</w:t>
            </w:r>
          </w:p>
        </w:tc>
        <w:tc>
          <w:tcPr>
            <w:tcW w:w="170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vMerge w:val="restart"/>
          </w:tcPr>
          <w:p>
            <w:pPr>
              <w:ind w:left="180"/>
              <w:spacing w:after="0"/>
              <w:rPr>
                <w:sz w:val="20"/>
                <w:szCs w:val="20"/>
                <w:color w:val="auto"/>
              </w:rPr>
            </w:pPr>
            <w:r>
              <w:rPr>
                <w:rFonts w:ascii="Arial" w:cs="Arial" w:eastAsia="Arial" w:hAnsi="Arial"/>
                <w:sz w:val="16"/>
                <w:szCs w:val="16"/>
                <w:color w:val="auto"/>
              </w:rPr>
              <w:t>Reporting</w:t>
            </w:r>
          </w:p>
        </w:tc>
        <w:tc>
          <w:tcPr>
            <w:tcW w:w="1460" w:type="dxa"/>
            <w:vAlign w:val="bottom"/>
            <w:vMerge w:val="continue"/>
          </w:tcPr>
          <w:p>
            <w:pPr>
              <w:spacing w:after="0"/>
              <w:rPr>
                <w:sz w:val="7"/>
                <w:szCs w:val="7"/>
                <w:color w:val="auto"/>
              </w:rPr>
            </w:pPr>
          </w:p>
        </w:tc>
        <w:tc>
          <w:tcPr>
            <w:tcW w:w="1320" w:type="dxa"/>
            <w:vAlign w:val="bottom"/>
            <w:vMerge w:val="restart"/>
          </w:tcPr>
          <w:p>
            <w:pPr>
              <w:ind w:left="260"/>
              <w:spacing w:after="0"/>
              <w:rPr>
                <w:sz w:val="20"/>
                <w:szCs w:val="20"/>
                <w:color w:val="auto"/>
              </w:rPr>
            </w:pPr>
            <w:r>
              <w:rPr>
                <w:rFonts w:ascii="Arial" w:cs="Arial" w:eastAsia="Arial" w:hAnsi="Arial"/>
                <w:sz w:val="16"/>
                <w:szCs w:val="16"/>
                <w:color w:val="auto"/>
              </w:rPr>
              <w:t>Informatics</w:t>
            </w:r>
          </w:p>
        </w:tc>
        <w:tc>
          <w:tcPr>
            <w:tcW w:w="1580" w:type="dxa"/>
            <w:vAlign w:val="bottom"/>
            <w:vMerge w:val="continue"/>
          </w:tcPr>
          <w:p>
            <w:pPr>
              <w:spacing w:after="0"/>
              <w:rPr>
                <w:sz w:val="7"/>
                <w:szCs w:val="7"/>
                <w:color w:val="auto"/>
              </w:rPr>
            </w:pPr>
          </w:p>
        </w:tc>
        <w:tc>
          <w:tcPr>
            <w:tcW w:w="1700" w:type="dxa"/>
            <w:vAlign w:val="bottom"/>
          </w:tcPr>
          <w:p>
            <w:pPr>
              <w:spacing w:after="0"/>
              <w:rPr>
                <w:sz w:val="7"/>
                <w:szCs w:val="7"/>
                <w:color w:val="auto"/>
              </w:rPr>
            </w:pPr>
          </w:p>
        </w:tc>
        <w:tc>
          <w:tcPr>
            <w:tcW w:w="1380" w:type="dxa"/>
            <w:vAlign w:val="bottom"/>
            <w:vMerge w:val="restart"/>
          </w:tcPr>
          <w:p>
            <w:pPr>
              <w:ind w:left="240"/>
              <w:spacing w:after="0"/>
              <w:rPr>
                <w:sz w:val="20"/>
                <w:szCs w:val="20"/>
                <w:color w:val="auto"/>
              </w:rPr>
            </w:pPr>
            <w:r>
              <w:rPr>
                <w:rFonts w:ascii="Arial" w:cs="Arial" w:eastAsia="Arial" w:hAnsi="Arial"/>
                <w:sz w:val="16"/>
                <w:szCs w:val="16"/>
                <w:color w:val="auto"/>
              </w:rPr>
              <w:t>optimization</w:t>
            </w:r>
          </w:p>
        </w:tc>
        <w:tc>
          <w:tcPr>
            <w:tcW w:w="0" w:type="dxa"/>
            <w:vAlign w:val="bottom"/>
          </w:tcPr>
          <w:p>
            <w:pPr>
              <w:spacing w:after="0"/>
              <w:rPr>
                <w:sz w:val="1"/>
                <w:szCs w:val="1"/>
                <w:color w:val="auto"/>
              </w:rPr>
            </w:pPr>
          </w:p>
        </w:tc>
      </w:tr>
      <w:tr>
        <w:trPr>
          <w:trHeight w:val="135"/>
        </w:trPr>
        <w:tc>
          <w:tcPr>
            <w:tcW w:w="13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320" w:type="dxa"/>
            <w:vAlign w:val="bottom"/>
            <w:vMerge w:val="continue"/>
          </w:tcPr>
          <w:p>
            <w:pPr>
              <w:spacing w:after="0"/>
              <w:rPr>
                <w:sz w:val="11"/>
                <w:szCs w:val="11"/>
                <w:color w:val="auto"/>
              </w:rPr>
            </w:pPr>
          </w:p>
        </w:tc>
        <w:tc>
          <w:tcPr>
            <w:tcW w:w="15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Health Data</w:t>
            </w:r>
          </w:p>
        </w:tc>
        <w:tc>
          <w:tcPr>
            <w:tcW w:w="1700" w:type="dxa"/>
            <w:vAlign w:val="bottom"/>
            <w:vMerge w:val="restart"/>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Care</w:t>
            </w: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340" w:type="dxa"/>
            <w:vAlign w:val="bottom"/>
            <w:vMerge w:val="restart"/>
          </w:tcPr>
          <w:p>
            <w:pPr>
              <w:ind w:left="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Rating support,</w:t>
            </w:r>
          </w:p>
        </w:tc>
        <w:tc>
          <w:tcPr>
            <w:tcW w:w="1460" w:type="dxa"/>
            <w:vAlign w:val="bottom"/>
            <w:vMerge w:val="restart"/>
          </w:tcPr>
          <w:p>
            <w:pPr>
              <w:ind w:left="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Litigation</w:t>
            </w:r>
          </w:p>
        </w:tc>
        <w:tc>
          <w:tcPr>
            <w:tcW w:w="1320" w:type="dxa"/>
            <w:vAlign w:val="bottom"/>
          </w:tcPr>
          <w:p>
            <w:pPr>
              <w:spacing w:after="0"/>
              <w:rPr>
                <w:sz w:val="6"/>
                <w:szCs w:val="6"/>
                <w:color w:val="auto"/>
              </w:rPr>
            </w:pPr>
          </w:p>
        </w:tc>
        <w:tc>
          <w:tcPr>
            <w:tcW w:w="158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700" w:type="dxa"/>
            <w:vAlign w:val="bottom"/>
            <w:vMerge w:val="restart"/>
          </w:tcPr>
          <w:p>
            <w:pPr>
              <w:ind w:left="340"/>
              <w:spacing w:after="0"/>
              <w:rPr>
                <w:sz w:val="20"/>
                <w:szCs w:val="20"/>
                <w:color w:val="auto"/>
              </w:rPr>
            </w:pPr>
            <w:r>
              <w:rPr>
                <w:rFonts w:ascii="Arial" w:cs="Arial" w:eastAsia="Arial" w:hAnsi="Arial"/>
                <w:sz w:val="16"/>
                <w:szCs w:val="16"/>
                <w:color w:val="auto"/>
              </w:rPr>
              <w:t>Management</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3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1320" w:type="dxa"/>
            <w:vAlign w:val="bottom"/>
          </w:tcPr>
          <w:p>
            <w:pPr>
              <w:spacing w:after="0"/>
              <w:rPr>
                <w:sz w:val="9"/>
                <w:szCs w:val="9"/>
                <w:color w:val="auto"/>
              </w:rPr>
            </w:pPr>
          </w:p>
        </w:tc>
        <w:tc>
          <w:tcPr>
            <w:tcW w:w="1580" w:type="dxa"/>
            <w:vAlign w:val="bottom"/>
            <w:vMerge w:val="restart"/>
          </w:tcPr>
          <w:p>
            <w:pPr>
              <w:ind w:left="260"/>
              <w:spacing w:after="0"/>
              <w:rPr>
                <w:sz w:val="20"/>
                <w:szCs w:val="20"/>
                <w:color w:val="auto"/>
              </w:rPr>
            </w:pPr>
            <w:r>
              <w:rPr>
                <w:rFonts w:ascii="Arial" w:cs="Arial" w:eastAsia="Arial" w:hAnsi="Arial"/>
                <w:sz w:val="16"/>
                <w:szCs w:val="16"/>
                <w:color w:val="auto"/>
              </w:rPr>
              <w:t>Management</w:t>
            </w:r>
          </w:p>
        </w:tc>
        <w:tc>
          <w:tcPr>
            <w:tcW w:w="170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340" w:type="dxa"/>
            <w:vAlign w:val="bottom"/>
            <w:vMerge w:val="restart"/>
          </w:tcPr>
          <w:p>
            <w:pPr>
              <w:ind w:left="180"/>
              <w:spacing w:after="0"/>
              <w:rPr>
                <w:sz w:val="20"/>
                <w:szCs w:val="20"/>
                <w:color w:val="auto"/>
              </w:rPr>
            </w:pPr>
            <w:r>
              <w:rPr>
                <w:rFonts w:ascii="Arial" w:cs="Arial" w:eastAsia="Arial" w:hAnsi="Arial"/>
                <w:sz w:val="16"/>
                <w:szCs w:val="16"/>
                <w:color w:val="auto"/>
              </w:rPr>
              <w:t>Benefit</w:t>
            </w:r>
          </w:p>
        </w:tc>
        <w:tc>
          <w:tcPr>
            <w:tcW w:w="1460" w:type="dxa"/>
            <w:vAlign w:val="bottom"/>
            <w:vMerge w:val="restart"/>
          </w:tcPr>
          <w:p>
            <w:pPr>
              <w:ind w:left="260"/>
              <w:spacing w:after="0"/>
              <w:rPr>
                <w:sz w:val="20"/>
                <w:szCs w:val="20"/>
                <w:color w:val="auto"/>
              </w:rPr>
            </w:pPr>
            <w:r>
              <w:rPr>
                <w:rFonts w:ascii="Arial" w:cs="Arial" w:eastAsia="Arial" w:hAnsi="Arial"/>
                <w:sz w:val="16"/>
                <w:szCs w:val="16"/>
                <w:color w:val="auto"/>
              </w:rPr>
              <w:t>Propensity</w:t>
            </w:r>
          </w:p>
        </w:tc>
        <w:tc>
          <w:tcPr>
            <w:tcW w:w="1320" w:type="dxa"/>
            <w:vAlign w:val="bottom"/>
          </w:tcPr>
          <w:p>
            <w:pPr>
              <w:spacing w:after="0"/>
              <w:rPr>
                <w:sz w:val="7"/>
                <w:szCs w:val="7"/>
                <w:color w:val="auto"/>
              </w:rPr>
            </w:pPr>
          </w:p>
        </w:tc>
        <w:tc>
          <w:tcPr>
            <w:tcW w:w="1580" w:type="dxa"/>
            <w:vAlign w:val="bottom"/>
            <w:vMerge w:val="continue"/>
          </w:tcPr>
          <w:p>
            <w:pPr>
              <w:spacing w:after="0"/>
              <w:rPr>
                <w:sz w:val="7"/>
                <w:szCs w:val="7"/>
                <w:color w:val="auto"/>
              </w:rPr>
            </w:pPr>
          </w:p>
        </w:tc>
        <w:tc>
          <w:tcPr>
            <w:tcW w:w="1700" w:type="dxa"/>
            <w:vAlign w:val="bottom"/>
            <w:vMerge w:val="restart"/>
          </w:tcPr>
          <w:p>
            <w:pPr>
              <w:ind w:left="340"/>
              <w:spacing w:after="0"/>
              <w:rPr>
                <w:sz w:val="20"/>
                <w:szCs w:val="20"/>
                <w:color w:val="auto"/>
              </w:rPr>
            </w:pPr>
            <w:r>
              <w:rPr>
                <w:rFonts w:ascii="Arial" w:cs="Arial" w:eastAsia="Arial" w:hAnsi="Arial"/>
                <w:sz w:val="16"/>
                <w:szCs w:val="16"/>
                <w:color w:val="auto"/>
              </w:rPr>
              <w:t>program</w:t>
            </w: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1340" w:type="dxa"/>
            <w:vAlign w:val="bottom"/>
          </w:tcPr>
          <w:p>
            <w:pPr>
              <w:ind w:left="180"/>
              <w:spacing w:after="0"/>
              <w:rPr>
                <w:sz w:val="20"/>
                <w:szCs w:val="20"/>
                <w:color w:val="auto"/>
              </w:rPr>
            </w:pPr>
            <w:r>
              <w:rPr>
                <w:rFonts w:ascii="Arial" w:cs="Arial" w:eastAsia="Arial" w:hAnsi="Arial"/>
                <w:sz w:val="16"/>
                <w:szCs w:val="16"/>
                <w:color w:val="auto"/>
              </w:rPr>
              <w:t>indexing</w:t>
            </w: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tcPr>
          <w:p>
            <w:pPr>
              <w:ind w:left="340"/>
              <w:spacing w:after="0"/>
              <w:rPr>
                <w:sz w:val="20"/>
                <w:szCs w:val="20"/>
                <w:color w:val="auto"/>
              </w:rPr>
            </w:pPr>
            <w:r>
              <w:rPr>
                <w:rFonts w:ascii="Arial" w:cs="Arial" w:eastAsia="Arial" w:hAnsi="Arial"/>
                <w:sz w:val="16"/>
                <w:szCs w:val="16"/>
                <w:color w:val="auto"/>
              </w:rPr>
              <w:t>effectiveness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2"/>
        </w:trPr>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00" w:type="dxa"/>
            <w:vAlign w:val="bottom"/>
          </w:tcPr>
          <w:p>
            <w:pPr>
              <w:ind w:left="18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Accountable Care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tcPr>
          <w:p>
            <w:pPr>
              <w:ind w:left="340"/>
              <w:spacing w:after="0"/>
              <w:rPr>
                <w:sz w:val="20"/>
                <w:szCs w:val="20"/>
                <w:color w:val="auto"/>
              </w:rPr>
            </w:pPr>
            <w:r>
              <w:rPr>
                <w:rFonts w:ascii="Arial" w:cs="Arial" w:eastAsia="Arial" w:hAnsi="Arial"/>
                <w:sz w:val="16"/>
                <w:szCs w:val="16"/>
                <w:color w:val="auto"/>
              </w:rPr>
              <w:t>Organization</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tcPr>
          <w:p>
            <w:pPr>
              <w:ind w:left="340"/>
              <w:spacing w:after="0"/>
              <w:rPr>
                <w:sz w:val="20"/>
                <w:szCs w:val="20"/>
                <w:color w:val="auto"/>
              </w:rPr>
            </w:pPr>
            <w:r>
              <w:rPr>
                <w:rFonts w:ascii="Arial" w:cs="Arial" w:eastAsia="Arial" w:hAnsi="Arial"/>
                <w:sz w:val="16"/>
                <w:szCs w:val="16"/>
                <w:color w:val="auto"/>
              </w:rPr>
              <w:t>reporting and</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700" w:type="dxa"/>
            <w:vAlign w:val="bottom"/>
          </w:tcPr>
          <w:p>
            <w:pPr>
              <w:ind w:left="340"/>
              <w:spacing w:after="0"/>
              <w:rPr>
                <w:sz w:val="20"/>
                <w:szCs w:val="20"/>
                <w:color w:val="auto"/>
              </w:rPr>
            </w:pPr>
            <w:r>
              <w:rPr>
                <w:rFonts w:ascii="Arial" w:cs="Arial" w:eastAsia="Arial" w:hAnsi="Arial"/>
                <w:sz w:val="16"/>
                <w:szCs w:val="16"/>
                <w:color w:val="auto"/>
              </w:rPr>
              <w:t>analytics</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540"/>
        <w:spacing w:after="0"/>
        <w:rPr>
          <w:sz w:val="20"/>
          <w:szCs w:val="20"/>
          <w:color w:val="auto"/>
        </w:rPr>
      </w:pPr>
      <w:r>
        <w:rPr>
          <w:rFonts w:ascii="Arial" w:cs="Arial" w:eastAsia="Arial" w:hAnsi="Arial"/>
          <w:sz w:val="25"/>
          <w:szCs w:val="25"/>
          <w:b w:val="1"/>
          <w:bCs w:val="1"/>
          <w:color w:val="FFFFFF"/>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-179705</wp:posOffset>
            </wp:positionV>
            <wp:extent cx="5591175" cy="231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91175" cy="231775"/>
                    </a:xfrm>
                    <a:prstGeom prst="rect">
                      <a:avLst/>
                    </a:prstGeom>
                    <a:noFill/>
                  </pic:spPr>
                </pic:pic>
              </a:graphicData>
            </a:graphic>
          </wp:anchor>
        </w:drawing>
      </w:r>
    </w:p>
    <w:p>
      <w:pPr>
        <w:spacing w:after="0" w:line="60" w:lineRule="exact"/>
        <w:rPr>
          <w:sz w:val="20"/>
          <w:szCs w:val="20"/>
          <w:color w:val="auto"/>
        </w:rPr>
      </w:pPr>
    </w:p>
    <w:p>
      <w:pPr>
        <w:ind w:left="1340"/>
        <w:spacing w:after="0"/>
        <w:tabs>
          <w:tab w:leader="none" w:pos="2740" w:val="left"/>
          <w:tab w:leader="none" w:pos="5080" w:val="left"/>
          <w:tab w:leader="none" w:pos="6740" w:val="left"/>
          <w:tab w:leader="none" w:pos="8120" w:val="left"/>
        </w:tabs>
        <w:rPr>
          <w:sz w:val="20"/>
          <w:szCs w:val="20"/>
          <w:color w:val="auto"/>
        </w:rPr>
      </w:pPr>
      <w:r>
        <w:rPr>
          <w:rFonts w:ascii="Arial" w:cs="Arial" w:eastAsia="Arial" w:hAnsi="Arial"/>
          <w:sz w:val="20"/>
          <w:szCs w:val="20"/>
          <w:b w:val="1"/>
          <w:bCs w:val="1"/>
          <w:color w:val="FAAC16"/>
        </w:rPr>
        <w:t>Marketing</w:t>
      </w:r>
      <w:r>
        <w:rPr>
          <w:sz w:val="20"/>
          <w:szCs w:val="20"/>
          <w:color w:val="auto"/>
        </w:rPr>
        <w:tab/>
      </w:r>
      <w:r>
        <w:rPr>
          <w:rFonts w:ascii="Arial" w:cs="Arial" w:eastAsia="Arial" w:hAnsi="Arial"/>
          <w:sz w:val="20"/>
          <w:szCs w:val="20"/>
          <w:b w:val="1"/>
          <w:bCs w:val="1"/>
          <w:color w:val="FAAC16"/>
        </w:rPr>
        <w:t>Actuarial</w:t>
      </w:r>
      <w:r>
        <w:rPr>
          <w:sz w:val="20"/>
          <w:szCs w:val="20"/>
          <w:color w:val="auto"/>
        </w:rPr>
        <w:tab/>
      </w:r>
      <w:r>
        <w:rPr>
          <w:rFonts w:ascii="Arial" w:cs="Arial" w:eastAsia="Arial" w:hAnsi="Arial"/>
          <w:sz w:val="20"/>
          <w:szCs w:val="20"/>
          <w:b w:val="1"/>
          <w:bCs w:val="1"/>
          <w:color w:val="FAAC16"/>
        </w:rPr>
        <w:t>Servicing and</w:t>
      </w:r>
      <w:r>
        <w:rPr>
          <w:sz w:val="20"/>
          <w:szCs w:val="20"/>
          <w:color w:val="auto"/>
        </w:rPr>
        <w:tab/>
      </w:r>
      <w:r>
        <w:rPr>
          <w:rFonts w:ascii="Arial" w:cs="Arial" w:eastAsia="Arial" w:hAnsi="Arial"/>
          <w:sz w:val="20"/>
          <w:szCs w:val="20"/>
          <w:b w:val="1"/>
          <w:bCs w:val="1"/>
          <w:color w:val="FAAC16"/>
        </w:rPr>
        <w:t>Customer</w:t>
      </w:r>
      <w:r>
        <w:rPr>
          <w:sz w:val="20"/>
          <w:szCs w:val="20"/>
          <w:color w:val="auto"/>
        </w:rPr>
        <w:tab/>
      </w:r>
      <w:r>
        <w:rPr>
          <w:rFonts w:ascii="Arial" w:cs="Arial" w:eastAsia="Arial" w:hAnsi="Arial"/>
          <w:sz w:val="19"/>
          <w:szCs w:val="19"/>
          <w:b w:val="1"/>
          <w:bCs w:val="1"/>
          <w:color w:val="FAAC16"/>
        </w:rPr>
        <w:t>Claims and Money</w:t>
      </w:r>
    </w:p>
    <w:p>
      <w:pPr>
        <w:ind w:left="1340"/>
        <w:spacing w:after="0" w:line="236" w:lineRule="auto"/>
        <w:tabs>
          <w:tab w:leader="none" w:pos="5080" w:val="left"/>
          <w:tab w:leader="none" w:pos="6740" w:val="left"/>
        </w:tabs>
        <w:rPr>
          <w:sz w:val="20"/>
          <w:szCs w:val="20"/>
          <w:color w:val="auto"/>
        </w:rPr>
      </w:pPr>
      <w:r>
        <w:rPr>
          <w:rFonts w:ascii="Arial" w:cs="Arial" w:eastAsia="Arial" w:hAnsi="Arial"/>
          <w:sz w:val="20"/>
          <w:szCs w:val="20"/>
          <w:b w:val="1"/>
          <w:bCs w:val="1"/>
          <w:color w:val="FAAC16"/>
        </w:rPr>
        <w:t>and</w:t>
      </w:r>
      <w:r>
        <w:rPr>
          <w:sz w:val="20"/>
          <w:szCs w:val="20"/>
          <w:color w:val="auto"/>
        </w:rPr>
        <w:tab/>
      </w:r>
      <w:r>
        <w:rPr>
          <w:rFonts w:ascii="Arial" w:cs="Arial" w:eastAsia="Arial" w:hAnsi="Arial"/>
          <w:sz w:val="20"/>
          <w:szCs w:val="20"/>
          <w:b w:val="1"/>
          <w:bCs w:val="1"/>
          <w:color w:val="FAAC16"/>
        </w:rPr>
        <w:t>Operations</w:t>
      </w:r>
      <w:r>
        <w:rPr>
          <w:sz w:val="20"/>
          <w:szCs w:val="20"/>
          <w:color w:val="auto"/>
        </w:rPr>
        <w:tab/>
      </w:r>
      <w:r>
        <w:rPr>
          <w:rFonts w:ascii="Arial" w:cs="Arial" w:eastAsia="Arial" w:hAnsi="Arial"/>
          <w:sz w:val="20"/>
          <w:szCs w:val="20"/>
          <w:b w:val="1"/>
          <w:bCs w:val="1"/>
          <w:color w:val="FAAC16"/>
        </w:rPr>
        <w:t>Management  Movement</w:t>
      </w:r>
    </w:p>
    <w:p>
      <w:pPr>
        <w:ind w:left="1340"/>
        <w:spacing w:after="0" w:line="225" w:lineRule="auto"/>
        <w:rPr>
          <w:sz w:val="20"/>
          <w:szCs w:val="20"/>
          <w:color w:val="auto"/>
        </w:rPr>
      </w:pPr>
      <w:r>
        <w:rPr>
          <w:rFonts w:ascii="Arial" w:cs="Arial" w:eastAsia="Arial" w:hAnsi="Arial"/>
          <w:sz w:val="20"/>
          <w:szCs w:val="20"/>
          <w:b w:val="1"/>
          <w:bCs w:val="1"/>
          <w:color w:val="FAAC16"/>
        </w:rPr>
        <w:t>Agency</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20"/>
          <w:szCs w:val="20"/>
          <w:b w:val="1"/>
          <w:bCs w:val="1"/>
          <w:color w:val="FAAC16"/>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147955</wp:posOffset>
            </wp:positionV>
            <wp:extent cx="5591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91175" cy="8890"/>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p>
      <w:pPr>
        <w:spacing w:after="0" w:line="275" w:lineRule="exact"/>
        <w:rPr>
          <w:sz w:val="20"/>
          <w:szCs w:val="20"/>
          <w:color w:val="auto"/>
        </w:rPr>
      </w:pPr>
    </w:p>
    <w:p>
      <w:pPr>
        <w:ind w:left="1500" w:right="140" w:hanging="162"/>
        <w:spacing w:after="0" w:line="260" w:lineRule="auto"/>
        <w:tabs>
          <w:tab w:leader="none" w:pos="1477" w:val="left"/>
        </w:tabs>
        <w:numPr>
          <w:ilvl w:val="0"/>
          <w:numId w:val="22"/>
        </w:numPr>
        <w:rPr>
          <w:rFonts w:ascii="Arial" w:cs="Arial" w:eastAsia="Arial" w:hAnsi="Arial"/>
          <w:sz w:val="16"/>
          <w:szCs w:val="16"/>
          <w:b w:val="1"/>
          <w:bCs w:val="1"/>
          <w:color w:val="FAAC16"/>
        </w:rPr>
      </w:pPr>
      <w:r>
        <w:rPr>
          <w:rFonts w:ascii="Arial" w:cs="Arial" w:eastAsia="Arial" w:hAnsi="Arial"/>
          <w:sz w:val="16"/>
          <w:szCs w:val="16"/>
          <w:color w:val="auto"/>
        </w:rPr>
        <w:t>Media Mix Optimization</w:t>
      </w:r>
    </w:p>
    <w:p>
      <w:pPr>
        <w:spacing w:after="0" w:line="87" w:lineRule="exact"/>
        <w:rPr>
          <w:rFonts w:ascii="Arial" w:cs="Arial" w:eastAsia="Arial" w:hAnsi="Arial"/>
          <w:sz w:val="16"/>
          <w:szCs w:val="16"/>
          <w:b w:val="1"/>
          <w:bCs w:val="1"/>
          <w:color w:val="FAAC16"/>
        </w:rPr>
      </w:pPr>
    </w:p>
    <w:p>
      <w:pPr>
        <w:ind w:left="1500" w:right="40" w:hanging="162"/>
        <w:spacing w:after="0" w:line="260" w:lineRule="auto"/>
        <w:tabs>
          <w:tab w:leader="none" w:pos="1477" w:val="left"/>
        </w:tabs>
        <w:numPr>
          <w:ilvl w:val="0"/>
          <w:numId w:val="22"/>
        </w:numPr>
        <w:rPr>
          <w:rFonts w:ascii="Arial" w:cs="Arial" w:eastAsia="Arial" w:hAnsi="Arial"/>
          <w:sz w:val="16"/>
          <w:szCs w:val="16"/>
          <w:b w:val="1"/>
          <w:bCs w:val="1"/>
          <w:color w:val="FAAC16"/>
        </w:rPr>
      </w:pPr>
      <w:r>
        <w:rPr>
          <w:rFonts w:ascii="Arial" w:cs="Arial" w:eastAsia="Arial" w:hAnsi="Arial"/>
          <w:sz w:val="16"/>
          <w:szCs w:val="16"/>
          <w:color w:val="auto"/>
        </w:rPr>
        <w:t>Agency Segmentation</w:t>
      </w:r>
    </w:p>
    <w:p>
      <w:pPr>
        <w:spacing w:after="0" w:line="87" w:lineRule="exact"/>
        <w:rPr>
          <w:rFonts w:ascii="Arial" w:cs="Arial" w:eastAsia="Arial" w:hAnsi="Arial"/>
          <w:sz w:val="16"/>
          <w:szCs w:val="16"/>
          <w:b w:val="1"/>
          <w:bCs w:val="1"/>
          <w:color w:val="FAAC16"/>
        </w:rPr>
      </w:pPr>
    </w:p>
    <w:p>
      <w:pPr>
        <w:ind w:left="1500" w:right="100" w:hanging="162"/>
        <w:spacing w:after="0" w:line="251" w:lineRule="auto"/>
        <w:tabs>
          <w:tab w:leader="none" w:pos="1469" w:val="left"/>
        </w:tabs>
        <w:numPr>
          <w:ilvl w:val="0"/>
          <w:numId w:val="22"/>
        </w:numPr>
        <w:rPr>
          <w:rFonts w:ascii="Arial" w:cs="Arial" w:eastAsia="Arial" w:hAnsi="Arial"/>
          <w:sz w:val="16"/>
          <w:szCs w:val="16"/>
          <w:b w:val="1"/>
          <w:bCs w:val="1"/>
          <w:color w:val="FAAC16"/>
        </w:rPr>
      </w:pPr>
      <w:r>
        <w:rPr>
          <w:rFonts w:ascii="Arial" w:cs="Arial" w:eastAsia="Arial" w:hAnsi="Arial"/>
          <w:sz w:val="16"/>
          <w:szCs w:val="16"/>
          <w:color w:val="auto"/>
        </w:rPr>
        <w:t>Agency / Broker Productivity Improvement</w:t>
      </w:r>
    </w:p>
    <w:p>
      <w:pPr>
        <w:spacing w:after="0" w:line="94" w:lineRule="exact"/>
        <w:rPr>
          <w:rFonts w:ascii="Arial" w:cs="Arial" w:eastAsia="Arial" w:hAnsi="Arial"/>
          <w:sz w:val="16"/>
          <w:szCs w:val="16"/>
          <w:b w:val="1"/>
          <w:bCs w:val="1"/>
          <w:color w:val="FAAC16"/>
        </w:rPr>
      </w:pPr>
    </w:p>
    <w:p>
      <w:pPr>
        <w:ind w:left="1500" w:hanging="162"/>
        <w:spacing w:after="0" w:line="251" w:lineRule="auto"/>
        <w:tabs>
          <w:tab w:leader="none" w:pos="1477" w:val="left"/>
        </w:tabs>
        <w:numPr>
          <w:ilvl w:val="0"/>
          <w:numId w:val="22"/>
        </w:numPr>
        <w:rPr>
          <w:rFonts w:ascii="Arial" w:cs="Arial" w:eastAsia="Arial" w:hAnsi="Arial"/>
          <w:sz w:val="16"/>
          <w:szCs w:val="16"/>
          <w:b w:val="1"/>
          <w:bCs w:val="1"/>
          <w:color w:val="FAAC16"/>
        </w:rPr>
      </w:pPr>
      <w:r>
        <w:rPr>
          <w:rFonts w:ascii="Arial" w:cs="Arial" w:eastAsia="Arial" w:hAnsi="Arial"/>
          <w:sz w:val="16"/>
          <w:szCs w:val="16"/>
          <w:color w:val="auto"/>
        </w:rPr>
        <w:t>Reward and Compensation Plan Optimization</w:t>
      </w:r>
    </w:p>
    <w:p>
      <w:pPr>
        <w:spacing w:after="0" w:line="94" w:lineRule="exact"/>
        <w:rPr>
          <w:rFonts w:ascii="Arial" w:cs="Arial" w:eastAsia="Arial" w:hAnsi="Arial"/>
          <w:sz w:val="16"/>
          <w:szCs w:val="16"/>
          <w:b w:val="1"/>
          <w:bCs w:val="1"/>
          <w:color w:val="FAAC16"/>
        </w:rPr>
      </w:pPr>
    </w:p>
    <w:p>
      <w:pPr>
        <w:ind w:left="1500" w:right="100" w:hanging="162"/>
        <w:spacing w:after="0" w:line="251" w:lineRule="auto"/>
        <w:tabs>
          <w:tab w:leader="none" w:pos="1477" w:val="left"/>
        </w:tabs>
        <w:numPr>
          <w:ilvl w:val="0"/>
          <w:numId w:val="22"/>
        </w:numPr>
        <w:rPr>
          <w:rFonts w:ascii="Arial" w:cs="Arial" w:eastAsia="Arial" w:hAnsi="Arial"/>
          <w:sz w:val="16"/>
          <w:szCs w:val="16"/>
          <w:b w:val="1"/>
          <w:bCs w:val="1"/>
          <w:color w:val="FAAC16"/>
        </w:rPr>
      </w:pPr>
      <w:r>
        <w:rPr>
          <w:rFonts w:ascii="Arial" w:cs="Arial" w:eastAsia="Arial" w:hAnsi="Arial"/>
          <w:sz w:val="16"/>
          <w:szCs w:val="16"/>
          <w:color w:val="auto"/>
        </w:rPr>
        <w:t>Campaign Design, Management and Tracking</w:t>
      </w:r>
    </w:p>
    <w:p>
      <w:pPr>
        <w:spacing w:after="0" w:line="94" w:lineRule="exact"/>
        <w:rPr>
          <w:rFonts w:ascii="Arial" w:cs="Arial" w:eastAsia="Arial" w:hAnsi="Arial"/>
          <w:sz w:val="16"/>
          <w:szCs w:val="16"/>
          <w:b w:val="1"/>
          <w:bCs w:val="1"/>
          <w:color w:val="FAAC16"/>
        </w:rPr>
      </w:pPr>
    </w:p>
    <w:p>
      <w:pPr>
        <w:ind w:left="1500" w:right="20" w:hanging="162"/>
        <w:spacing w:after="0" w:line="253" w:lineRule="auto"/>
        <w:tabs>
          <w:tab w:leader="none" w:pos="1477" w:val="left"/>
        </w:tabs>
        <w:numPr>
          <w:ilvl w:val="0"/>
          <w:numId w:val="22"/>
        </w:numPr>
        <w:rPr>
          <w:rFonts w:ascii="Arial" w:cs="Arial" w:eastAsia="Arial" w:hAnsi="Arial"/>
          <w:sz w:val="16"/>
          <w:szCs w:val="16"/>
          <w:b w:val="1"/>
          <w:bCs w:val="1"/>
          <w:color w:val="FAAC16"/>
        </w:rPr>
      </w:pPr>
      <w:r>
        <w:rPr>
          <w:rFonts w:ascii="Arial" w:cs="Arial" w:eastAsia="Arial" w:hAnsi="Arial"/>
          <w:sz w:val="16"/>
          <w:szCs w:val="16"/>
          <w:color w:val="auto"/>
        </w:rPr>
        <w:t>Response and Conversion Modeling</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130" w:hanging="130"/>
        <w:spacing w:after="0"/>
        <w:tabs>
          <w:tab w:leader="none" w:pos="130"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Class plan development</w:t>
      </w:r>
    </w:p>
    <w:p>
      <w:pPr>
        <w:spacing w:after="0" w:line="113" w:lineRule="exact"/>
        <w:rPr>
          <w:rFonts w:ascii="Arial" w:cs="Arial" w:eastAsia="Arial" w:hAnsi="Arial"/>
          <w:sz w:val="16"/>
          <w:szCs w:val="16"/>
          <w:b w:val="1"/>
          <w:bCs w:val="1"/>
          <w:color w:val="FAAC16"/>
        </w:rPr>
      </w:pPr>
    </w:p>
    <w:p>
      <w:pPr>
        <w:ind w:left="130" w:hanging="130"/>
        <w:spacing w:after="0"/>
        <w:tabs>
          <w:tab w:leader="none" w:pos="130"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Price optimization</w:t>
      </w:r>
    </w:p>
    <w:p>
      <w:pPr>
        <w:spacing w:after="0" w:line="113" w:lineRule="exact"/>
        <w:rPr>
          <w:rFonts w:ascii="Arial" w:cs="Arial" w:eastAsia="Arial" w:hAnsi="Arial"/>
          <w:sz w:val="16"/>
          <w:szCs w:val="16"/>
          <w:b w:val="1"/>
          <w:bCs w:val="1"/>
          <w:color w:val="FAAC16"/>
        </w:rPr>
      </w:pPr>
    </w:p>
    <w:p>
      <w:pPr>
        <w:ind w:left="130" w:hanging="130"/>
        <w:spacing w:after="0"/>
        <w:tabs>
          <w:tab w:leader="none" w:pos="130"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Rate Filings</w:t>
      </w:r>
    </w:p>
    <w:p>
      <w:pPr>
        <w:spacing w:after="0" w:line="113" w:lineRule="exact"/>
        <w:rPr>
          <w:rFonts w:ascii="Arial" w:cs="Arial" w:eastAsia="Arial" w:hAnsi="Arial"/>
          <w:sz w:val="16"/>
          <w:szCs w:val="16"/>
          <w:b w:val="1"/>
          <w:bCs w:val="1"/>
          <w:color w:val="FAAC16"/>
        </w:rPr>
      </w:pPr>
    </w:p>
    <w:p>
      <w:pPr>
        <w:ind w:left="170" w:right="460" w:hanging="170"/>
        <w:spacing w:after="0" w:line="260" w:lineRule="auto"/>
        <w:tabs>
          <w:tab w:leader="none" w:pos="148"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Economic and Capital modeling</w:t>
      </w:r>
    </w:p>
    <w:p>
      <w:pPr>
        <w:spacing w:after="0" w:line="87" w:lineRule="exact"/>
        <w:rPr>
          <w:rFonts w:ascii="Arial" w:cs="Arial" w:eastAsia="Arial" w:hAnsi="Arial"/>
          <w:sz w:val="16"/>
          <w:szCs w:val="16"/>
          <w:b w:val="1"/>
          <w:bCs w:val="1"/>
          <w:color w:val="FAAC16"/>
        </w:rPr>
      </w:pPr>
    </w:p>
    <w:p>
      <w:pPr>
        <w:ind w:left="130" w:hanging="130"/>
        <w:spacing w:after="0"/>
        <w:tabs>
          <w:tab w:leader="none" w:pos="130"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Underwriting support</w:t>
      </w:r>
    </w:p>
    <w:p>
      <w:pPr>
        <w:spacing w:after="0" w:line="113" w:lineRule="exact"/>
        <w:rPr>
          <w:rFonts w:ascii="Arial" w:cs="Arial" w:eastAsia="Arial" w:hAnsi="Arial"/>
          <w:sz w:val="16"/>
          <w:szCs w:val="16"/>
          <w:b w:val="1"/>
          <w:bCs w:val="1"/>
          <w:color w:val="FAAC16"/>
        </w:rPr>
      </w:pPr>
    </w:p>
    <w:p>
      <w:pPr>
        <w:jc w:val="both"/>
        <w:ind w:left="170" w:right="300" w:hanging="170"/>
        <w:spacing w:after="0" w:line="253" w:lineRule="auto"/>
        <w:tabs>
          <w:tab w:leader="none" w:pos="148"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Portfolio Analysis (Loss Modeling, Risk Transfer Pricing)</w:t>
      </w:r>
    </w:p>
    <w:p>
      <w:pPr>
        <w:spacing w:after="0" w:line="93" w:lineRule="exact"/>
        <w:rPr>
          <w:rFonts w:ascii="Arial" w:cs="Arial" w:eastAsia="Arial" w:hAnsi="Arial"/>
          <w:sz w:val="16"/>
          <w:szCs w:val="16"/>
          <w:b w:val="1"/>
          <w:bCs w:val="1"/>
          <w:color w:val="FAAC16"/>
        </w:rPr>
      </w:pPr>
    </w:p>
    <w:p>
      <w:pPr>
        <w:ind w:left="130" w:hanging="130"/>
        <w:spacing w:after="0"/>
        <w:tabs>
          <w:tab w:leader="none" w:pos="130"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Standard report generation</w:t>
      </w:r>
    </w:p>
    <w:p>
      <w:pPr>
        <w:spacing w:after="0" w:line="113" w:lineRule="exact"/>
        <w:rPr>
          <w:rFonts w:ascii="Arial" w:cs="Arial" w:eastAsia="Arial" w:hAnsi="Arial"/>
          <w:sz w:val="16"/>
          <w:szCs w:val="16"/>
          <w:b w:val="1"/>
          <w:bCs w:val="1"/>
          <w:color w:val="FAAC16"/>
        </w:rPr>
      </w:pPr>
    </w:p>
    <w:p>
      <w:pPr>
        <w:ind w:left="130" w:hanging="130"/>
        <w:spacing w:after="0"/>
        <w:tabs>
          <w:tab w:leader="none" w:pos="130"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Loss reserving studies</w:t>
      </w:r>
    </w:p>
    <w:p>
      <w:pPr>
        <w:spacing w:after="0" w:line="113" w:lineRule="exact"/>
        <w:rPr>
          <w:rFonts w:ascii="Arial" w:cs="Arial" w:eastAsia="Arial" w:hAnsi="Arial"/>
          <w:sz w:val="16"/>
          <w:szCs w:val="16"/>
          <w:b w:val="1"/>
          <w:bCs w:val="1"/>
          <w:color w:val="FAAC16"/>
        </w:rPr>
      </w:pPr>
    </w:p>
    <w:p>
      <w:pPr>
        <w:ind w:left="170" w:hanging="170"/>
        <w:spacing w:after="0" w:line="253" w:lineRule="auto"/>
        <w:tabs>
          <w:tab w:leader="none" w:pos="148"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Predictive modeling – Pure premium, General Linear Model, Bayesian and others</w:t>
      </w:r>
    </w:p>
    <w:p>
      <w:pPr>
        <w:spacing w:after="0" w:line="93" w:lineRule="exact"/>
        <w:rPr>
          <w:rFonts w:ascii="Arial" w:cs="Arial" w:eastAsia="Arial" w:hAnsi="Arial"/>
          <w:sz w:val="16"/>
          <w:szCs w:val="16"/>
          <w:b w:val="1"/>
          <w:bCs w:val="1"/>
          <w:color w:val="FAAC16"/>
        </w:rPr>
      </w:pPr>
    </w:p>
    <w:p>
      <w:pPr>
        <w:ind w:left="130" w:hanging="130"/>
        <w:spacing w:after="0"/>
        <w:tabs>
          <w:tab w:leader="none" w:pos="130" w:val="left"/>
        </w:tabs>
        <w:numPr>
          <w:ilvl w:val="0"/>
          <w:numId w:val="23"/>
        </w:numPr>
        <w:rPr>
          <w:rFonts w:ascii="Arial" w:cs="Arial" w:eastAsia="Arial" w:hAnsi="Arial"/>
          <w:sz w:val="16"/>
          <w:szCs w:val="16"/>
          <w:b w:val="1"/>
          <w:bCs w:val="1"/>
          <w:color w:val="FAAC16"/>
        </w:rPr>
      </w:pPr>
      <w:r>
        <w:rPr>
          <w:rFonts w:ascii="Arial" w:cs="Arial" w:eastAsia="Arial" w:hAnsi="Arial"/>
          <w:sz w:val="16"/>
          <w:szCs w:val="16"/>
          <w:color w:val="auto"/>
        </w:rPr>
        <w:t>Catastrophe Modeling</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540" w:type="dxa"/>
            <w:vAlign w:val="bottom"/>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Contact Center</w:t>
            </w:r>
          </w:p>
        </w:tc>
        <w:tc>
          <w:tcPr>
            <w:tcW w:w="1400" w:type="dxa"/>
            <w:vAlign w:val="bottom"/>
          </w:tcPr>
          <w:p>
            <w:pPr>
              <w:ind w:left="1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Customer</w:t>
            </w:r>
          </w:p>
        </w:tc>
        <w:tc>
          <w:tcPr>
            <w:tcW w:w="1880" w:type="dxa"/>
            <w:vAlign w:val="bottom"/>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Claims Severity and</w:t>
            </w:r>
          </w:p>
        </w:tc>
        <w:tc>
          <w:tcPr>
            <w:tcW w:w="0" w:type="dxa"/>
            <w:vAlign w:val="bottom"/>
          </w:tcPr>
          <w:p>
            <w:pPr>
              <w:spacing w:after="0"/>
              <w:rPr>
                <w:sz w:val="1"/>
                <w:szCs w:val="1"/>
                <w:color w:val="auto"/>
              </w:rPr>
            </w:pPr>
          </w:p>
        </w:tc>
      </w:tr>
      <w:tr>
        <w:trPr>
          <w:trHeight w:val="189"/>
        </w:trPr>
        <w:tc>
          <w:tcPr>
            <w:tcW w:w="1540" w:type="dxa"/>
            <w:vAlign w:val="bottom"/>
          </w:tcPr>
          <w:p>
            <w:pPr>
              <w:ind w:left="160"/>
              <w:spacing w:after="0"/>
              <w:rPr>
                <w:sz w:val="20"/>
                <w:szCs w:val="20"/>
                <w:color w:val="auto"/>
              </w:rPr>
            </w:pPr>
            <w:r>
              <w:rPr>
                <w:rFonts w:ascii="Arial" w:cs="Arial" w:eastAsia="Arial" w:hAnsi="Arial"/>
                <w:sz w:val="16"/>
                <w:szCs w:val="16"/>
                <w:color w:val="auto"/>
              </w:rPr>
              <w:t>Cost Reduction</w:t>
            </w:r>
          </w:p>
        </w:tc>
        <w:tc>
          <w:tcPr>
            <w:tcW w:w="1400" w:type="dxa"/>
            <w:vAlign w:val="bottom"/>
          </w:tcPr>
          <w:p>
            <w:pPr>
              <w:ind w:left="280"/>
              <w:spacing w:after="0"/>
              <w:rPr>
                <w:sz w:val="20"/>
                <w:szCs w:val="20"/>
                <w:color w:val="auto"/>
              </w:rPr>
            </w:pPr>
            <w:r>
              <w:rPr>
                <w:rFonts w:ascii="Arial" w:cs="Arial" w:eastAsia="Arial" w:hAnsi="Arial"/>
                <w:sz w:val="16"/>
                <w:szCs w:val="16"/>
                <w:color w:val="auto"/>
              </w:rPr>
              <w:t>Retention and</w:t>
            </w:r>
          </w:p>
        </w:tc>
        <w:tc>
          <w:tcPr>
            <w:tcW w:w="1880" w:type="dxa"/>
            <w:vAlign w:val="bottom"/>
          </w:tcPr>
          <w:p>
            <w:pPr>
              <w:ind w:left="260"/>
              <w:spacing w:after="0"/>
              <w:rPr>
                <w:sz w:val="20"/>
                <w:szCs w:val="20"/>
                <w:color w:val="auto"/>
              </w:rPr>
            </w:pPr>
            <w:r>
              <w:rPr>
                <w:rFonts w:ascii="Arial" w:cs="Arial" w:eastAsia="Arial" w:hAnsi="Arial"/>
                <w:sz w:val="16"/>
                <w:szCs w:val="16"/>
                <w:color w:val="auto"/>
              </w:rPr>
              <w:t>Frequency Estimation</w:t>
            </w:r>
          </w:p>
        </w:tc>
        <w:tc>
          <w:tcPr>
            <w:tcW w:w="0" w:type="dxa"/>
            <w:vAlign w:val="bottom"/>
          </w:tcPr>
          <w:p>
            <w:pPr>
              <w:spacing w:after="0"/>
              <w:rPr>
                <w:sz w:val="1"/>
                <w:szCs w:val="1"/>
                <w:color w:val="auto"/>
              </w:rPr>
            </w:pPr>
          </w:p>
        </w:tc>
      </w:tr>
      <w:tr>
        <w:trPr>
          <w:trHeight w:val="189"/>
        </w:trPr>
        <w:tc>
          <w:tcPr>
            <w:tcW w:w="15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Capacity planning</w:t>
            </w:r>
          </w:p>
        </w:tc>
        <w:tc>
          <w:tcPr>
            <w:tcW w:w="1400" w:type="dxa"/>
            <w:vAlign w:val="bottom"/>
          </w:tcPr>
          <w:p>
            <w:pPr>
              <w:ind w:left="280"/>
              <w:spacing w:after="0"/>
              <w:rPr>
                <w:sz w:val="20"/>
                <w:szCs w:val="20"/>
                <w:color w:val="auto"/>
              </w:rPr>
            </w:pPr>
            <w:r>
              <w:rPr>
                <w:rFonts w:ascii="Arial" w:cs="Arial" w:eastAsia="Arial" w:hAnsi="Arial"/>
                <w:sz w:val="16"/>
                <w:szCs w:val="16"/>
                <w:color w:val="auto"/>
              </w:rPr>
              <w:t>Loyalty</w:t>
            </w:r>
          </w:p>
        </w:tc>
        <w:tc>
          <w:tcPr>
            <w:tcW w:w="18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Fraud Detection and</w:t>
            </w: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400" w:type="dxa"/>
            <w:vAlign w:val="bottom"/>
            <w:vMerge w:val="restart"/>
          </w:tcPr>
          <w:p>
            <w:pPr>
              <w:ind w:left="280"/>
              <w:spacing w:after="0"/>
              <w:rPr>
                <w:sz w:val="20"/>
                <w:szCs w:val="20"/>
                <w:color w:val="auto"/>
              </w:rPr>
            </w:pPr>
            <w:r>
              <w:rPr>
                <w:rFonts w:ascii="Arial" w:cs="Arial" w:eastAsia="Arial" w:hAnsi="Arial"/>
                <w:sz w:val="16"/>
                <w:szCs w:val="16"/>
                <w:color w:val="auto"/>
              </w:rPr>
              <w:t>Improvement</w:t>
            </w: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880" w:type="dxa"/>
            <w:vAlign w:val="bottom"/>
            <w:vMerge w:val="restart"/>
          </w:tcPr>
          <w:p>
            <w:pPr>
              <w:ind w:left="260"/>
              <w:spacing w:after="0"/>
              <w:rPr>
                <w:sz w:val="20"/>
                <w:szCs w:val="20"/>
                <w:color w:val="auto"/>
              </w:rPr>
            </w:pPr>
            <w:r>
              <w:rPr>
                <w:rFonts w:ascii="Arial" w:cs="Arial" w:eastAsia="Arial" w:hAnsi="Arial"/>
                <w:sz w:val="16"/>
                <w:szCs w:val="16"/>
                <w:color w:val="auto"/>
              </w:rPr>
              <w:t>Prevention- Special</w:t>
            </w:r>
          </w:p>
        </w:tc>
        <w:tc>
          <w:tcPr>
            <w:tcW w:w="0" w:type="dxa"/>
            <w:vAlign w:val="bottom"/>
          </w:tcPr>
          <w:p>
            <w:pPr>
              <w:spacing w:after="0"/>
              <w:rPr>
                <w:sz w:val="1"/>
                <w:szCs w:val="1"/>
                <w:color w:val="auto"/>
              </w:rPr>
            </w:pPr>
          </w:p>
        </w:tc>
      </w:tr>
      <w:tr>
        <w:trPr>
          <w:trHeight w:val="102"/>
        </w:trPr>
        <w:tc>
          <w:tcPr>
            <w:tcW w:w="15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Call Volume</w:t>
            </w: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Lifetime Value</w:t>
            </w: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880" w:type="dxa"/>
            <w:vAlign w:val="bottom"/>
            <w:vMerge w:val="restart"/>
          </w:tcPr>
          <w:p>
            <w:pPr>
              <w:ind w:left="260"/>
              <w:spacing w:after="0"/>
              <w:rPr>
                <w:sz w:val="20"/>
                <w:szCs w:val="20"/>
                <w:color w:val="auto"/>
              </w:rPr>
            </w:pPr>
            <w:r>
              <w:rPr>
                <w:rFonts w:ascii="Arial" w:cs="Arial" w:eastAsia="Arial" w:hAnsi="Arial"/>
                <w:sz w:val="16"/>
                <w:szCs w:val="16"/>
                <w:color w:val="auto"/>
                <w:w w:val="99"/>
              </w:rPr>
              <w:t>Investigations Process</w:t>
            </w:r>
          </w:p>
        </w:tc>
        <w:tc>
          <w:tcPr>
            <w:tcW w:w="0" w:type="dxa"/>
            <w:vAlign w:val="bottom"/>
          </w:tcPr>
          <w:p>
            <w:pPr>
              <w:spacing w:after="0"/>
              <w:rPr>
                <w:sz w:val="1"/>
                <w:szCs w:val="1"/>
                <w:color w:val="auto"/>
              </w:rPr>
            </w:pPr>
          </w:p>
        </w:tc>
      </w:tr>
      <w:tr>
        <w:trPr>
          <w:trHeight w:val="81"/>
        </w:trPr>
        <w:tc>
          <w:tcPr>
            <w:tcW w:w="1540" w:type="dxa"/>
            <w:vAlign w:val="bottom"/>
            <w:vMerge w:val="restart"/>
          </w:tcPr>
          <w:p>
            <w:pPr>
              <w:ind w:left="160"/>
              <w:spacing w:after="0"/>
              <w:rPr>
                <w:sz w:val="20"/>
                <w:szCs w:val="20"/>
                <w:color w:val="auto"/>
              </w:rPr>
            </w:pPr>
            <w:r>
              <w:rPr>
                <w:rFonts w:ascii="Arial" w:cs="Arial" w:eastAsia="Arial" w:hAnsi="Arial"/>
                <w:sz w:val="16"/>
                <w:szCs w:val="16"/>
                <w:color w:val="auto"/>
              </w:rPr>
              <w:t>Forecasting and</w:t>
            </w: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400" w:type="dxa"/>
            <w:vAlign w:val="bottom"/>
            <w:vMerge w:val="restart"/>
          </w:tcPr>
          <w:p>
            <w:pPr>
              <w:ind w:left="280"/>
              <w:spacing w:after="0"/>
              <w:rPr>
                <w:sz w:val="20"/>
                <w:szCs w:val="20"/>
                <w:color w:val="auto"/>
              </w:rPr>
            </w:pPr>
            <w:r>
              <w:rPr>
                <w:rFonts w:ascii="Arial" w:cs="Arial" w:eastAsia="Arial" w:hAnsi="Arial"/>
                <w:sz w:val="16"/>
                <w:szCs w:val="16"/>
                <w:color w:val="auto"/>
              </w:rPr>
              <w:t>Estimation</w:t>
            </w:r>
          </w:p>
        </w:tc>
        <w:tc>
          <w:tcPr>
            <w:tcW w:w="1880" w:type="dxa"/>
            <w:vAlign w:val="bottom"/>
            <w:vMerge w:val="restart"/>
          </w:tcPr>
          <w:p>
            <w:pPr>
              <w:ind w:left="260"/>
              <w:spacing w:after="0"/>
              <w:rPr>
                <w:sz w:val="20"/>
                <w:szCs w:val="20"/>
                <w:color w:val="auto"/>
              </w:rPr>
            </w:pPr>
            <w:r>
              <w:rPr>
                <w:rFonts w:ascii="Arial" w:cs="Arial" w:eastAsia="Arial" w:hAnsi="Arial"/>
                <w:sz w:val="16"/>
                <w:szCs w:val="16"/>
                <w:color w:val="auto"/>
              </w:rPr>
              <w:t>Optimization</w:t>
            </w:r>
          </w:p>
        </w:tc>
        <w:tc>
          <w:tcPr>
            <w:tcW w:w="0" w:type="dxa"/>
            <w:vAlign w:val="bottom"/>
          </w:tcPr>
          <w:p>
            <w:pPr>
              <w:spacing w:after="0"/>
              <w:rPr>
                <w:sz w:val="1"/>
                <w:szCs w:val="1"/>
                <w:color w:val="auto"/>
              </w:rPr>
            </w:pPr>
          </w:p>
        </w:tc>
      </w:tr>
      <w:tr>
        <w:trPr>
          <w:trHeight w:val="87"/>
        </w:trPr>
        <w:tc>
          <w:tcPr>
            <w:tcW w:w="1540" w:type="dxa"/>
            <w:vAlign w:val="bottom"/>
            <w:vMerge w:val="restart"/>
          </w:tcPr>
          <w:p>
            <w:pPr>
              <w:ind w:left="160"/>
              <w:spacing w:after="0"/>
              <w:rPr>
                <w:sz w:val="20"/>
                <w:szCs w:val="20"/>
                <w:color w:val="auto"/>
              </w:rPr>
            </w:pPr>
            <w:r>
              <w:rPr>
                <w:rFonts w:ascii="Arial" w:cs="Arial" w:eastAsia="Arial" w:hAnsi="Arial"/>
                <w:sz w:val="16"/>
                <w:szCs w:val="16"/>
                <w:color w:val="auto"/>
              </w:rPr>
              <w:t>Optimal Agent</w:t>
            </w: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540" w:type="dxa"/>
            <w:vAlign w:val="bottom"/>
            <w:vMerge w:val="continue"/>
          </w:tcPr>
          <w:p>
            <w:pPr>
              <w:spacing w:after="0"/>
              <w:rPr>
                <w:sz w:val="8"/>
                <w:szCs w:val="8"/>
                <w:color w:val="auto"/>
              </w:rPr>
            </w:pP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Cross-sell and</w:t>
            </w:r>
          </w:p>
        </w:tc>
        <w:tc>
          <w:tcPr>
            <w:tcW w:w="18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Claims Process</w:t>
            </w:r>
          </w:p>
        </w:tc>
        <w:tc>
          <w:tcPr>
            <w:tcW w:w="0" w:type="dxa"/>
            <w:vAlign w:val="bottom"/>
          </w:tcPr>
          <w:p>
            <w:pPr>
              <w:spacing w:after="0"/>
              <w:rPr>
                <w:sz w:val="1"/>
                <w:szCs w:val="1"/>
                <w:color w:val="auto"/>
              </w:rPr>
            </w:pPr>
          </w:p>
        </w:tc>
      </w:tr>
      <w:tr>
        <w:trPr>
          <w:trHeight w:val="189"/>
        </w:trPr>
        <w:tc>
          <w:tcPr>
            <w:tcW w:w="1540" w:type="dxa"/>
            <w:vAlign w:val="bottom"/>
          </w:tcPr>
          <w:p>
            <w:pPr>
              <w:ind w:left="160"/>
              <w:spacing w:after="0"/>
              <w:rPr>
                <w:sz w:val="20"/>
                <w:szCs w:val="20"/>
                <w:color w:val="auto"/>
              </w:rPr>
            </w:pPr>
            <w:r>
              <w:rPr>
                <w:rFonts w:ascii="Arial" w:cs="Arial" w:eastAsia="Arial" w:hAnsi="Arial"/>
                <w:sz w:val="16"/>
                <w:szCs w:val="16"/>
                <w:color w:val="auto"/>
              </w:rPr>
              <w:t>Scheduling</w:t>
            </w:r>
          </w:p>
        </w:tc>
        <w:tc>
          <w:tcPr>
            <w:tcW w:w="1400" w:type="dxa"/>
            <w:vAlign w:val="bottom"/>
            <w:vMerge w:val="continue"/>
          </w:tcPr>
          <w:p>
            <w:pPr>
              <w:spacing w:after="0"/>
              <w:rPr>
                <w:sz w:val="16"/>
                <w:szCs w:val="16"/>
                <w:color w:val="auto"/>
              </w:rPr>
            </w:pPr>
          </w:p>
        </w:tc>
        <w:tc>
          <w:tcPr>
            <w:tcW w:w="1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Improved Cross-</w:t>
            </w:r>
          </w:p>
        </w:tc>
        <w:tc>
          <w:tcPr>
            <w:tcW w:w="1400" w:type="dxa"/>
            <w:vAlign w:val="bottom"/>
          </w:tcPr>
          <w:p>
            <w:pPr>
              <w:ind w:left="280"/>
              <w:spacing w:after="0"/>
              <w:rPr>
                <w:sz w:val="20"/>
                <w:szCs w:val="20"/>
                <w:color w:val="auto"/>
              </w:rPr>
            </w:pPr>
            <w:r>
              <w:rPr>
                <w:rFonts w:ascii="Arial" w:cs="Arial" w:eastAsia="Arial" w:hAnsi="Arial"/>
                <w:sz w:val="16"/>
                <w:szCs w:val="16"/>
                <w:color w:val="auto"/>
              </w:rPr>
              <w:t>Up-sell</w:t>
            </w:r>
          </w:p>
        </w:tc>
        <w:tc>
          <w:tcPr>
            <w:tcW w:w="1880" w:type="dxa"/>
            <w:vAlign w:val="bottom"/>
          </w:tcPr>
          <w:p>
            <w:pPr>
              <w:ind w:left="260"/>
              <w:spacing w:after="0"/>
              <w:rPr>
                <w:sz w:val="20"/>
                <w:szCs w:val="20"/>
                <w:color w:val="auto"/>
              </w:rPr>
            </w:pPr>
            <w:r>
              <w:rPr>
                <w:rFonts w:ascii="Arial" w:cs="Arial" w:eastAsia="Arial" w:hAnsi="Arial"/>
                <w:sz w:val="16"/>
                <w:szCs w:val="16"/>
                <w:color w:val="auto"/>
              </w:rPr>
              <w:t>Optimization and</w:t>
            </w: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Digital and</w:t>
            </w:r>
          </w:p>
        </w:tc>
        <w:tc>
          <w:tcPr>
            <w:tcW w:w="1880" w:type="dxa"/>
            <w:vAlign w:val="bottom"/>
            <w:vMerge w:val="restart"/>
          </w:tcPr>
          <w:p>
            <w:pPr>
              <w:ind w:left="260"/>
              <w:spacing w:after="0"/>
              <w:rPr>
                <w:sz w:val="20"/>
                <w:szCs w:val="20"/>
                <w:color w:val="auto"/>
              </w:rPr>
            </w:pPr>
            <w:r>
              <w:rPr>
                <w:rFonts w:ascii="Arial" w:cs="Arial" w:eastAsia="Arial" w:hAnsi="Arial"/>
                <w:sz w:val="16"/>
                <w:szCs w:val="16"/>
                <w:color w:val="auto"/>
              </w:rPr>
              <w:t>Transformation</w:t>
            </w:r>
          </w:p>
        </w:tc>
        <w:tc>
          <w:tcPr>
            <w:tcW w:w="0" w:type="dxa"/>
            <w:vAlign w:val="bottom"/>
          </w:tcPr>
          <w:p>
            <w:pPr>
              <w:spacing w:after="0"/>
              <w:rPr>
                <w:sz w:val="1"/>
                <w:szCs w:val="1"/>
                <w:color w:val="auto"/>
              </w:rPr>
            </w:pPr>
          </w:p>
        </w:tc>
      </w:tr>
      <w:tr>
        <w:trPr>
          <w:trHeight w:val="87"/>
        </w:trPr>
        <w:tc>
          <w:tcPr>
            <w:tcW w:w="1540" w:type="dxa"/>
            <w:vAlign w:val="bottom"/>
            <w:vMerge w:val="restart"/>
          </w:tcPr>
          <w:p>
            <w:pPr>
              <w:ind w:left="160"/>
              <w:spacing w:after="0" w:line="169" w:lineRule="exact"/>
              <w:rPr>
                <w:sz w:val="20"/>
                <w:szCs w:val="20"/>
                <w:color w:val="auto"/>
              </w:rPr>
            </w:pPr>
            <w:r>
              <w:rPr>
                <w:rFonts w:ascii="Arial" w:cs="Arial" w:eastAsia="Arial" w:hAnsi="Arial"/>
                <w:sz w:val="16"/>
                <w:szCs w:val="16"/>
                <w:color w:val="auto"/>
              </w:rPr>
              <w:t>sell Efforts</w:t>
            </w: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540" w:type="dxa"/>
            <w:vAlign w:val="bottom"/>
            <w:vMerge w:val="continue"/>
          </w:tcPr>
          <w:p>
            <w:pPr>
              <w:spacing w:after="0"/>
              <w:rPr>
                <w:sz w:val="7"/>
                <w:szCs w:val="7"/>
                <w:color w:val="auto"/>
              </w:rPr>
            </w:pPr>
          </w:p>
        </w:tc>
        <w:tc>
          <w:tcPr>
            <w:tcW w:w="140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15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Tiered Servicing</w:t>
            </w:r>
          </w:p>
        </w:tc>
        <w:tc>
          <w:tcPr>
            <w:tcW w:w="3280" w:type="dxa"/>
            <w:vAlign w:val="bottom"/>
            <w:gridSpan w:val="2"/>
          </w:tcPr>
          <w:p>
            <w:pPr>
              <w:ind w:left="280"/>
              <w:spacing w:after="0"/>
              <w:rPr>
                <w:sz w:val="20"/>
                <w:szCs w:val="20"/>
                <w:color w:val="auto"/>
              </w:rPr>
            </w:pPr>
            <w:r>
              <w:rPr>
                <w:rFonts w:ascii="Arial" w:cs="Arial" w:eastAsia="Arial" w:hAnsi="Arial"/>
                <w:sz w:val="16"/>
                <w:szCs w:val="16"/>
                <w:color w:val="auto"/>
              </w:rPr>
              <w:t xml:space="preserve">Web analytics   </w:t>
            </w:r>
            <w:r>
              <w:rPr>
                <w:rFonts w:ascii="Arial" w:cs="Arial" w:eastAsia="Arial" w:hAnsi="Arial"/>
                <w:sz w:val="16"/>
                <w:szCs w:val="16"/>
                <w:b w:val="1"/>
                <w:bCs w:val="1"/>
                <w:color w:val="FAAC16"/>
              </w:rPr>
              <w:t>&gt;</w:t>
            </w:r>
            <w:r>
              <w:rPr>
                <w:rFonts w:ascii="Arial" w:cs="Arial" w:eastAsia="Arial" w:hAnsi="Arial"/>
                <w:sz w:val="16"/>
                <w:szCs w:val="16"/>
                <w:color w:val="auto"/>
              </w:rPr>
              <w:t xml:space="preserve"> Disability Claims</w:t>
            </w:r>
          </w:p>
        </w:tc>
        <w:tc>
          <w:tcPr>
            <w:tcW w:w="0" w:type="dxa"/>
            <w:vAlign w:val="bottom"/>
          </w:tcPr>
          <w:p>
            <w:pPr>
              <w:spacing w:after="0"/>
              <w:rPr>
                <w:sz w:val="1"/>
                <w:szCs w:val="1"/>
                <w:color w:val="auto"/>
              </w:rPr>
            </w:pPr>
          </w:p>
        </w:tc>
      </w:tr>
      <w:tr>
        <w:trPr>
          <w:trHeight w:val="114"/>
        </w:trPr>
        <w:tc>
          <w:tcPr>
            <w:tcW w:w="154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Recoveries</w:t>
            </w:r>
          </w:p>
        </w:tc>
        <w:tc>
          <w:tcPr>
            <w:tcW w:w="1880" w:type="dxa"/>
            <w:vAlign w:val="bottom"/>
            <w:vMerge w:val="restart"/>
          </w:tcPr>
          <w:p>
            <w:pPr>
              <w:ind w:left="260"/>
              <w:spacing w:after="0"/>
              <w:rPr>
                <w:sz w:val="20"/>
                <w:szCs w:val="20"/>
                <w:color w:val="auto"/>
              </w:rPr>
            </w:pPr>
            <w:r>
              <w:rPr>
                <w:rFonts w:ascii="Arial" w:cs="Arial" w:eastAsia="Arial" w:hAnsi="Arial"/>
                <w:sz w:val="16"/>
                <w:szCs w:val="16"/>
                <w:color w:val="auto"/>
              </w:rPr>
              <w:t>Analytics</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5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Outbound Call</w:t>
            </w:r>
          </w:p>
        </w:tc>
        <w:tc>
          <w:tcPr>
            <w:tcW w:w="1400" w:type="dxa"/>
            <w:vAlign w:val="bottom"/>
            <w:vMerge w:val="continue"/>
          </w:tcPr>
          <w:p>
            <w:pPr>
              <w:spacing w:after="0"/>
              <w:rPr>
                <w:sz w:val="8"/>
                <w:szCs w:val="8"/>
                <w:color w:val="auto"/>
              </w:rPr>
            </w:pPr>
          </w:p>
        </w:tc>
        <w:tc>
          <w:tcPr>
            <w:tcW w:w="18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Subrogation</w:t>
            </w: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400" w:type="dxa"/>
            <w:vAlign w:val="bottom"/>
            <w:vMerge w:val="restart"/>
          </w:tcPr>
          <w:p>
            <w:pPr>
              <w:ind w:left="280"/>
              <w:spacing w:after="0"/>
              <w:rPr>
                <w:sz w:val="20"/>
                <w:szCs w:val="20"/>
                <w:color w:val="auto"/>
              </w:rPr>
            </w:pPr>
            <w:r>
              <w:rPr>
                <w:rFonts w:ascii="Arial" w:cs="Arial" w:eastAsia="Arial" w:hAnsi="Arial"/>
                <w:sz w:val="16"/>
                <w:szCs w:val="16"/>
                <w:color w:val="auto"/>
              </w:rPr>
              <w:t>Optimization</w:t>
            </w: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vMerge w:val="restart"/>
          </w:tcPr>
          <w:p>
            <w:pPr>
              <w:ind w:left="160"/>
              <w:spacing w:after="0"/>
              <w:rPr>
                <w:sz w:val="20"/>
                <w:szCs w:val="20"/>
                <w:color w:val="auto"/>
              </w:rPr>
            </w:pPr>
            <w:r>
              <w:rPr>
                <w:rFonts w:ascii="Arial" w:cs="Arial" w:eastAsia="Arial" w:hAnsi="Arial"/>
                <w:sz w:val="16"/>
                <w:szCs w:val="16"/>
                <w:color w:val="auto"/>
              </w:rPr>
              <w:t>Optimization</w:t>
            </w: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54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Bad Debt</w:t>
            </w:r>
          </w:p>
        </w:tc>
        <w:tc>
          <w:tcPr>
            <w:tcW w:w="1880" w:type="dxa"/>
            <w:vAlign w:val="bottom"/>
            <w:vMerge w:val="restart"/>
          </w:tcPr>
          <w:p>
            <w:pPr>
              <w:ind w:left="260"/>
              <w:spacing w:after="0"/>
              <w:rPr>
                <w:sz w:val="20"/>
                <w:szCs w:val="20"/>
                <w:color w:val="auto"/>
              </w:rPr>
            </w:pPr>
            <w:r>
              <w:rPr>
                <w:rFonts w:ascii="Arial" w:cs="Arial" w:eastAsia="Arial" w:hAnsi="Arial"/>
                <w:sz w:val="16"/>
                <w:szCs w:val="16"/>
                <w:color w:val="auto"/>
              </w:rPr>
              <w:t>Optimization</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1540" w:type="dxa"/>
            <w:vAlign w:val="bottom"/>
            <w:vMerge w:val="restart"/>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Process Controls</w:t>
            </w:r>
          </w:p>
        </w:tc>
        <w:tc>
          <w:tcPr>
            <w:tcW w:w="1400" w:type="dxa"/>
            <w:vAlign w:val="bottom"/>
            <w:vMerge w:val="continue"/>
          </w:tcPr>
          <w:p>
            <w:pPr>
              <w:spacing w:after="0"/>
              <w:rPr>
                <w:sz w:val="8"/>
                <w:szCs w:val="8"/>
                <w:color w:val="auto"/>
              </w:rPr>
            </w:pPr>
          </w:p>
        </w:tc>
        <w:tc>
          <w:tcPr>
            <w:tcW w:w="18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Expense Management</w:t>
            </w:r>
          </w:p>
        </w:tc>
        <w:tc>
          <w:tcPr>
            <w:tcW w:w="0" w:type="dxa"/>
            <w:vAlign w:val="bottom"/>
          </w:tcPr>
          <w:p>
            <w:pPr>
              <w:spacing w:after="0"/>
              <w:rPr>
                <w:sz w:val="1"/>
                <w:szCs w:val="1"/>
                <w:color w:val="auto"/>
              </w:rPr>
            </w:pPr>
          </w:p>
        </w:tc>
      </w:tr>
      <w:tr>
        <w:trPr>
          <w:trHeight w:val="114"/>
        </w:trPr>
        <w:tc>
          <w:tcPr>
            <w:tcW w:w="1540" w:type="dxa"/>
            <w:vAlign w:val="bottom"/>
            <w:vMerge w:val="continue"/>
          </w:tcPr>
          <w:p>
            <w:pPr>
              <w:spacing w:after="0"/>
              <w:rPr>
                <w:sz w:val="9"/>
                <w:szCs w:val="9"/>
                <w:color w:val="auto"/>
              </w:rPr>
            </w:pPr>
          </w:p>
        </w:tc>
        <w:tc>
          <w:tcPr>
            <w:tcW w:w="1400" w:type="dxa"/>
            <w:vAlign w:val="bottom"/>
            <w:vMerge w:val="restart"/>
          </w:tcPr>
          <w:p>
            <w:pPr>
              <w:ind w:left="280"/>
              <w:spacing w:after="0"/>
              <w:rPr>
                <w:sz w:val="20"/>
                <w:szCs w:val="20"/>
                <w:color w:val="auto"/>
              </w:rPr>
            </w:pPr>
            <w:r>
              <w:rPr>
                <w:rFonts w:ascii="Arial" w:cs="Arial" w:eastAsia="Arial" w:hAnsi="Arial"/>
                <w:sz w:val="16"/>
                <w:szCs w:val="16"/>
                <w:color w:val="auto"/>
              </w:rPr>
              <w:t>Mitigation</w:t>
            </w: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Interactive Voice</w:t>
            </w:r>
          </w:p>
        </w:tc>
        <w:tc>
          <w:tcPr>
            <w:tcW w:w="1400" w:type="dxa"/>
            <w:vAlign w:val="bottom"/>
            <w:vMerge w:val="restart"/>
          </w:tcPr>
          <w:p>
            <w:pPr>
              <w:ind w:left="12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Net Promoter</w:t>
            </w:r>
          </w:p>
        </w:tc>
        <w:tc>
          <w:tcPr>
            <w:tcW w:w="18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Claims triage</w:t>
            </w:r>
          </w:p>
        </w:tc>
        <w:tc>
          <w:tcPr>
            <w:tcW w:w="0" w:type="dxa"/>
            <w:vAlign w:val="bottom"/>
          </w:tcPr>
          <w:p>
            <w:pPr>
              <w:spacing w:after="0"/>
              <w:rPr>
                <w:sz w:val="1"/>
                <w:szCs w:val="1"/>
                <w:color w:val="auto"/>
              </w:rPr>
            </w:pPr>
          </w:p>
        </w:tc>
      </w:tr>
      <w:tr>
        <w:trPr>
          <w:trHeight w:val="81"/>
        </w:trPr>
        <w:tc>
          <w:tcPr>
            <w:tcW w:w="1540" w:type="dxa"/>
            <w:vAlign w:val="bottom"/>
            <w:vMerge w:val="restart"/>
          </w:tcPr>
          <w:p>
            <w:pPr>
              <w:ind w:left="160"/>
              <w:spacing w:after="0"/>
              <w:rPr>
                <w:sz w:val="20"/>
                <w:szCs w:val="20"/>
                <w:color w:val="auto"/>
              </w:rPr>
            </w:pPr>
            <w:r>
              <w:rPr>
                <w:rFonts w:ascii="Arial" w:cs="Arial" w:eastAsia="Arial" w:hAnsi="Arial"/>
                <w:sz w:val="16"/>
                <w:szCs w:val="16"/>
                <w:color w:val="auto"/>
              </w:rPr>
              <w:t>Response</w:t>
            </w: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400" w:type="dxa"/>
            <w:vAlign w:val="bottom"/>
            <w:vMerge w:val="restart"/>
          </w:tcPr>
          <w:p>
            <w:pPr>
              <w:ind w:left="280"/>
              <w:spacing w:after="0"/>
              <w:rPr>
                <w:sz w:val="20"/>
                <w:szCs w:val="20"/>
                <w:color w:val="auto"/>
              </w:rPr>
            </w:pPr>
            <w:r>
              <w:rPr>
                <w:rFonts w:ascii="Arial" w:cs="Arial" w:eastAsia="Arial" w:hAnsi="Arial"/>
                <w:sz w:val="16"/>
                <w:szCs w:val="16"/>
                <w:color w:val="auto"/>
              </w:rPr>
              <w:t>Score</w:t>
            </w:r>
          </w:p>
        </w:tc>
        <w:tc>
          <w:tcPr>
            <w:tcW w:w="1880" w:type="dxa"/>
            <w:vAlign w:val="bottom"/>
            <w:vMerge w:val="restart"/>
          </w:tcPr>
          <w:p>
            <w:pPr>
              <w:ind w:left="10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Mining claim adjustor</w:t>
            </w:r>
          </w:p>
        </w:tc>
        <w:tc>
          <w:tcPr>
            <w:tcW w:w="0" w:type="dxa"/>
            <w:vAlign w:val="bottom"/>
          </w:tcPr>
          <w:p>
            <w:pPr>
              <w:spacing w:after="0"/>
              <w:rPr>
                <w:sz w:val="1"/>
                <w:szCs w:val="1"/>
                <w:color w:val="auto"/>
              </w:rPr>
            </w:pPr>
          </w:p>
        </w:tc>
      </w:tr>
      <w:tr>
        <w:trPr>
          <w:trHeight w:val="81"/>
        </w:trPr>
        <w:tc>
          <w:tcPr>
            <w:tcW w:w="1540" w:type="dxa"/>
            <w:vAlign w:val="bottom"/>
            <w:vMerge w:val="restart"/>
          </w:tcPr>
          <w:p>
            <w:pPr>
              <w:ind w:left="160"/>
              <w:spacing w:after="0"/>
              <w:rPr>
                <w:sz w:val="20"/>
                <w:szCs w:val="20"/>
                <w:color w:val="auto"/>
              </w:rPr>
            </w:pPr>
            <w:r>
              <w:rPr>
                <w:rFonts w:ascii="Arial" w:cs="Arial" w:eastAsia="Arial" w:hAnsi="Arial"/>
                <w:sz w:val="16"/>
                <w:szCs w:val="16"/>
                <w:color w:val="auto"/>
              </w:rPr>
              <w:t>optimization</w:t>
            </w:r>
          </w:p>
        </w:tc>
        <w:tc>
          <w:tcPr>
            <w:tcW w:w="1400" w:type="dxa"/>
            <w:vAlign w:val="bottom"/>
            <w:vMerge w:val="continue"/>
          </w:tcPr>
          <w:p>
            <w:pPr>
              <w:spacing w:after="0"/>
              <w:rPr>
                <w:sz w:val="7"/>
                <w:szCs w:val="7"/>
                <w:color w:val="auto"/>
              </w:rPr>
            </w:pPr>
          </w:p>
        </w:tc>
        <w:tc>
          <w:tcPr>
            <w:tcW w:w="1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540" w:type="dxa"/>
            <w:vAlign w:val="bottom"/>
            <w:vMerge w:val="continue"/>
          </w:tcPr>
          <w:p>
            <w:pPr>
              <w:spacing w:after="0"/>
              <w:rPr>
                <w:sz w:val="9"/>
                <w:szCs w:val="9"/>
                <w:color w:val="auto"/>
              </w:rPr>
            </w:pPr>
          </w:p>
        </w:tc>
        <w:tc>
          <w:tcPr>
            <w:tcW w:w="1400" w:type="dxa"/>
            <w:vAlign w:val="bottom"/>
            <w:vMerge w:val="restart"/>
          </w:tcPr>
          <w:p>
            <w:pPr>
              <w:ind w:left="280"/>
              <w:spacing w:after="0"/>
              <w:rPr>
                <w:sz w:val="20"/>
                <w:szCs w:val="20"/>
                <w:color w:val="auto"/>
              </w:rPr>
            </w:pPr>
            <w:r>
              <w:rPr>
                <w:rFonts w:ascii="Arial" w:cs="Arial" w:eastAsia="Arial" w:hAnsi="Arial"/>
                <w:sz w:val="16"/>
                <w:szCs w:val="16"/>
                <w:color w:val="auto"/>
              </w:rPr>
              <w:t>analytics</w:t>
            </w:r>
          </w:p>
        </w:tc>
        <w:tc>
          <w:tcPr>
            <w:tcW w:w="1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54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880" w:type="dxa"/>
            <w:vAlign w:val="bottom"/>
            <w:vMerge w:val="restart"/>
          </w:tcPr>
          <w:p>
            <w:pPr>
              <w:ind w:left="260"/>
              <w:spacing w:after="0"/>
              <w:rPr>
                <w:sz w:val="20"/>
                <w:szCs w:val="20"/>
                <w:color w:val="auto"/>
              </w:rPr>
            </w:pPr>
            <w:r>
              <w:rPr>
                <w:rFonts w:ascii="Arial" w:cs="Arial" w:eastAsia="Arial" w:hAnsi="Arial"/>
                <w:sz w:val="16"/>
                <w:szCs w:val="16"/>
                <w:color w:val="auto"/>
              </w:rPr>
              <w:t>notes</w:t>
            </w:r>
          </w:p>
        </w:tc>
        <w:tc>
          <w:tcPr>
            <w:tcW w:w="0" w:type="dxa"/>
            <w:vAlign w:val="bottom"/>
          </w:tcPr>
          <w:p>
            <w:pPr>
              <w:spacing w:after="0"/>
              <w:rPr>
                <w:sz w:val="1"/>
                <w:szCs w:val="1"/>
                <w:color w:val="auto"/>
              </w:rPr>
            </w:pPr>
          </w:p>
        </w:tc>
      </w:tr>
      <w:tr>
        <w:trPr>
          <w:trHeight w:val="102"/>
        </w:trPr>
        <w:tc>
          <w:tcPr>
            <w:tcW w:w="15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ind w:left="1660"/>
        <w:spacing w:after="0"/>
        <w:rPr>
          <w:sz w:val="20"/>
          <w:szCs w:val="20"/>
          <w:color w:val="auto"/>
        </w:rPr>
      </w:pPr>
      <w:r>
        <w:rPr>
          <w:rFonts w:ascii="Arial" w:cs="Arial" w:eastAsia="Arial" w:hAnsi="Arial"/>
          <w:sz w:val="16"/>
          <w:szCs w:val="16"/>
          <w:b w:val="1"/>
          <w:bCs w:val="1"/>
          <w:color w:val="FAAC16"/>
        </w:rPr>
        <w:t xml:space="preserve">&gt; </w:t>
      </w:r>
      <w:r>
        <w:rPr>
          <w:rFonts w:ascii="Arial" w:cs="Arial" w:eastAsia="Arial" w:hAnsi="Arial"/>
          <w:sz w:val="16"/>
          <w:szCs w:val="16"/>
          <w:color w:val="000000"/>
        </w:rPr>
        <w:t>Social Media</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and Social</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Network</w:t>
      </w:r>
    </w:p>
    <w:p>
      <w:pPr>
        <w:spacing w:after="0" w:line="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Analysis</w:t>
      </w:r>
    </w:p>
    <w:p>
      <w:pPr>
        <w:spacing w:after="0" w:line="200" w:lineRule="exact"/>
        <w:rPr>
          <w:sz w:val="20"/>
          <w:szCs w:val="20"/>
          <w:color w:val="auto"/>
        </w:rPr>
      </w:pPr>
    </w:p>
    <w:p>
      <w:pPr>
        <w:sectPr>
          <w:pgSz w:w="11900" w:h="16838" w:orient="portrait"/>
          <w:cols w:equalWidth="0" w:num="3">
            <w:col w:w="2540" w:space="230"/>
            <w:col w:w="2170" w:space="160"/>
            <w:col w:w="5119"/>
          </w:cols>
          <w:pgMar w:left="240" w:top="337" w:right="1440"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219"/>
          </w:cols>
          <w:pgMar w:left="240" w:top="337" w:right="1440"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Please see the disclosures in Notes 3 and 15 to our consolidated financial statements for segment and geographic information regarding our business.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are a leading operations management and analytics company that help businesses enhance growth and profitability. Specific elements of our strategy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Deploying our Business EXLerator Framework</w:t>
      </w:r>
      <w:r>
        <w:rPr>
          <w:rFonts w:ascii="Arial" w:cs="Arial" w:eastAsia="Arial" w:hAnsi="Arial"/>
          <w:sz w:val="25"/>
          <w:szCs w:val="25"/>
          <w:color w:val="auto"/>
          <w:vertAlign w:val="superscript"/>
        </w:rPr>
        <w:t>TM</w:t>
      </w:r>
      <w:r>
        <w:rPr>
          <w:rFonts w:ascii="Arial" w:cs="Arial" w:eastAsia="Arial" w:hAnsi="Arial"/>
          <w:sz w:val="18"/>
          <w:szCs w:val="18"/>
          <w:b w:val="1"/>
          <w:bCs w:val="1"/>
          <w:i w:val="1"/>
          <w:iCs w:val="1"/>
          <w:color w:val="auto"/>
        </w:rPr>
        <w:t xml:space="preserve"> in Operations Management</w:t>
      </w:r>
    </w:p>
    <w:p>
      <w:pPr>
        <w:spacing w:after="0" w:line="145" w:lineRule="exact"/>
        <w:rPr>
          <w:sz w:val="20"/>
          <w:szCs w:val="20"/>
          <w:color w:val="auto"/>
        </w:rPr>
      </w:pPr>
    </w:p>
    <w:p>
      <w:pPr>
        <w:jc w:val="both"/>
        <w:ind w:firstLine="392"/>
        <w:spacing w:after="0" w:line="239" w:lineRule="auto"/>
        <w:rPr>
          <w:sz w:val="20"/>
          <w:szCs w:val="20"/>
          <w:color w:val="auto"/>
        </w:rPr>
      </w:pPr>
      <w:r>
        <w:rPr>
          <w:rFonts w:ascii="Arial" w:cs="Arial" w:eastAsia="Arial" w:hAnsi="Arial"/>
          <w:sz w:val="17"/>
          <w:szCs w:val="17"/>
          <w:color w:val="auto"/>
        </w:rPr>
        <w:t>In servicing our Operations Management clients, we differentiate ourselves by using our proprietary and award-winning Business EXLerator Framework</w:t>
      </w:r>
      <w:r>
        <w:rPr>
          <w:rFonts w:ascii="Arial" w:cs="Arial" w:eastAsia="Arial" w:hAnsi="Arial"/>
          <w:sz w:val="24"/>
          <w:szCs w:val="24"/>
          <w:color w:val="auto"/>
          <w:vertAlign w:val="superscript"/>
        </w:rPr>
        <w:t>TM</w:t>
      </w:r>
      <w:r>
        <w:rPr>
          <w:rFonts w:ascii="Arial" w:cs="Arial" w:eastAsia="Arial" w:hAnsi="Arial"/>
          <w:sz w:val="17"/>
          <w:szCs w:val="17"/>
          <w:color w:val="auto"/>
        </w:rPr>
        <w:t>, which is a proprietary delivery model that incorporates industry benchmarks, advanced automation, Lean Six Sigma methodologies, BluePrint methodology, analytics and technology to provide significantly improved business outcomes. Where we have successfully deployed the Business EXLerator Framework</w:t>
      </w:r>
      <w:r>
        <w:rPr>
          <w:rFonts w:ascii="Arial" w:cs="Arial" w:eastAsia="Arial" w:hAnsi="Arial"/>
          <w:sz w:val="24"/>
          <w:szCs w:val="24"/>
          <w:color w:val="auto"/>
          <w:vertAlign w:val="superscript"/>
        </w:rPr>
        <w:t>TM</w:t>
      </w:r>
      <w:r>
        <w:rPr>
          <w:rFonts w:ascii="Arial" w:cs="Arial" w:eastAsia="Arial" w:hAnsi="Arial"/>
          <w:sz w:val="17"/>
          <w:szCs w:val="17"/>
          <w:color w:val="auto"/>
        </w:rPr>
        <w:t>, we have experienced significant increases in the efficiency, accuracy and effectiveness of client operations while simultaneously mitigating risk, creating value and generating business impact. Business EXLerator has helped EXL win new clients as well as increase satisfaction with existing clients. Advanced automation is another key element where we leverage proprietary and partner technologies to drive eliminate work and provide a step-change in the degrees of automation (such as robotics) embedded within the process.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Developing Business Process as a Service (“BPaaS”) Solutions</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have increased our investment and focus in developing BPaaS and technology-enabled product solutions. We believe we are well-positioned to shift part of our servicing model in niche Operations Management services, from our current model to a BPaaS servicing model that offers an integrated technology platform with operations management services. BPaaS services are typically delivered using a transaction-based or outcome-based pricing model and can minimize a client’s initial capital investment on technology. In addition to proprietary solutions, we intend to enter into additional partnerships to develop and take-to-market new BPaaS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Additional Analytics Capabilities and Solution Offerings</w:t>
      </w:r>
    </w:p>
    <w:p>
      <w:pPr>
        <w:spacing w:after="0" w:line="11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continue to invest in our Analytics capabilities by expanding our solution offerings, enhancing the skill sets and training of our team, and developing reusable intellectual property that can be incorporated into our analytics solutions. We intend to further increase our investment in our proprietary methodology solutions and algorithms that help us improve our ability to predict outcomes for our clients to help them capture data signals in a more efficient manner. In order to optimize the way in which we deliver analytics solutions to clients and source the highest quality global talent, we intend to further expand our multi-shore delivery capabilities by adding to our team of professionals in the United States, United Kingdom, Europe, India, Singapore and the Philippines. In addition to hiring directly from educational institutions, we expect to hire additional experienced senior team members in order to deepen our industry expertise and thought leadership.</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intend to further extend our knowledge and capabilities in the industry verticals we serve in order to enhance our reputation as a leading provider of business process solutions. By focusing on transitioning and managing more complex and value-enhancing services we can enhance our capability to serve our clients. In order to market our base of experience externally, we intend to produce additional primary research and opinion pieces in order to enhance our reputation as industry thought leaders.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 Training, and Retaining the Most Talented Professionals</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have instituted an integrated talent management framework through active collaboration between our recruitment, capability development and business HR functions. We deploy innovative methods to recruit, train and retain our skilled employees. We intend to focus on recruiting the right talent and develop them further on relevant competencies through our learning academies, rigorous promotion standards, industry-specific training and competitive compensation packages that include incentive-based compensation. We supplement our scope of operations experience with several industry-specific domain academies to enhance the specialization quotient of our employees.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Cultivating Long-term Relationships and Expanding our Client Base</w:t>
      </w:r>
    </w:p>
    <w:p>
      <w:pPr>
        <w:spacing w:after="0" w:line="225"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62" w:lineRule="exact"/>
        <w:rPr>
          <w:sz w:val="20"/>
          <w:szCs w:val="20"/>
          <w:color w:val="auto"/>
        </w:rPr>
      </w:pPr>
    </w:p>
    <w:p>
      <w:pPr>
        <w:ind w:left="820" w:hanging="4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Increasing the depth and breadth of the services we provide across new client business, functions and geographies</w:t>
      </w:r>
    </w:p>
    <w:p>
      <w:pPr>
        <w:spacing w:after="0" w:line="23" w:lineRule="exact"/>
        <w:rPr>
          <w:rFonts w:ascii="Arial" w:cs="Arial" w:eastAsia="Arial" w:hAnsi="Arial"/>
          <w:sz w:val="18"/>
          <w:szCs w:val="18"/>
          <w:color w:val="auto"/>
        </w:rPr>
      </w:pPr>
    </w:p>
    <w:p>
      <w:pPr>
        <w:ind w:left="820" w:hanging="4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Offering the full suite of EXL services that includes operations management, analytics, consulting and technology</w:t>
      </w:r>
    </w:p>
    <w:p>
      <w:pPr>
        <w:spacing w:after="0" w:line="9" w:lineRule="exact"/>
        <w:rPr>
          <w:rFonts w:ascii="Arial" w:cs="Arial" w:eastAsia="Arial" w:hAnsi="Arial"/>
          <w:sz w:val="18"/>
          <w:szCs w:val="18"/>
          <w:color w:val="auto"/>
        </w:rPr>
      </w:pPr>
    </w:p>
    <w:p>
      <w:pPr>
        <w:ind w:left="820" w:hanging="420"/>
        <w:spacing w:after="0"/>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Supporting our clients’ geographic expansion leveraging our global footprint</w:t>
      </w:r>
    </w:p>
    <w:p>
      <w:pPr>
        <w:spacing w:after="0" w:line="10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intend to build a portfolio of Fortune 500 and Global 2000 companies in our focus industries that have the most complex and diverse processes and, accordingly, stand to benefit significantly from our services. We also intend to initiate long-term relationships with medium-sized companies in our focus industries leveraging our BPaaS and technology offerings.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Global Delivery Footprint and Operational Infrastructure</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intend to further expand and invest in our network of delivery centers to service our clients. In 2015, we opened new operations centers in Gurgaon, India, Bogota, Colombia and Cape Town, South Africa and a sales office in Sydney, Australia. In 2015, the acquisition of RPM added an office in Lambertville, New Jersey.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225"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We intend to continue making selective acquisitions in our focus industry verticals as well as to add to our capabilities. We intend to selectively consider strategic relationships with industry leaders that add new long-term client relationships, enhance the depth and breadth of our services and complement our business strategy. We also intend to selectively consider partnerships, alliances or investments that will expand the scope and effectiveness of our services by adding proprietary technology assets and intellectual property, adding new clients or allowing us to enter new geographic markets.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Management</w:t>
      </w:r>
    </w:p>
    <w:p>
      <w:pPr>
        <w:spacing w:after="0" w:line="225"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Business Process Management (“BPM”) service providers work with clients to transfer their key business processes to reduce costs, improve process quality, handle increased transaction volumes and reduce redundancy. BPM providers can enable organizations to enhance profitability and increase efficiency and reliability, permitting them to concentrate on their core areas of competence. BPM is a long-term strategic commitment for a company that, once implemented, is generally not subject to cyclical spending or information technology budget fluctuations. Increased global demand, cost improvements in international communications and the automation of many business services have created a significant opportunity for BPM providers with offshore delivery capabilities, and many companies are moving select office processes to providers with the capacity to perform these functions from overseas locations. We believe the demand for BPM services will be primarily led by industries that are transaction-driven and that require significant customer interactions.</w:t>
      </w:r>
    </w:p>
    <w:p>
      <w:pPr>
        <w:spacing w:after="0" w:line="192"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According to India’s National Association of Software and Service Companies (“NASSCOM”), an industry trade organization, exports from India in the information technology and BPM industry are expected to grow at 12.3% year-over-year in the fiscal year ending March 31, 2016 and expects 10%-12% growth in the fiscal year ending March 31, 2017. According to International Data Corporation, (“IDC”), an industry market intelligence advisory firm, BPM should grow at over 14% from 2015-2018.</w:t>
      </w:r>
    </w:p>
    <w:p>
      <w:pPr>
        <w:spacing w:after="0" w:line="187"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Companies are increasingly looking to BPM service providers to provide a suite of analytics services including statistical tools, models and techniques to clean, organize and examine structured and unstructured corporate data. This data is then used by companies to generate specific business-related analysis and insights into their business and prospects.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BPM service providers who can develop industry-specific analytics expertise are especially well poised to benefit from this global trend.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believe the demand for Analytics solutions in many of our key verticals, including banking and financial services, insurance and healthcare, is growing strongly and will continue to do so for the next several years. According to NASSCOM, Analytics services outsourcing growth is expected to be 14.3% from a $42 billion market in 2012 to $71 billion in 2016. India has emerged as a leading delivery location for analytics, driven by a large quantitatively-trained workforce and attractive cost efficiencies, as compared to other locations.</w:t>
      </w:r>
    </w:p>
    <w:p>
      <w:pPr>
        <w:sectPr>
          <w:pgSz w:w="11900" w:h="16838" w:orient="portrait"/>
          <w:cols w:equalWidth="0" w:num="1">
            <w:col w:w="11420"/>
          </w:cols>
          <w:pgMar w:left="240" w:top="337"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37"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Client Management</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and EXL consulting. Our sales and client management teams operate from the U.S., Europe and Australia and are supported by our business development team.</w:t>
      </w:r>
    </w:p>
    <w:p>
      <w:pPr>
        <w:spacing w:after="0" w:line="18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Our sales, marketing and business development teams are responsible for new client acquisitions, public relations, relations with outsourcing advisory companies, analyst relations and rankings, lead generation, knowledge management, content development, campaign management, digital/web presence, brand awareness and participation in industry forums and conferences. As of December 31, 2015, we employed nearly 100 sales, marketing, business development and client management professionals with the majority of them based in either the U.S. or Europe. Our professionals generally have significant experience in business process solutions, technology, operations, analytics and consulting.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EXL generated revenues from over 700 clients in 2015 and over 600 clients in 2014.</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Our top three, five and ten clients generated 17.3%, 25.0% and 40.5% of our revenues, respectively, in 2015. Our top three, five and ten clients generated 20.5%, 29.4% and 47.4% of our revenues, respectively, in 2014. No client accounted for more than 10% of our total revenues in 2015 or 2014. While we have reduced our revenue concentration with our top clients and are developing relationships with new clients to diversify our client base, we believe that the loss of any of our ten largest clients could have a material adverse effect on our financial performance. See “Item 1A. Risk Factors-Risks Related to Our Business-We have a limited number of clients and provide services to a few industries.”</w:t>
      </w:r>
    </w:p>
    <w:p>
      <w:pPr>
        <w:spacing w:after="0" w:line="17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long-term relationships with our clients typically evolve from providing a single, discrete solution or process into providing a series of complex, integrated processes across multiple business lines. For Operations Management services, we enter into long-term agreements with our clients with typical initial terms of between three and five years. Agreements for Analytics services are either project based or having shorter initial terms, which are typically between one to three years. Each agreement is individually negotiated with the client.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Competition in the BPM services industry is intense and growing. See “Item 1A. Risk Factors-Risks Related to Our Business-We face significant competition from U.S.-based and non-U.S.-based BPM and information technology (“IT”) companies and from our clients, who may build shared services centers to perform these services themselves, either in-house, in the U.S. or through offshore groups or other arrangements.” Many companies, including certain of our clients, choose to perform some or all of their customer-facing and back-office processes internally, utilizing their own employees to provide these services as part of their regular business operations. Some companies have moved portions of their in-house customer management functions offshore, including to offshore affiliates. We believe our key advantage over in-house business processes management is that we provide companies the opportunity to focus on their core products and markets while we focus on service delivery and operational excellence. We compete primarily against:</w:t>
      </w:r>
    </w:p>
    <w:p>
      <w:pPr>
        <w:spacing w:after="0" w:line="59" w:lineRule="exact"/>
        <w:rPr>
          <w:sz w:val="20"/>
          <w:szCs w:val="20"/>
          <w:color w:val="auto"/>
        </w:rPr>
      </w:pPr>
    </w:p>
    <w:p>
      <w:pPr>
        <w:ind w:left="820" w:hanging="420"/>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BPM service companies with delivery capability in offshore locations, particularly India, such as Genpact Limited and WNS (Holdings) Limited;</w:t>
      </w:r>
    </w:p>
    <w:p>
      <w:pPr>
        <w:spacing w:after="0" w:line="46" w:lineRule="exact"/>
        <w:rPr>
          <w:rFonts w:ascii="Arial" w:cs="Arial" w:eastAsia="Arial" w:hAnsi="Arial"/>
          <w:sz w:val="16"/>
          <w:szCs w:val="16"/>
          <w:color w:val="auto"/>
        </w:rPr>
      </w:pPr>
    </w:p>
    <w:p>
      <w:pPr>
        <w:ind w:left="820" w:hanging="420"/>
        <w:spacing w:after="0"/>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BPM divisions of large global IT service companies, such as Accenture, Cognizant Technology Solutions, Infosys and Tata Consultancy Services;</w:t>
      </w:r>
    </w:p>
    <w:p>
      <w:pPr>
        <w:spacing w:after="0" w:line="32" w:lineRule="exact"/>
        <w:rPr>
          <w:rFonts w:ascii="Arial" w:cs="Arial" w:eastAsia="Arial" w:hAnsi="Arial"/>
          <w:sz w:val="16"/>
          <w:szCs w:val="16"/>
          <w:color w:val="auto"/>
        </w:rPr>
      </w:pPr>
    </w:p>
    <w:p>
      <w:pPr>
        <w:ind w:left="820" w:hanging="4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Niche providers that provide services in a specific geographic market, industry or service area such as analytics or healthcare; and</w:t>
      </w:r>
    </w:p>
    <w:p>
      <w:pPr>
        <w:spacing w:after="0" w:line="9" w:lineRule="exact"/>
        <w:rPr>
          <w:rFonts w:ascii="Arial" w:cs="Arial" w:eastAsia="Arial" w:hAnsi="Arial"/>
          <w:sz w:val="18"/>
          <w:szCs w:val="18"/>
          <w:color w:val="auto"/>
        </w:rPr>
      </w:pPr>
    </w:p>
    <w:p>
      <w:pPr>
        <w:ind w:left="820" w:hanging="420"/>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03"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We compete against these entities by working to establish ourselves as a service provider with deep industry expertise, strong client relationships, leading industry talent, superior operational and process capabilities, differentiated technology and BPaaS solutions, and sophisticated analytic and consulting capabilities, which enable us to respond rapidly to market trends and the evolving needs of our clients.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Our principal intellectual property consists of, proprietary and licensed platforms, trade secrets, know-how of our management and employees, trademarks, copyrighted software and other materials, patents and pending patent applications. We have several registered trademarks and logos and pending trademark applications with the U.S. Patent and Trademark Office and certain foreign jurisdictions. We consider our business processes and implementation methodologies to be trade secrets or confidential proprietary information. Clients and business partners sign nondisclosure agreements requiring confidential treatment of our information. Our employees are required to sign work-for-hire and confidentiality covenants as a condition to their employment.</w:t>
      </w:r>
    </w:p>
    <w:p>
      <w:pPr>
        <w:spacing w:after="0" w:line="15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addition to our own proprietary and licensed software, tools and methodologies, to provide our services we use software licensed by us from third parties, as well as software licensed by our clients from third parties and available on their systems. We customarily enter into licensing and nondisclosure agreements with our clients and third parties with respect to the use of their software systems and platforms.</w:t>
      </w:r>
    </w:p>
    <w:p>
      <w:pPr>
        <w:spacing w:after="0" w:line="18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contracts usually specify that EXL will use or develop proprietary tools during a client engagement that will be owned by EXL, or may provide that intellectual property created during an engagement for a client will be considered to be “work for hire” for the client, but we typically retain a license or future rights with respect to such work product.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 and Data Privacy</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have a strong focus on information security, data privacy and the protection of our clients’ and their customers’ confidential information. We have made significant investments to strengthen our information security posture and protocols to ensure compliance with the established confidentiality policies and the laws and regulations governing our activities. These investments involve ensuring we have the appropriate people, processes and technology in place to protect information throughout its life cycle.</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seek to protect our clients’ information and adhere to information security and data privacy standards. In 2015, EXL received an award for excellence in information security by industry association NASSCOM and the Data Security Council of India (“DSCI”). This award recognized EXL as an “industry leader” in the BPM category for our industry initiatives in information security.</w:t>
      </w:r>
    </w:p>
    <w:p>
      <w:pPr>
        <w:spacing w:after="0" w:line="73" w:lineRule="exact"/>
        <w:rPr>
          <w:sz w:val="20"/>
          <w:szCs w:val="20"/>
          <w:color w:val="auto"/>
        </w:rPr>
      </w:pPr>
    </w:p>
    <w:p>
      <w:pPr>
        <w:ind w:right="120" w:firstLine="392"/>
        <w:spacing w:after="0" w:line="293" w:lineRule="auto"/>
        <w:rPr>
          <w:sz w:val="20"/>
          <w:szCs w:val="20"/>
          <w:color w:val="auto"/>
        </w:rPr>
      </w:pPr>
      <w:r>
        <w:rPr>
          <w:rFonts w:ascii="Arial" w:cs="Arial" w:eastAsia="Arial" w:hAnsi="Arial"/>
          <w:sz w:val="16"/>
          <w:szCs w:val="16"/>
          <w:color w:val="auto"/>
        </w:rPr>
        <w:t>According to the needs of our clients as well as the regulatory requirements of the geographies in which we operate, most of our delivery centers are certified in regard to quality, information security and employee safety, such as the ISO 9001:2008 standard for quality management system, the ISO 27001:2013 standard for our information security management system and the OHSAS 18001:2007 standard for our occupational health and safety management system. Some of our centers in the Philippines and certain client processes in other operation centers in India are certified as compliant with the Payment Card Industry Data Security Standard 3 (PCI-DSS) requirements. Our South Africa delivery center is also certified to latest PCI-DSS v3.1 requirements. We engage independent firms to conduct General Controls and business process specific SSAE 16 (SOC I - Type II) assessments.</w:t>
      </w:r>
    </w:p>
    <w:p>
      <w:pPr>
        <w:spacing w:after="0" w:line="232"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EXL offers managed hosting environments for our BPaaS solutions in the insurance and healthcare verticals. Clients who adopt our BPaaS solutions on a managed hosted basis are offered a highly reliable, scalable, and secure hosting environment. The technology applications are hosted in ISO 27001certified, SSAE16 SOC1 Compliant Tier 4 data centers that are proactively monitored and managed 24 hours a day to meet the client’s business requirements.</w:t>
      </w:r>
    </w:p>
    <w:p>
      <w:pPr>
        <w:spacing w:after="0" w:line="14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have a robust, wide area network and international telecommunications capacity to support our global business operations. Our infrastructure is built to industry standards, leveraging leading technology providers and partners. Our business continuity management includes plans to mitigate and manage operational risks by building resilience and redundancy in our telecommunications and network infrastructure, applications and IT infrastructure, utilities and power, and trained talent across our service delivery locations.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of December 31, 2015, we had a headcount of approximately 24,100 employees, with approximately 17,200 employees based in India and approximately 4,400 employees in the Philippines. We have approximately 1,700 employees in the U.S, 100 employees in the U.K., and 700 employees in the Czech Republic, Bulgaria, Romania and other geographies. None of our employees are unionized. We have never experienced any work stoppages and believe that we enjoy good employee relations.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Hiring and Recruiting</w:t>
      </w:r>
    </w:p>
    <w:p>
      <w:pPr>
        <w:spacing w:after="0" w:line="229"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employees are critical to the success of our business. Accordingly, we focus on recruiting, training and retaining our professionals. We have developed effective strategies that enable an efficient recruitment process. We have approximately 100 employees dedicated to recruitment. Some of the strategies we have adopted to increase efficiency in our hiring practices include the utilization of online voice assessments and a centralized hiring center. Our hiring policies focus on identifying high quality employees who demonstrate a propensity for learning, contribution to client services and growth. Candidates must undergo numerous tests and interviews before we extend offers for employment. We also conduct background checks on candidates, including criminal background checks, where permitted and as required by clients or on a sample basis. In addition, where permitted and required for client services, we perform random drug testing on the workforce on a regular basis.</w:t>
      </w:r>
    </w:p>
    <w:p>
      <w:pPr>
        <w:spacing w:after="0" w:line="17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that are located within some of our operations centers. Our attrition rate for employees who had been with EXL for more than 180 days was 33.3% and 32.3% for the years ended December 31, 2015 and 2014, respectively. As competition in our industry increases, our turnover rate could increase.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Capability Development and Training</w:t>
      </w:r>
    </w:p>
    <w:p>
      <w:pPr>
        <w:spacing w:after="0" w:line="189"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We have a strong focus on the capability development and training of our employees. We have built up a world class global learning capability, which we believe acts as a crucial differentiator for us in the marketplace and amongst our employees. Our learning and development teams partner with business units and corporate functions to create an integrated talent development process focusing on skill development, the needs of our clients and industry certification. This creates thought leaders with high industry acumen who are better able to address our clients’ requirements. We also provide a career linked learning path to our employees from new hires to tenured employees to senior levels of leadership. We have created several proprietary academies to enhance our domain expertise in our employees and to build specialization, across our verticals including our Insurance Academy, Travel Academy, Finance and Accounting Academy, Healthcare Academy and our Analytics Academy. Our training includes behavioral and functional components to enhance and ensure job readiness as well as also boosting ongoing productivity and effectiveness. We have a global presence catering to the specific learning requirements of each geography. We provide learning through our blended learning methodology comprising of classroom, on the job coaching and technology led learning.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Because of the diverse and highly complex nature of our service offerings, our operations are subject to a variety of rules, regulations and statutes in the countries where we have operations and where we deliver services. Several U.S. and foreign federal and state agencies regulate aspects of our business. In addition, our clients may contractually require that we comply with certain rules and regulations that are applicable to their specific industry. Failure to comply with any applicable laws and regulations could result in restrictions on our ability to provide our products and services, as well as the imposition of civil fines and criminal penalties, which could have a material adverse effect on our operations.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337"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are one of the few service providers that can provide third-party administrator insurance services from India and the Philippines and are currently able to provide such services for 45 states and 16 states, respectively. Additionally, we are licensed or otherwise eligible to provide third-party administrator services in all states within the U.S. Certain of our debt collection, utilization review, workers compensation utilization review and telemarketing services require us to maintain licenses in various jurisdictions or require certain categories of our professionals to be individually licensed. Our facility in Manila, Philippines, is accredited by Utilization Review Accreditation Commission (“URAC”), a leading healthcare and education accreditation organization. We continue to obtain licenses required from time to time by our business operations.</w:t>
      </w:r>
    </w:p>
    <w:p>
      <w:pPr>
        <w:spacing w:after="0" w:line="17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Our operations are also subject to compliance with a variety of other laws, including the U.S. federal and state regulations that apply to certain portions of our business such as the Fair Credit Reporting Act, the Gramm-Leach-Bliley Act, the Health Insurance Portability and Accountability Act of 1996, the Health Information Technology for Economics and Clinical Health Act of 2009 (“HITECH”), the Truth in Lending Act, the Fair Credit Billing Act, the Federal Trade Commission Act and Federal Deposit Insurance Corporation rules and regulations. We must also comply with applicable regulations relating to health and other personal information that we process as part of our services. Additionally, our client contracts may specify other regulatory requirements we must meet in connection with the services we provide. We provide our employees with training for applicable laws and regulations.</w:t>
      </w:r>
    </w:p>
    <w:p>
      <w:pPr>
        <w:spacing w:after="0" w:line="70"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We benefit from tax relief provided by laws and regulations in India and the Philippines. Regulation of our business by the Indian government affects us in several ways. During the last several years, we either established or acquired new centers that are eligible for tax benefits under the Special Economic Zones Act, 2005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 See “Item 1A - Risk Factors - Risks related to the International nature of our business - Our financial condition could be negatively affected if foreign governments introduce new legislation, reduce or withdraw tax benefits and other incentives currently provided to companies within our industry or if we are not eligible for these benefits.”</w:t>
      </w:r>
    </w:p>
    <w:p>
      <w:pPr>
        <w:spacing w:after="0" w:line="129" w:lineRule="exact"/>
        <w:rPr>
          <w:sz w:val="20"/>
          <w:szCs w:val="20"/>
          <w:color w:val="auto"/>
        </w:rPr>
      </w:pPr>
    </w:p>
    <w:p>
      <w:pPr>
        <w:jc w:val="both"/>
        <w:ind w:right="20" w:firstLine="392"/>
        <w:spacing w:after="0" w:line="279" w:lineRule="auto"/>
        <w:rPr>
          <w:sz w:val="20"/>
          <w:szCs w:val="20"/>
          <w:color w:val="auto"/>
        </w:rPr>
      </w:pPr>
      <w:r>
        <w:rPr>
          <w:rFonts w:ascii="Arial" w:cs="Arial" w:eastAsia="Arial" w:hAnsi="Arial"/>
          <w:sz w:val="17"/>
          <w:szCs w:val="17"/>
          <w:color w:val="auto"/>
        </w:rPr>
        <w:t>We also benefit from a corporate tax holiday in the Philippines for our operations centers established there over the last several years. The Company registered with the Philippines Economic Zone Authority (“PEZA”) and is inter-alia, eligible for income tax exemption for four years. This exemption incentive may be extended in certain instances upon fulfillment of certain conditions. Following the expiry of the tax exemption, income generated from centers in Philippines will be taxed at the prevailing annual tax rate, which is currently 5.0% on the gross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under the Securities Exchange Act of 1934, as amended (the “Exchange 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4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also maintain a website at http://www.exlservice.com. Information on our website does not constitute a part of, nor is it incorporated in any way, into this Form 10-K.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number of clients and provide services to a few industries.</w:t>
      </w:r>
    </w:p>
    <w:p>
      <w:pPr>
        <w:spacing w:after="0" w:line="293"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We have derived and believe that we will continue to derive a substantial portion of our total revenues from a limited number of large clients. We expect that a significant portion of our total revenues will continue to be contributed by a limited number of large clients in the near future.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could be adversely affected by economic and political conditions and the effects of these conditions on our clients’ businesses and levels of business activity.</w:t>
      </w:r>
    </w:p>
    <w:p>
      <w:pPr>
        <w:spacing w:after="0" w:line="23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Global economic and political conditions affect our clients’ businesses and the markets they serve. The domestic and international capital and credit markets have been experiencing volatility and disruption for the past several years, resulting in uncertainty in the financial markets in general, which includes companies in the banking, financial services and insurance industries to which we provide services. Although there has been recent improvement in general economic conditions in these industries, there can be no assurance that the economic environment will continue to improve. Our business largely depends on continued demand for our services from clients and potential clients in these industries. Adverse developments in these industries or any other select industries to which we provide services could further unfavorably affect our business. In particular, we currently derive, and are likely to continue to derive, a significant portion of our revenues from clients located in the U.S. Any future decreases in the general level of economic activity, such as decreases in business and consumer spending, could result in a decrease in demand for our services, particularly our analytics and consulting services, thus reducing our revenues. Weakness in the U.S. labor could also adversely affect the demand for our services. Other developments in response to economic events, such as consolidations, restructurings or reorganizations, particularly involving our clients, could also cause the demand for our services to decline.</w:t>
      </w:r>
    </w:p>
    <w:p>
      <w:pPr>
        <w:spacing w:after="0" w:line="34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Any future disruptions in the commercial credit markets may impact liquidity in the global credit market as greatly, or even more, than in recent years, and we may not be able to predict the impact such worsening conditions will have on our targeted industries in general, and our results of operations specifically. Future turbulence in global markets and economies may adversely affect our liquidity and financial condition, and the liquidity and financial condition of our clients. Market disruptions may limit our ability to access financing or increase our cost of financing to meet liquidity needs, and affect the ability of our customers to use credit to purchase our services or to make timely payments to us, resulting in adverse effects on our financial condition and results of operations. Changes in global economic conditions could also shift demand to services for which we do not have competitive advantages, and this could negatively affect the amount of business that we are able to obtain.</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client contracts contain certain termination and other provisions that could have an adverse effect on our business, results of operations, financial condition and cash flows.</w:t>
      </w:r>
    </w:p>
    <w:p>
      <w:pPr>
        <w:spacing w:after="0" w:line="23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33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financial condition and cash flows.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by us to our clients which in turn could have a material adverse effect on our business, results of operations, financial condition and cash flows. Some of our contracts with clients specify that if a change of control of our company occurs during the term of the contract, the client has the right to terminate the contract. These provisions may result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our contracts being terminated if there is such a change in control, resulting in a potential loss of revenues. In addition, these provisions may act as a deterrent to any attempt by a third party to acquire our company.</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23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industry is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 These additional costs could have a material adverse effect on our results of operations and cash flows.</w:t>
      </w:r>
    </w:p>
    <w:p>
      <w:pPr>
        <w:spacing w:after="0" w:line="35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long selling cycle for our operations management services that requires significant funds and management resources and a long implementation cycle that requires significant resource commitments.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have a long selling cycle for our operations management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3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2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we are engaged by a client after the selling process for our operations management services, it takes from four to six weeks to integrate the client’s systems with ours, and up to three months thereafter to build up our services to the client’s requirements and perform any necessary transformative initiatives.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37"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typically enter into long-term contracts with our clients, and our failure to accurately estimate the resources and time required for our contracts may negatively affect our revenues, cash flows and profitability.</w:t>
      </w:r>
    </w:p>
    <w:p>
      <w:pPr>
        <w:spacing w:after="0" w:line="2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initial terms of our operations management contracts typically range from three to five years. In many of our operations management contracts we commit to long-term pricing with our clients and therefore bear the risk of cost overruns, completion delays, wage inflation and adverse movements in exchange rates in connection with these contracts. If we fail to estimate accurately the resources and time required for a contract,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clients. If we are unable to adjust our pricing terms or the mix of products and services we provide to meet the changing demands of our clients and potential clients, our business, results of operations, financial condition and cash flows may be adversely affected.</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significant portion of our contracts use a pricing model that provides for hourly or annual billing rates. Industry pricing models are evolving, however, and we anticipate that clients may increasingly request transaction-based, outcome-based or other pricing models. If we are unable to obtain operating efficiencies or if we make inaccurate assumptions for contacts with transaction-based pricing,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36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addition, the services we provide to our clients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operations management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will suffer if we are not able to appropriately price our services or manage our asset utilization levels.</w:t>
      </w:r>
    </w:p>
    <w:p>
      <w:pPr>
        <w:spacing w:after="0" w:line="2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profitability is largely a function of the efficiency with which we utilize our assets,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cash flows and financial condition.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analytics and consulting services are cyclical and based on specific projects involving short-term contracts.</w:t>
      </w:r>
    </w:p>
    <w:p>
      <w:pPr>
        <w:spacing w:after="0" w:line="2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analytics and consulting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analytics and consulting services business.</w:t>
      </w:r>
    </w:p>
    <w:p>
      <w:pPr>
        <w:spacing w:after="0" w:line="2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project based analytics and consulting services consists of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analytics and consulting services.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37"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4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 depending on when we complete the implementation phase with new clients. The completion of implementation varies significantly based upon the complexity of the processes being implemented.</w:t>
      </w:r>
    </w:p>
    <w:p>
      <w:pPr>
        <w:spacing w:after="0" w:line="364"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fluctuations, seasonal changes in the operations of our clients and other events identified in this Annual Report on Form 10-K. Our revenues are also affected by changes in pricing under our contracts at the time of renewal or by pricing under new contracts. In addition, most of our contracts do not commit our clients to provide us with a specific volume of business. Further, 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whereas revenues from new license sales and implementation projects have a long selling cycle and it is difficult to predict the timing of when such new contracts will be signed which may lead to fluctuations in our short term revenues. All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2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Rohit Kapoor,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23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200" w:lineRule="exact"/>
        <w:rPr>
          <w:sz w:val="20"/>
          <w:szCs w:val="20"/>
          <w:color w:val="auto"/>
        </w:rPr>
      </w:pPr>
    </w:p>
    <w:p>
      <w:pPr>
        <w:spacing w:after="0" w:line="2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operations, results of operations and financial condition.</w:t>
      </w:r>
    </w:p>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Since we were founded in April 1999, we have experienced rapid growth and significantly expanded our operations. We have several operations centers in India, the U.S., the Philippines and an operations center in each of South Africa, Colombia, Bulgaria, Romania, and the Czech Republic. Further, we acquired multiple regional offices in the U.S. as part of our acquisitions. Our headcount has increased significantly over the past several years. We expect to develop and improve our internal systems in the locations where we operate in order to address the anticipated continued growth of our business.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We also need to manage cultural differences between our employee populations and that may create a risk for employment law claims. Our inability to execute our growth strategy, to ensure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continued adequacy of our current systems or to manage our expansion effectively could have a material adverse effect on our business, results of operations, financial condition and cash flows.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2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We have completed several acquisitions since our inception in April 1999.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36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3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intellectual property of an acquired business may be an important component of the value that we agree to pay for such a business. However,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3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do complete may not result in long-term benefits to us.</w:t>
      </w:r>
    </w:p>
    <w:p>
      <w:pPr>
        <w:spacing w:after="0" w:line="3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completion of an acquisition,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the entire book value of goodwill and other intangible assets from acquisitions.</w:t>
      </w:r>
    </w:p>
    <w:p>
      <w:pPr>
        <w:spacing w:after="0" w:line="2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periodically assess our goodwill and intangible assets to determine if they are impaired and we monitor for impairment of goodwill relating to all acquisitions. Goodwill is not amortized but is tested for impairment at least once on an annual basis as of October 1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an assessment of qualitative factors to determine whether the existence of events or circumstances leads to a determination that it is more likely than not that the fair value of a reporting unit is less than its carrying amount. Based on the results of the qualitative assessment, we perform the quantitative assessment of goodwill impairment if we determine that it is more likely than not that the fair value of a reporting unit is less than its carrying amount. In the event that the book value of goodwill is impaired, any such impairment would be charged to earnings in the period of impairment. We cannot assure you that future impairment of goodwill will not have a material adverse effect on our business, financial condition or results of operations.</w:t>
      </w:r>
    </w:p>
    <w:p>
      <w:pPr>
        <w:spacing w:after="0" w:line="200" w:lineRule="exact"/>
        <w:rPr>
          <w:sz w:val="20"/>
          <w:szCs w:val="20"/>
          <w:color w:val="auto"/>
        </w:rPr>
      </w:pPr>
    </w:p>
    <w:p>
      <w:pPr>
        <w:spacing w:after="0" w:line="2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If </w:t>
      </w:r>
      <w:r>
        <w:rPr>
          <w:rFonts w:ascii="Arial" w:cs="Arial" w:eastAsia="Arial" w:hAnsi="Arial"/>
          <w:sz w:val="18"/>
          <w:szCs w:val="18"/>
          <w:b w:val="1"/>
          <w:bCs w:val="1"/>
          <w:i w:val="1"/>
          <w:iCs w:val="1"/>
          <w:color w:val="auto"/>
        </w:rPr>
        <w:t>we are unable to collect our receivables from, or bill our unbilled services to, our clients, our results of operations and cash flows could be adversely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affected.</w:t>
      </w:r>
    </w:p>
    <w:p>
      <w:pPr>
        <w:spacing w:after="0" w:line="2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There is no assurance that we will accurately assess the creditworthiness of our clients. Macroeconomic conditions, such as any domestic or global credit crisis and disruption or the global financial system, could also</w:t>
      </w:r>
    </w:p>
    <w:p>
      <w:pPr>
        <w:sectPr>
          <w:pgSz w:w="11900" w:h="16838" w:orient="portrait"/>
          <w:cols w:equalWidth="0" w:num="1">
            <w:col w:w="11420"/>
          </w:cols>
          <w:pgMar w:left="240" w:top="337"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337"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2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most significant costs are the salaries and related benefits of our operations staff and other employees. For example, wage costs in India have historically been significantly lower than wage costs in the U.S. and Europe for comparably skilled professionals, which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analytics and consulting services than for employees performing operations management services. As the scale of our analytics and consulting services increases, wages as a percentage of revenues will likely increase. To the extent that we are not able to control or share wage increases with our clients, wage increases may reduce our margins. We will attempt to control such costs by our efforts to add capacity in locations where we consider wage levels of skilled personnel to be satisfactory, but we may not be successful in doing so.</w:t>
      </w:r>
    </w:p>
    <w:p>
      <w:pPr>
        <w:spacing w:after="0" w:line="3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face significant competition from U.S.-based and non-U.S.-based BPM and IT companies and from our clients, who may build shared services centers to perform these services themselves, either in-house, in the U.S. or through offshore groups or other arrangements.</w:t>
      </w:r>
    </w:p>
    <w:p>
      <w:pPr>
        <w:spacing w:after="0" w:line="21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operating margins, which could harm our business, results of operations, financial condition and cash flows.</w:t>
      </w:r>
    </w:p>
    <w:p>
      <w:pPr>
        <w:spacing w:after="0" w:line="35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financial condition and cash flows.</w:t>
      </w: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w:t>
      </w:r>
    </w:p>
    <w:p>
      <w:pPr>
        <w:sectPr>
          <w:pgSz w:w="11900" w:h="16838" w:orient="portrait"/>
          <w:cols w:equalWidth="0" w:num="1">
            <w:col w:w="11420"/>
          </w:cols>
          <w:pgMar w:left="240" w:top="33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37"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delivering services to our clients could disrupt the client’s business and result in a reduction in revenues or a claim for damages against us. Additionally, we could incur certain liabilities if a process we manage for a client were to result in internal control failures or processing errors, or impair our client’s ability to comply with its own internal control requirements.</w:t>
      </w:r>
    </w:p>
    <w:p>
      <w:pPr>
        <w:spacing w:after="0" w:line="24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cash flows and harm our business.</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contractual limitations on liability with our clients and third parties may not be enforceable.</w:t>
      </w:r>
    </w:p>
    <w:p>
      <w:pPr>
        <w:spacing w:after="0" w:line="29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are generally not limited under those agreements. Because our agreements are governed by laws of multiple jurisdictions, the interpretation of certain provisions, and the availability of certain defenses to us, may vary, which, in certain circumstances, may contribute to uncertainty as to the scope of our potential liability.</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if we incur legal liability, including with respect to our contractual obligations, in connection with providing our solutions and services.</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fail to meet our contractual obligations or otherwise breach obligations to our clients, we could be subject to legal liability. We may enter into non-standard agreements because we perceive an important economic opportunity by doing so or because our personnel did not adequately adhere to our guidelines. In addition, the contracting practices of our competitors may cause contract terms and conditions that are unfavorable to us to become standard in the marketplace. If we cannot or do not perform our obligations, we could face legal liability and our contracts might not always protect us adequately through limitations on the scope and/or amount of our potential liability. If we cannot, or do not, meet our contractual obligations to provide solutions and services, and if our exposure is not adequately limited through the enforceable terms of our agreements, we might face significant legal liability and our business could be adversely affected.</w:t>
      </w: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success depends in part on certain methodologies, practices, tools and technical expertise we utilize in providing our services. We engage in designing, developing, implementing and maintaining applications and other proprietary materials. In order to protect our rights in these various materials, we may seek protection under trade secret, patent, copyright and trademark laws. We also generally enter into confidentiality and nondisclosure agreements with our clients and potential clients, and third party vendors, and seek to limit access to and distribution of our proprietary information. For our employees and independent contractors, we generally require confidentiality and work-for-hire agreements. These measures may not prevent misappropriation or infringement of our intellectual property or proprietary information and a resulting loss of competitive advantage. Additionally, we may not be successful in obtaining or maintaining patents or trademarks for which we have applied.</w:t>
      </w:r>
    </w:p>
    <w:p>
      <w:pPr>
        <w:spacing w:after="0" w:line="3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patents or other means,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3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competitors or others may allege that our systems, processes, marketing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w:t>
      </w:r>
    </w:p>
    <w:p>
      <w:pPr>
        <w:sectPr>
          <w:pgSz w:w="11900" w:h="16838" w:orient="portrait"/>
          <w:cols w:equalWidth="0" w:num="1">
            <w:col w:w="11420"/>
          </w:cols>
          <w:pgMar w:left="240" w:top="337"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37"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8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infringement arising from materials that we have provided to the clients in connection with our services and deliverables. We may not be successful in defending against any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 technology development expenses, or pay significant monetary damages. Any such claim for intellectual property infringement may have a material adverse effect on our business, results of operations, financial condition and cash flows.</w:t>
      </w:r>
    </w:p>
    <w:p>
      <w:pPr>
        <w:spacing w:after="0" w:line="35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and changing laws, corporate governance and public disclosure requirements add uncertainty to our compliance policies and increase our costs of compliance.</w:t>
      </w:r>
    </w:p>
    <w:p>
      <w:pPr>
        <w:spacing w:after="0" w:line="2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Changing laws, regulations and standards relating to accounting, corporate governance and public disclosure, including the Sarbanes-Oxley Act of 2002, the Dodd-Frank Wall Street Reform and Consumer Protection Act, other SEC regulations, Consumer Financial Protection Bureau, Public Company Accounting Oversight Board, the NASDAQ Global Select Market rules, and generally accepted accounting principles issued by the Financial Accounting Standards Board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23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particular, our efforts to comply with Section 404 of the Sarbanes-Oxley Act of 2002 and the related regulations regarding our required assessment of our internal controls over financial reporting and our external auditors’ audit of that assessment requires the commitment of significant financial and managerial resources. We consistently assess the adequacy of our internal controls over financial reporting, remediate any control deficiencies that may be identified, and validate through testing that our controls are functioning as documented. While we do not anticipate any material weaknesses, if management or our independent auditor fail in the future to provide us with an unqualified report as to the adequacy and effectiveness, respectively, of our internal controls over financial reporting for future year ends, it could result in adverse consequences to us, including, but not limited to, a loss of investor confidence in the reliability of our financial statements, which could cause the market price of our stock to decline.</w:t>
      </w:r>
    </w:p>
    <w:p>
      <w:pPr>
        <w:spacing w:after="0" w:line="3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306"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7"/>
          <w:szCs w:val="17"/>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We also could be sued directly for claims that could be significant, such as claims related to breaches of privacy or network security, infringement of intellectual property rights, violation of wage and hour laws, or systemic discrimination. Although we have general liability insurance coverage, including coverage for errors or omissions,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reputation, results of operations, financial condition and cash flows.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337"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increase the range of services that we provide to our clients and our business and future prospects are difficult to evaluate.</w:t>
      </w:r>
    </w:p>
    <w:p>
      <w:pPr>
        <w:spacing w:after="0" w:line="2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are exploring opportunities to provide services that we have not provided to date. Should we decide to expand our service offerings, our results of operations may be negatively affected during any transition or growth period before such offerings achieve profitability. For example, we may need to expand our training of our existing employees or recruit new, specially-trained employees to provide these services, which could increase our costs of revenues disproportionately to the revenues generated by such services. Other challenges we may face include the diversion of our management’s attention, attracting and retaining clients for such services, integrating any new services into our current suite of services and managing any resulting growth in our operations.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293"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Our clients’ business operations are often subject to regulation, and our clients may require that we perform our services in a manner that will enable them to comply with applicable regulations. Our clients are located around the world, and the laws and regulations that apply include, among others, United States federal laws such as the Gramm-Leach-Bliley Act and the Health Insurance Portability and Accountability Act, the Health Information Technology for Economic and Clinical Health Act, state laws on third party administration services, utilization review services, telemarketing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permits and licenses for the conduct of our business in all jurisdictions in which we have operations, including India, and, in some cases, where our clients receive our services, including the United States and Europe. If we do not maintain our licenses or other 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financial condition and cash flows.</w:t>
      </w:r>
    </w:p>
    <w:p>
      <w:pPr>
        <w:spacing w:after="0" w:line="200" w:lineRule="exact"/>
        <w:rPr>
          <w:sz w:val="20"/>
          <w:szCs w:val="20"/>
          <w:color w:val="auto"/>
        </w:rPr>
      </w:pPr>
    </w:p>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difficulties in delivering complex and large projects for our clients that could cause clients to discontinue their work with us, which in turn could harm our business.</w:t>
      </w:r>
    </w:p>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expanding the nature and scope of our engagements. Our ability to effectively offer a wider breadth of end-to-end business solutions depends on our ability to attract existing or new clients to these expanded service offerings. To obtain engagements for such complex and large projects, we also are more likely to compete with large, well-established international consulting firms, resulting in increased competition and marketing costs. Accordingly, we cannot be certain that our new service offerings will effectively meet client needs or that we will be able to attract existing and new clients to these expanded service offerings. The increased breadth of our service offerings may result in larger and more complex projects with our clients. This will require us to establish closer relationships with our clients and a thorough understanding of their operations. Our ability to establish such relationships will depend on a number of factors, including the proficiency of our employees and management. Our failure to deliver services that meet the requirements specified by our clients could result in termination of client contracts, and we could be liable to our clients for significant penalties or damages. 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service our debt or obtain additional financing on competitive terms.</w:t>
      </w: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credit agreement contains covenants which require, among other things, maintenance of certain financial ratios, indebtedness and also, under certain conditions, restrict our ability to pay dividends, repurchase common shares and make other restricted payments as defined in the credit agreement. The credit agreement provides for a $50 million revolving credit facility including a letter of credit sub-facility. We have an option to increase the commitments under the credit facility, subject to certain approvals and conditions as set forth in the credit agreement. Our credit facility has a maturity date of October 24, 2019 and is voluntarily prepayable from time to time without premium or penalty. Our cash flow from operations provides the primary source of funds for our debt service payments. If our cash flow from operations declines, we may be unable to service or refinance our current debt which could adversely affect our business and financial condition. In addition, we have limited ability to increase our</w:t>
      </w:r>
    </w:p>
    <w:p>
      <w:pPr>
        <w:sectPr>
          <w:pgSz w:w="11900" w:h="16838" w:orient="portrait"/>
          <w:cols w:equalWidth="0" w:num="1">
            <w:col w:w="11420"/>
          </w:cols>
          <w:pgMar w:left="240" w:top="337"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337"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our existing credit agreement. We may in the future require additional financing to fund one or more acquisitions and may not be able to obtain such additional financing on competitive terms or at all, which could restrict our ability to complete such transactions.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23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constantly evaluate additional locations outside our current operating geographies in which to invest in operations centers. In recent years we have opened new operations centers in countries outside of the U.S. We cannot predict the extent of government support, availability of qualified workers, or monetary and economic conditions in other countries. Additionally, we may expand into less developed countries that have less political, social or economic stability and less developed infrastructure and legal systems.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become applicable to us or if our employees unionize, our profitability may be adversely affected.</w:t>
      </w:r>
    </w:p>
    <w:p>
      <w:pPr>
        <w:spacing w:after="0" w:line="2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 Regulations in other countries in which we operate also regulate our relations with our employees.</w:t>
      </w:r>
    </w:p>
    <w:p>
      <w:pPr>
        <w:spacing w:after="0" w:line="3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may be adversely affected.</w:t>
      </w:r>
    </w:p>
    <w:p>
      <w:pPr>
        <w:spacing w:after="0" w:line="3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Government of India in the past few years has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and financial condition.</w:t>
      </w: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3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Indian Income Tax Act, 1961, our operations centers in India, from which we derive a significant portion of our revenues, benefitted up to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 which, as of December 31, 2015, was 34.61%.</w:t>
      </w:r>
    </w:p>
    <w:p>
      <w:pPr>
        <w:spacing w:after="0" w:line="36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During the last several years, we either established or acquired new centers that are eligible for tax benefits under the SEZ Act. The SEZ Act introduced a 15-year tax holiday scheme for operations established in designated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w:t>
      </w:r>
    </w:p>
    <w:p>
      <w:pPr>
        <w:sectPr>
          <w:pgSz w:w="11900" w:h="16838" w:orient="portrait"/>
          <w:cols w:equalWidth="0" w:num="1">
            <w:col w:w="11420"/>
          </w:cols>
          <w:pgMar w:left="240" w:top="337"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337"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existing plant and equipment (beyond a prescribed limit) to new SEZ locations. We anticipate establishing additional operations centers in SEZs or other tax advantaged locations in the future.</w:t>
      </w:r>
    </w:p>
    <w:p>
      <w:pPr>
        <w:spacing w:after="0" w:line="34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our SEZ legislation benefits are phasing out, our Indian tax expense may materially increase and our after-tax profitability may be materially reduced, unless we can obtain comparable benefits under new legislation or otherwise reduce our tax liability. Similarly, alternative minimum taxes are imposed by certain jurisdictions on otherwise exempt income, which may increase our tax expense in future years.</w:t>
      </w:r>
    </w:p>
    <w:p>
      <w:pPr>
        <w:spacing w:after="0" w:line="35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benefit from a corporate tax holiday in the Philippines for our operations centers established there over the last several years. The tax holiday already expired for one of our centers and will expire in the future for the other centers, which may lead to an increase in our overall tax rate. Following the expiry of the tax exemption, income generated from centers in Philippines will be taxed at the prevailing annual tax rate, which is currently 5% on the gross income.</w:t>
      </w:r>
    </w:p>
    <w:p>
      <w:pPr>
        <w:spacing w:after="0" w:line="146"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As a result of the foregoing, our overall tax rate may increase over the next few years and such increase may be material and may have impact on our business, results of operations, financial condition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transfer pricing arrangements we have among our subsidiaries are determined to be inappropriate, our tax liability may increase.</w:t>
      </w:r>
    </w:p>
    <w:p>
      <w:pPr>
        <w:spacing w:after="0" w:line="30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 thereby reducing our profitability and cash flows. The Company is currently involved in disputes with the Indian tax authorities over the application of some of its transfer pricing policies for past years. Please see Note 16 to our audited consolidated financial statements for details.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Introduction of tax legislation and disputes with tax authorities may have an adverse effect on our operations and our overall tax rate.</w:t>
      </w:r>
    </w:p>
    <w:p>
      <w:pPr>
        <w:spacing w:after="0" w:line="30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Governments in countries in which we operate or provide services could enact new tax legislation, which could potentially have a material adverse effect on our business, results of operations, financial condition and cash flows.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financial condition and cash flows. Additionally, if a tax authority in any jurisdiction reviews any of our tax returns and determines that the transfer prices and terms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36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continues its legal entity rationalization project, which began in 2013, in order to simplify the global legal entity structure and remove redundancies and reduce compliance risks and costs associated with it. Furthermore, we also intend to optimize the tax and financial efficiencies of the group structure. As a result, we may carry out certain re-organizations under the tax laws of various jurisdictions in which we operate and take certain positions to qualify for tax neutrality for such internal re-organization. However, we cannot assure you that this project will be fully implemented or implemented in a manner satisfactory to the Company, or, if it is implemented, that there will not be any adverse actions brought by the tax authorities of certain jurisdictions if this re-organization is implemented.</w:t>
      </w:r>
    </w:p>
    <w:p>
      <w:pPr>
        <w:spacing w:after="0" w:line="200" w:lineRule="exact"/>
        <w:rPr>
          <w:sz w:val="20"/>
          <w:szCs w:val="20"/>
          <w:color w:val="auto"/>
        </w:rPr>
      </w:pPr>
    </w:p>
    <w:p>
      <w:pPr>
        <w:spacing w:after="0" w:line="2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Because we provide services to clients throughout the world, we are subject to numerous, and sometimes conflicting, legal rules on matters as diverse as import/export controls, content requirements, trade restrictions, tariffs, taxation, sanctions, government affairs, internal and disclosure control obligations, data privacy and labor relations. Violations of these laws or regulations in the conduct of our business could result in fines, criminal sanctions against us or our officers, prohibitions on doing</w:t>
      </w:r>
    </w:p>
    <w:p>
      <w:pPr>
        <w:sectPr>
          <w:pgSz w:w="11900" w:h="16838" w:orient="portrait"/>
          <w:cols w:equalWidth="0" w:num="1">
            <w:col w:w="11420"/>
          </w:cols>
          <w:pgMar w:left="240" w:top="33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37"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financial condition and cash flows.</w:t>
      </w:r>
    </w:p>
    <w:p>
      <w:pPr>
        <w:spacing w:after="0" w:line="3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It may be difficult to enforce these intellectual property rights both within and outside of the U.S. India is a member of the Berne Convention, an international intellectual property treaty, and has agreed to recognize protections on intellectual property rights conferred under the laws of other foreign countries, including the laws of the U.S. There can be no assurance, however,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3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in the various currencies in which we do business, especially the Indian rupee and the U.S. dollar, could have a material adverse effect on our results of operations.</w:t>
      </w:r>
    </w:p>
    <w:p>
      <w:pPr>
        <w:spacing w:after="0" w:line="2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 substantial portion of our revenues are denominated in U.S. dollars or U.K. pounds sterling. A substantial portion of our expenses are incurred and paid in Indian rupees and Philippine peso. We report our financial results in U.S. dollars. The exchange rates among the Indian rupee and other currencies in which we incur costs or receive revenues and the U.S. dollar have changed substantially in recent years and may fluctuate substantially in the future. See Item 7A-“Quantitative and Qualitative Disclosures about Market Risk.” Additionally, because a majority of our employees are based in India and the Philippines and paid in Indian rupees or Philippine peso while our revenues are primarily reported in U.S. dollars and U.K. pounds sterling, our employee costs as a percentage of revenues may increase or decrease significantly if the exchange rates among the Indian rupee, Philippine peso and the U.S. dollar fluctuate significantly.</w:t>
      </w:r>
    </w:p>
    <w:p>
      <w:pPr>
        <w:spacing w:after="0" w:line="36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results of operations could be adversely affected over time by certain movements in exchange rates, particularly if the Indian rupee or other currencies in which we incur expenses or receive revenues, change substantially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financial condition and cash flows.</w:t>
      </w:r>
    </w:p>
    <w:p>
      <w:pPr>
        <w:spacing w:after="0" w:line="21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Terrorist attacks and other acts of violence or war, including those involving India, the Philippines, the U.S. or other countries, may adversely affect worldwide financial markets and could potentially lead to economic recession, which could adversely affect our business, results of operations, financial condition and cash flows.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w:t>
      </w:r>
    </w:p>
    <w:p>
      <w:pPr>
        <w:sectPr>
          <w:pgSz w:w="11900" w:h="16838" w:orient="portrait"/>
          <w:cols w:equalWidth="0" w:num="1">
            <w:col w:w="11420"/>
          </w:cols>
          <w:pgMar w:left="240" w:top="337"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337"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between India and Pakistan due to recent terrorist activities and the geopolitical climate along the border. Although this has not been the case to date, such political tensions could create a perception that there is a risk of disruption of services provided by companies with operations in India, which could have a material adverse effect on the market for our services. Furthermore, if India were to become engaged in armed hostilities, particularly hostilities that were protracted or involved the threat or use of nuclear weapons, we might not be able to continue our operations in India. Our insurance policies may not insure us against losses and interruptions caused by terrorist attacks and other acts of violence or war.</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face difficulties as we expand our operations into countries in which we have no prior operating experience.</w:t>
      </w:r>
    </w:p>
    <w:p>
      <w:pPr>
        <w:spacing w:after="0" w:line="30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8"/>
          <w:szCs w:val="18"/>
          <w:color w:val="auto"/>
        </w:rPr>
        <w:t>We intend to continue to expand our global footprint in order to maintain an appropriate cost structure and meet our clients’ delivery needs. This may involve expanding into countries other than those in which we currently operate. It may involve expanding into less developed countries, which may have less political, social or economic stability and less developed infrastructure and legal systems. As we expand our business into new countries we may encounter regulatory, personnel, technological and other difficulties that increase our expenses or delay our ability to start up our operations or become profitable in such countries. This may affect our relationships with our clients and could have an adverse effect on our business, results of operations, financial condition and cash flows.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assets and operations are located in India, and we are subject to regulatory, economic and political uncertainties in India.</w:t>
      </w:r>
    </w:p>
    <w:p>
      <w:pPr>
        <w:spacing w:after="0" w:line="31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principal operating subsidiaries are incorporated in India, and a majority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Various factors, such as changes in the current federal government, could trigger significant changes in India’s economic liberalization and deregulation policies and disrupt business and economic conditions in India generally and our business in particular. Any such actions could negatively impact our business.</w:t>
      </w:r>
    </w:p>
    <w:p>
      <w:pPr>
        <w:spacing w:after="0" w:line="3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00" w:lineRule="exact"/>
        <w:rPr>
          <w:sz w:val="20"/>
          <w:szCs w:val="20"/>
          <w:color w:val="auto"/>
        </w:rPr>
      </w:pPr>
    </w:p>
    <w:p>
      <w:pPr>
        <w:spacing w:after="0" w:line="2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entry visas may affect our ability to compete for and provide services to clients in the U.S., which could have a material adverse effect on future revenues.</w:t>
      </w:r>
    </w:p>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vast majority of our employees are Indian nationals. The ability of some of our executives and employees to work with and meet our U.S. and European clients and our clients from other countries depends on their ability to obtain the necessary visas and entry permits. In response to terrorist attacks, the recent global economic downturn and public sentiments about the high unemployment rates in their respective economies, U.S. and European immigration authorities have increased the level of scrutiny in granting visas. Immigration laws in those countries may also require us to meet certain levels of compensation and comply with other legal requirements as a condition to obtaining or maintaining entry visas. These restrictions have increased the application fees for certain types of visas and have significantly lengthened the time requirements to obtain visas for our personnel, which has in the past resulted, and may continue to result, in delays in the ability of our personnel to meet with our clients.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entry visas for our professionals. If we are unable to obtain the necessary visas for personnel who need to get to our clients’ sites, or if the duration of such visas is shortened or if such visas are delayed, we may not be able to provide services to our clients or to continue to provide these services on a timely and cost effective basis, which could have a material adverse effect on our business, results of operations, financial condition and cash flows.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37"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vulnerable to natural disasters, technical disruptions and man-made events that could severely disrupt the normal operation of our business and adversely affect our business, results of operations, financial condition and cash flows.</w:t>
      </w:r>
    </w:p>
    <w:p>
      <w:pPr>
        <w:spacing w:after="0" w:line="23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operations centers and our data and voice communications, particularly in India and the Philippines, may be damaged or disrupted as a result of natural disasters such as earthquakes, floods, heavy rains, epidemics, tsunamis and cyclones, technical disruptions such as electricity or infrastructure breakdowns, including damage to telecommunications cables, computer glitches and electronic viruses or man-made events such as protests, riots and labor unrest. Such events may lead to the disruption of information systems and telecommunication services for sustained periods. They also may make it difficult or impossible for employees to reach our business locations.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 liability insurance, our insurance coverage may not be sufficient.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spacing w:after="0" w:line="200" w:lineRule="exact"/>
        <w:rPr>
          <w:sz w:val="20"/>
          <w:szCs w:val="20"/>
          <w:color w:val="auto"/>
        </w:rPr>
      </w:pPr>
    </w:p>
    <w:p>
      <w:pPr>
        <w:spacing w:after="0" w:line="2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primary operating subsidiaries are organized outside the U.S. and some of our executive officers may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3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36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34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classified board provisions, provisions permitting the board of directors to fill vacancies created by its expansion, provisions permitting the removal of directors only for cause and with a 66 </w:t>
      </w:r>
      <w:r>
        <w:rPr>
          <w:rFonts w:ascii="Arial" w:cs="Arial" w:eastAsia="Arial" w:hAnsi="Arial"/>
          <w:sz w:val="13"/>
          <w:szCs w:val="13"/>
          <w:color w:val="auto"/>
        </w:rPr>
        <w:t>2</w:t>
      </w:r>
      <w:r>
        <w:rPr>
          <w:rFonts w:ascii="Arial" w:cs="Arial" w:eastAsia="Arial" w:hAnsi="Arial"/>
          <w:sz w:val="17"/>
          <w:szCs w:val="17"/>
          <w:color w:val="auto"/>
        </w:rPr>
        <w:t xml:space="preserve"> ⁄ </w:t>
      </w:r>
      <w:r>
        <w:rPr>
          <w:rFonts w:ascii="Arial" w:cs="Arial" w:eastAsia="Arial" w:hAnsi="Arial"/>
          <w:sz w:val="13"/>
          <w:szCs w:val="13"/>
          <w:color w:val="auto"/>
        </w:rPr>
        <w:t>3</w:t>
      </w:r>
      <w:r>
        <w:rPr>
          <w:rFonts w:ascii="Arial" w:cs="Arial" w:eastAsia="Arial" w:hAnsi="Arial"/>
          <w:sz w:val="17"/>
          <w:szCs w:val="17"/>
          <w:color w:val="auto"/>
        </w:rPr>
        <w:t xml:space="preserve"> % stockholder vote, provisions requiring a 66 </w:t>
      </w:r>
      <w:r>
        <w:rPr>
          <w:rFonts w:ascii="Arial" w:cs="Arial" w:eastAsia="Arial" w:hAnsi="Arial"/>
          <w:sz w:val="13"/>
          <w:szCs w:val="13"/>
          <w:color w:val="auto"/>
        </w:rPr>
        <w:t>2</w:t>
      </w:r>
      <w:r>
        <w:rPr>
          <w:rFonts w:ascii="Arial" w:cs="Arial" w:eastAsia="Arial" w:hAnsi="Arial"/>
          <w:sz w:val="17"/>
          <w:szCs w:val="17"/>
          <w:color w:val="auto"/>
        </w:rPr>
        <w:t xml:space="preserve"> ⁄ </w:t>
      </w:r>
      <w:r>
        <w:rPr>
          <w:rFonts w:ascii="Arial" w:cs="Arial" w:eastAsia="Arial" w:hAnsi="Arial"/>
          <w:sz w:val="13"/>
          <w:szCs w:val="13"/>
          <w:color w:val="auto"/>
        </w:rPr>
        <w:t>3</w:t>
      </w:r>
      <w:r>
        <w:rPr>
          <w:rFonts w:ascii="Arial" w:cs="Arial" w:eastAsia="Arial" w:hAnsi="Arial"/>
          <w:sz w:val="17"/>
          <w:szCs w:val="17"/>
          <w:color w:val="auto"/>
        </w:rPr>
        <w:t xml:space="preserve"> %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w:t>
      </w:r>
    </w:p>
    <w:p>
      <w:pPr>
        <w:sectPr>
          <w:pgSz w:w="11900" w:h="16838" w:orient="portrait"/>
          <w:cols w:equalWidth="0" w:num="1">
            <w:col w:w="11420"/>
          </w:cols>
          <w:pgMar w:left="240" w:top="337" w:right="239"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37"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incorporation, by-laws and Delaware law could discourage potential takeover attempts and reduce the price that investors might be willing to pay for shares of our common stock in the future which could reduce the market price of our stock.</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also a holding company, we may be unable to pay dividends.</w:t>
      </w:r>
    </w:p>
    <w:p>
      <w:pPr>
        <w:spacing w:after="0" w:line="3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 payments would also depend on the cash flow from our subsidiaries. Accordingly, under certain circumstances, we may not be able to pay dividends even if our board of directors would otherwise deem it appropriate.</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continues to be volatile.</w:t>
      </w:r>
    </w:p>
    <w:p>
      <w:pPr>
        <w:spacing w:after="0" w:line="2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stock has at times experienced substantial price volatility as a result of, among other reasons, variations between our actual and anticipated financial results, announcements by us and our competitors,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Furthermore, we believe our stock price should reflect future growth and profitability expectations and, if we fail to meet these expectations, our stock price may significantly decline.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subject to rapid technological change and we may not be successful in addressing these changes.</w:t>
      </w:r>
    </w:p>
    <w:p>
      <w:pPr>
        <w:spacing w:after="0" w:line="30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industry is characterized by rapid technological change, evolving industry standards, changing client preferences and new product introductions. The success of our business depends, in part, upon our ability to develop solutions that keep pace with changes in the industry.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 to develop and maintain a competitive advantage and continue to grow could be negatively affected.</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2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U.S. and elsewhere.</w:t>
      </w:r>
    </w:p>
    <w:p>
      <w:pPr>
        <w:spacing w:after="0" w:line="35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 variety of U.S. federal and state legislation has been proposed that, if enacted, could restrict or discourage U.S. companies from outsourcing their services to companies with facilities outside the U.S.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w:t>
      </w:r>
    </w:p>
    <w:p>
      <w:pPr>
        <w:sectPr>
          <w:pgSz w:w="11900" w:h="16838" w:orient="portrait"/>
          <w:cols w:equalWidth="0" w:num="1">
            <w:col w:w="11420"/>
          </w:cols>
          <w:pgMar w:left="240" w:top="337"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337" w:right="2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4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other countries, such as the U.K., there has also been some negative publicity and concern expressed regarding the possible effect of job losses caused by outsourcing. Legislation enacted in the U.K. as well as other European jurisdictions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 is deemed unfair dismissal and entitles the employees to compensation. As a result, we may become liable for redundancy payments to the employees of our clients who outsource business to us from those jurisdictions. We are generally indemnified in our existing contracts with clients in those jurisdictions to the extent we incur losses or additional costs due to the application of this legislation to us, and we intend to obtain indemnification in future contracts with clients. However, if we are unable to obtain indemnification in future contracts with clients or if the existing indemnification is not enforceable or available, we may be liable under those agreements we enter into with clients in the U.K. and other European jurisdictions.</w:t>
      </w:r>
    </w:p>
    <w:p>
      <w:pPr>
        <w:spacing w:after="0" w:line="200" w:lineRule="exact"/>
        <w:rPr>
          <w:sz w:val="20"/>
          <w:szCs w:val="20"/>
          <w:color w:val="auto"/>
        </w:rPr>
      </w:pPr>
    </w:p>
    <w:p>
      <w:pPr>
        <w:spacing w:after="0" w:line="2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2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typically required to process, and sometimes collect and/or store sensitive data of our clients’ end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As a result, we are subject to various data protection and privacy laws in the countries in which we operate. In addition, many of our agreements with our clients do not include any limitation on our liability to them with respect to breaches of our obligation to keep the information we receive from them confidential. We devote substantial resources to maintaining adequate levels of cyber security and to protecting confidential client and customer data.</w:t>
      </w:r>
    </w:p>
    <w:p>
      <w:pPr>
        <w:spacing w:after="0" w:line="34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However, any network infrastructure may be vulnerable to rapidly evolving cyber attacks, and our user data and corporate systems and security measures may be breached due to the actions of outside parties (including cyber attacks), employee error, malfeasance, a combination of these, or otherwise, allowing an unauthorized party to obtain access to our data or our users’ or customers’ data. Additionally,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the market perception of the effectiveness of our security measures 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35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If any person, including any of our employees, negligently disregards or intentionally breaches controls or procedures with which we are responsible for complying with respect to such data or otherwise mismanages or misappropriates that data, or if unauthorized access to or disclosure of data in our possession or control occurs, we could be subject to significant liability to our clients or our clients’ customers for breaching contractual confidentiality and security provisions or privacy laws, as well as liability and penalties in connection with any violation of applicable privacy laws and/or criminal prosecution. Unauthorized disclosure of sensitive or confidential client or employee data, whether through breach of computer systems, systems failure, employee negligence, fraud or misappropriation, or otherwise, could damage our reputation and cause us to lose clients. Similarly, unauthorized access to or through our information systems and networks or those we develop or manage for our clients, whether by our employees or third parties, could result in negative publicity, legal liability and damage to our reputation.</w:t>
      </w:r>
    </w:p>
    <w:p>
      <w:pPr>
        <w:spacing w:after="0" w:line="35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If any person, including any of our employees, penetrates our network security or otherwise mismanages or misappropriates sensitive data, discloses or distributes any such data in an unauthorized manner, we could be subject to significant liability and lawsuits from our clients or their own customers for breaching contractual confidentiality provisions or privacy laws, or investigations and penalties from regulators. Under some of our client contracts, we have agreed to pay for the costs of remediation or notice to end users or credit monitoring, as well as other costs.</w:t>
      </w:r>
    </w:p>
    <w:p>
      <w:pPr>
        <w:spacing w:after="0" w:line="13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Cyber attacks penetrating the network security of our data centers or any unauthorized disclosure or access to confidential information and data of our clients or their end customers could also have a negative impact on our reputation and client confidence, which could have a material adverse effect on our business, results of operations, financial condition and cash flows.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corporate headquarters are located in New York, New York. We have nineteen operations centers in India, five operations centers in the Philippines and one operations center in each of Bulgaria, Colombia, the Czech Republic, Romania and South Africa with an aggregate area of approximately 1,670,000 square feet and a current installed capacity of approximately 23,900 workstations, including workstations for training and our employees in enabling functions. We also have multiple operations centers and regional offices in the U.S. and a sales office in London, U.K. and Australia.</w:t>
      </w:r>
    </w:p>
    <w:p>
      <w:pPr>
        <w:spacing w:after="0" w:line="15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corporate headquarters and all of our operations centers are leased under long-term leases with varying expiration dates, except for an operations center in Pune, India with an area of 86,361 sq. ft. and containing approximately 1,600 agent workstations, which we own. Substantially all of our owned and leased property is used to service both of our segments. We believe that our current facilities are adequate to support our existing operations. We also believe that we will be able to obtain suitable additional facilities on commercially reasonable terms on an “as needed basis.”</w:t>
      </w:r>
    </w:p>
    <w:p>
      <w:pPr>
        <w:spacing w:after="0" w:line="1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16 to our consolidated financial statements contained herein for details regarding our tax proceedings.</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37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Price Range</w:t>
            </w:r>
          </w:p>
        </w:tc>
        <w:tc>
          <w:tcPr>
            <w:tcW w:w="6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Calendar Period</w:t>
            </w:r>
          </w:p>
        </w:tc>
        <w:tc>
          <w:tcPr>
            <w:tcW w:w="240" w:type="dxa"/>
            <w:vAlign w:val="bottom"/>
          </w:tcPr>
          <w:p>
            <w:pPr>
              <w:spacing w:after="0"/>
              <w:rPr>
                <w:sz w:val="22"/>
                <w:szCs w:val="22"/>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22"/>
                <w:szCs w:val="22"/>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b w:val="1"/>
                <w:bCs w:val="1"/>
                <w:color w:val="auto"/>
                <w:w w:val="99"/>
              </w:rPr>
              <w:t>Low</w:t>
            </w:r>
          </w:p>
        </w:tc>
      </w:tr>
      <w:tr>
        <w:trPr>
          <w:trHeight w:val="250"/>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28.79</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35.26</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37.15</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27.21</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24.20</w:t>
            </w:r>
          </w:p>
        </w:tc>
      </w:tr>
    </w:tbl>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February 22, 2016, there were 12 holders of record of our outstanding common stock.</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information on the sale of unregistered securities during the past fiscal year, see Note 5 to our consolidated financial statements. Such securities were issued in reliance on an exemption from the registration requirements of the Securities Act of 1933, as amended (the “Securities Act”), provided by Section 4(a)(2) of the Securities Act as a private offering. Such issuance did not involve a public offering, and was made without general solicitation or advertising. Except for the foregoing, we did not sell any of our equity securities during the fiscal year ended December 31, 2015 that were not registered under the Securities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On December 30, 2014, the Company’s Board of Directors authorized up to an annual $20 million common stock repurchase program (the “2014 Repurchase Program”), under which shares may be purchased by the Company from time to time from the open market and through private transactions during each of the fiscal years 2015 to 2017. The Company expects that open market purchases under the 2014 Repurchase Program will be structured to comply with Rule 10b-18 under the Exchange Act. Repurchases may be discontinued at any time by management.</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under these programs are recorded as treasury shares and are held until our Board of Directors designates that these shares be retired or used for other purposes.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34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40"/>
        </w:trPr>
        <w:tc>
          <w:tcPr>
            <w:tcW w:w="28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Number of Shares</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Approximate Dollar</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Purchased as Part of</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 of Shares That</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Publicly</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May Yet Be Purchased</w:t>
            </w:r>
          </w:p>
        </w:tc>
      </w:tr>
      <w:tr>
        <w:trPr>
          <w:trHeight w:val="216"/>
        </w:trPr>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Number of</w:t>
            </w:r>
          </w:p>
        </w:tc>
        <w:tc>
          <w:tcPr>
            <w:tcW w:w="1320" w:type="dxa"/>
            <w:vAlign w:val="bottom"/>
          </w:tcPr>
          <w:p>
            <w:pPr>
              <w:ind w:left="20"/>
              <w:spacing w:after="0"/>
              <w:rPr>
                <w:sz w:val="20"/>
                <w:szCs w:val="20"/>
                <w:color w:val="auto"/>
              </w:rPr>
            </w:pPr>
            <w:r>
              <w:rPr>
                <w:rFonts w:ascii="Arial" w:cs="Arial" w:eastAsia="Arial" w:hAnsi="Arial"/>
                <w:sz w:val="18"/>
                <w:szCs w:val="18"/>
                <w:b w:val="1"/>
                <w:bCs w:val="1"/>
                <w:color w:val="auto"/>
              </w:rPr>
              <w:t>Average Price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Announced Plans or</w:t>
            </w: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Under the Plans or</w:t>
            </w:r>
          </w:p>
        </w:tc>
      </w:tr>
      <w:tr>
        <w:trPr>
          <w:trHeight w:val="261"/>
        </w:trPr>
        <w:tc>
          <w:tcPr>
            <w:tcW w:w="280" w:type="dxa"/>
            <w:vAlign w:val="bottom"/>
          </w:tcPr>
          <w:p>
            <w:pPr>
              <w:spacing w:after="0"/>
              <w:rPr>
                <w:sz w:val="22"/>
                <w:szCs w:val="22"/>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Period</w:t>
            </w: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rPr>
              <w:t>Shares Purchased</w:t>
            </w:r>
          </w:p>
        </w:tc>
        <w:tc>
          <w:tcPr>
            <w:tcW w:w="1320" w:type="dxa"/>
            <w:vAlign w:val="bottom"/>
          </w:tcPr>
          <w:p>
            <w:pPr>
              <w:ind w:left="20"/>
              <w:spacing w:after="0" w:line="262" w:lineRule="exact"/>
              <w:rPr>
                <w:sz w:val="20"/>
                <w:szCs w:val="20"/>
                <w:color w:val="auto"/>
              </w:rPr>
            </w:pPr>
            <w:r>
              <w:rPr>
                <w:rFonts w:ascii="Arial" w:cs="Arial" w:eastAsia="Arial" w:hAnsi="Arial"/>
                <w:sz w:val="18"/>
                <w:szCs w:val="18"/>
                <w:b w:val="1"/>
                <w:bCs w:val="1"/>
                <w:color w:val="auto"/>
                <w:w w:val="85"/>
              </w:rPr>
              <w:t xml:space="preserve">Paid per share </w:t>
            </w:r>
            <w:r>
              <w:rPr>
                <w:rFonts w:ascii="Arial" w:cs="Arial" w:eastAsia="Arial" w:hAnsi="Arial"/>
                <w:sz w:val="25"/>
                <w:szCs w:val="25"/>
                <w:b w:val="1"/>
                <w:bCs w:val="1"/>
                <w:color w:val="auto"/>
                <w:w w:val="85"/>
                <w:vertAlign w:val="superscript"/>
              </w:rPr>
              <w:t>(3)</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Programs</w:t>
            </w:r>
          </w:p>
        </w:tc>
        <w:tc>
          <w:tcPr>
            <w:tcW w:w="940" w:type="dxa"/>
            <w:vAlign w:val="bottom"/>
          </w:tcPr>
          <w:p>
            <w:pPr>
              <w:ind w:left="20"/>
              <w:spacing w:after="0"/>
              <w:rPr>
                <w:sz w:val="20"/>
                <w:szCs w:val="20"/>
                <w:color w:val="auto"/>
              </w:rPr>
            </w:pPr>
            <w:r>
              <w:rPr>
                <w:rFonts w:ascii="Arial" w:cs="Arial" w:eastAsia="Arial" w:hAnsi="Arial"/>
                <w:sz w:val="18"/>
                <w:szCs w:val="18"/>
                <w:b w:val="1"/>
                <w:bCs w:val="1"/>
                <w:color w:val="auto"/>
              </w:rPr>
              <w:t>Programs</w:t>
            </w:r>
          </w:p>
        </w:tc>
        <w:tc>
          <w:tcPr>
            <w:tcW w:w="1000" w:type="dxa"/>
            <w:vAlign w:val="bottom"/>
          </w:tcPr>
          <w:p>
            <w:pPr>
              <w:spacing w:after="0"/>
              <w:rPr>
                <w:sz w:val="22"/>
                <w:szCs w:val="22"/>
                <w:color w:val="auto"/>
              </w:rPr>
            </w:pPr>
          </w:p>
        </w:tc>
      </w:tr>
      <w:tr>
        <w:trPr>
          <w:trHeight w:val="264"/>
        </w:trPr>
        <w:tc>
          <w:tcPr>
            <w:tcW w:w="280" w:type="dxa"/>
            <w:vAlign w:val="bottom"/>
          </w:tcPr>
          <w:p>
            <w:pPr>
              <w:spacing w:after="0"/>
              <w:rPr>
                <w:sz w:val="22"/>
                <w:szCs w:val="22"/>
                <w:color w:val="auto"/>
              </w:rPr>
            </w:pPr>
          </w:p>
        </w:tc>
        <w:tc>
          <w:tcPr>
            <w:tcW w:w="3060" w:type="dxa"/>
            <w:vAlign w:val="bottom"/>
            <w:tcBorders>
              <w:top w:val="single" w:sz="8" w:color="CCEEFF"/>
            </w:tcBorders>
            <w:gridSpan w:val="2"/>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Oct 1, 2015 through Oct 31, 2015 </w:t>
            </w:r>
            <w:r>
              <w:rPr>
                <w:rFonts w:ascii="Arial" w:cs="Arial" w:eastAsia="Arial" w:hAnsi="Arial"/>
                <w:sz w:val="25"/>
                <w:szCs w:val="25"/>
                <w:color w:val="auto"/>
                <w:vertAlign w:val="superscript"/>
              </w:rPr>
              <w:t>(1)</w:t>
            </w:r>
          </w:p>
        </w:tc>
        <w:tc>
          <w:tcPr>
            <w:tcW w:w="16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19,870</w:t>
            </w:r>
          </w:p>
        </w:tc>
        <w:tc>
          <w:tcPr>
            <w:tcW w:w="120" w:type="dxa"/>
            <w:vAlign w:val="bottom"/>
            <w:tcBorders>
              <w:top w:val="single" w:sz="8" w:color="CCEEFF"/>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38.00</w:t>
            </w:r>
          </w:p>
        </w:tc>
        <w:tc>
          <w:tcPr>
            <w:tcW w:w="120" w:type="dxa"/>
            <w:vAlign w:val="bottom"/>
            <w:tcBorders>
              <w:top w:val="single" w:sz="8" w:color="CCEEFF"/>
            </w:tcBorders>
            <w:shd w:val="clear" w:color="auto" w:fill="CCEEFF"/>
          </w:tcPr>
          <w:p>
            <w:pPr>
              <w:spacing w:after="0"/>
              <w:rPr>
                <w:sz w:val="22"/>
                <w:szCs w:val="22"/>
                <w:color w:val="auto"/>
              </w:rPr>
            </w:pPr>
          </w:p>
        </w:tc>
        <w:tc>
          <w:tcPr>
            <w:tcW w:w="2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19,157</w:t>
            </w:r>
          </w:p>
        </w:tc>
        <w:tc>
          <w:tcPr>
            <w:tcW w:w="120" w:type="dxa"/>
            <w:vAlign w:val="bottom"/>
            <w:tcBorders>
              <w:top w:val="single" w:sz="8" w:color="CCEEFF"/>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6,438,583</w:t>
            </w:r>
          </w:p>
        </w:tc>
      </w:tr>
      <w:tr>
        <w:trPr>
          <w:trHeight w:val="243"/>
        </w:trPr>
        <w:tc>
          <w:tcPr>
            <w:tcW w:w="28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Nov 1, 2015 through Nov 30, 2015</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43.90</w:t>
            </w:r>
          </w:p>
        </w:tc>
        <w:tc>
          <w:tcPr>
            <w:tcW w:w="1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3,410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6,288,840</w:t>
            </w:r>
          </w:p>
        </w:tc>
      </w:tr>
      <w:tr>
        <w:trPr>
          <w:trHeight w:val="27"/>
        </w:trPr>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80" w:type="dxa"/>
            <w:vAlign w:val="bottom"/>
          </w:tcPr>
          <w:p>
            <w:pPr>
              <w:spacing w:after="0"/>
              <w:rPr>
                <w:sz w:val="23"/>
                <w:szCs w:val="23"/>
                <w:color w:val="auto"/>
              </w:rPr>
            </w:pPr>
          </w:p>
        </w:tc>
        <w:tc>
          <w:tcPr>
            <w:tcW w:w="306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Dec 1, 2015 through Dec 31, 2015 </w:t>
            </w:r>
            <w:r>
              <w:rPr>
                <w:rFonts w:ascii="Arial" w:cs="Arial" w:eastAsia="Arial" w:hAnsi="Arial"/>
                <w:sz w:val="25"/>
                <w:szCs w:val="25"/>
                <w:color w:val="auto"/>
                <w:vertAlign w:val="superscript"/>
              </w:rPr>
              <w:t>(2)</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45.60</w:t>
            </w:r>
          </w:p>
        </w:tc>
        <w:tc>
          <w:tcPr>
            <w:tcW w:w="12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6,288,840</w:t>
            </w:r>
          </w:p>
        </w:tc>
      </w:tr>
      <w:tr>
        <w:trPr>
          <w:trHeight w:val="257"/>
        </w:trPr>
        <w:tc>
          <w:tcPr>
            <w:tcW w:w="280" w:type="dxa"/>
            <w:vAlign w:val="bottom"/>
          </w:tcPr>
          <w:p>
            <w:pPr>
              <w:spacing w:after="0"/>
              <w:rPr>
                <w:sz w:val="22"/>
                <w:szCs w:val="22"/>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24,072</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39.09</w:t>
            </w:r>
          </w:p>
        </w:tc>
        <w:tc>
          <w:tcPr>
            <w:tcW w:w="120" w:type="dxa"/>
            <w:vAlign w:val="bottom"/>
          </w:tcPr>
          <w:p>
            <w:pPr>
              <w:spacing w:after="0"/>
              <w:rPr>
                <w:sz w:val="22"/>
                <w:szCs w:val="22"/>
                <w:color w:val="auto"/>
              </w:rPr>
            </w:pPr>
          </w:p>
        </w:tc>
        <w:tc>
          <w:tcPr>
            <w:tcW w:w="2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22,567</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633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40" w:lineRule="exact"/>
        <w:rPr>
          <w:sz w:val="20"/>
          <w:szCs w:val="20"/>
          <w:color w:val="auto"/>
        </w:rPr>
      </w:pPr>
    </w:p>
    <w:p>
      <w:pPr>
        <w:ind w:left="340" w:right="20" w:firstLine="316"/>
        <w:spacing w:after="0" w:line="255" w:lineRule="auto"/>
        <w:tabs>
          <w:tab w:leader="none" w:pos="8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713 shares of the Company’s common stock acquired by the Company at the price of $38.50 in connection with satisfaction of tax withholding obligations on vested restricted stock.</w:t>
      </w:r>
    </w:p>
    <w:p>
      <w:pPr>
        <w:spacing w:after="0" w:line="1" w:lineRule="exact"/>
        <w:rPr>
          <w:rFonts w:ascii="Arial" w:cs="Arial" w:eastAsia="Arial" w:hAnsi="Arial"/>
          <w:sz w:val="16"/>
          <w:szCs w:val="16"/>
          <w:i w:val="1"/>
          <w:iCs w:val="1"/>
          <w:color w:val="auto"/>
        </w:rPr>
      </w:pPr>
    </w:p>
    <w:p>
      <w:pPr>
        <w:ind w:left="340" w:right="20" w:firstLine="316"/>
        <w:spacing w:after="0" w:line="246" w:lineRule="auto"/>
        <w:tabs>
          <w:tab w:leader="none" w:pos="8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Includes 792 shares of the Company’s common stock acquired by the Company at the price of $45.60 in connection with satisfaction of tax withholding obligations on vested restricted stock.</w:t>
      </w:r>
    </w:p>
    <w:p>
      <w:pPr>
        <w:ind w:left="840" w:hanging="184"/>
        <w:spacing w:after="0"/>
        <w:tabs>
          <w:tab w:leader="none" w:pos="840"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Average of high and low price of common stock on the trading day prior to the vesting date of the shares of restricted stock.</w:t>
      </w:r>
    </w:p>
    <w:p>
      <w:pPr>
        <w:spacing w:after="0" w:line="20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2015, the Company purchased 377,015 shares of its common stock under the 2014 Repurchase program, for an aggregate purchase price of approximately $13.7 million including commissions, representing an average purchase price per share of $36.37.</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2015, the Company acquired 15,078 from employees in connection with withholding tax payments related to the vesting of restricted stock for a total consideration of $0.5 million. The weighted average purchase price of $32.10 was the average of the high and low price of the Company’s share of common stock on the Nasdaq Global Select Market on the trading day prior to the vesting date of the shares of restricted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 provides information as of December 31, 2015 with respect to the shares of our common stock that may be issued under our existing equity compensation plans. For a description of our equity compensation plans, please see Note 14 to our consolidated financial statements.</w:t>
      </w:r>
    </w:p>
    <w:p>
      <w:pPr>
        <w:sectPr>
          <w:pgSz w:w="11900" w:h="16838" w:orient="portrait"/>
          <w:cols w:equalWidth="0" w:num="1">
            <w:col w:w="11420"/>
          </w:cols>
          <w:pgMar w:left="240" w:top="32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50" w:lineRule="exact"/>
        <w:rPr>
          <w:sz w:val="20"/>
          <w:szCs w:val="20"/>
          <w:color w:val="auto"/>
        </w:rPr>
      </w:pPr>
    </w:p>
    <w:p>
      <w:pPr>
        <w:ind w:left="40" w:right="40"/>
        <w:spacing w:after="0" w:line="277" w:lineRule="auto"/>
        <w:rPr>
          <w:sz w:val="20"/>
          <w:szCs w:val="20"/>
          <w:color w:val="auto"/>
        </w:rPr>
      </w:pPr>
      <w:r>
        <w:rPr>
          <w:rFonts w:ascii="Arial" w:cs="Arial" w:eastAsia="Arial" w:hAnsi="Arial"/>
          <w:sz w:val="18"/>
          <w:szCs w:val="18"/>
          <w:color w:val="auto"/>
        </w:rPr>
        <w:t>Equity compensation plans that have been approved by security holders</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Equity compensation plans not approved by security holders</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14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be Issued Upon</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 Exercise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 Future</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Exercise/Vesting of</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 of</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Issuance Under Equity</w:t>
            </w:r>
          </w:p>
        </w:tc>
      </w:tr>
      <w:tr>
        <w:trPr>
          <w:trHeight w:val="216"/>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 Plans (Excluding</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Options, Warrants and</w:t>
            </w:r>
          </w:p>
        </w:tc>
        <w:tc>
          <w:tcPr>
            <w:tcW w:w="120" w:type="dxa"/>
            <w:vAlign w:val="bottom"/>
          </w:tcPr>
          <w:p>
            <w:pPr>
              <w:spacing w:after="0"/>
              <w:rPr>
                <w:sz w:val="18"/>
                <w:szCs w:val="18"/>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Options, Warrants and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34"/>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Rights*</w:t>
            </w:r>
          </w:p>
        </w:tc>
        <w:tc>
          <w:tcPr>
            <w:tcW w:w="12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1)</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439"/>
        </w:trPr>
        <w:tc>
          <w:tcPr>
            <w:tcW w:w="2160" w:type="dxa"/>
            <w:vAlign w:val="bottom"/>
          </w:tcPr>
          <w:p>
            <w:pPr>
              <w:jc w:val="right"/>
              <w:ind w:right="30"/>
              <w:spacing w:after="0"/>
              <w:rPr>
                <w:sz w:val="20"/>
                <w:szCs w:val="20"/>
                <w:color w:val="auto"/>
              </w:rPr>
            </w:pPr>
            <w:r>
              <w:rPr>
                <w:rFonts w:ascii="Arial" w:cs="Arial" w:eastAsia="Arial" w:hAnsi="Arial"/>
                <w:sz w:val="18"/>
                <w:szCs w:val="18"/>
                <w:color w:val="auto"/>
              </w:rPr>
              <w:t>3,031,855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16.31</w:t>
            </w:r>
          </w:p>
        </w:tc>
        <w:tc>
          <w:tcPr>
            <w:tcW w:w="180" w:type="dxa"/>
            <w:vAlign w:val="bottom"/>
          </w:tcPr>
          <w:p>
            <w:pPr>
              <w:spacing w:after="0"/>
              <w:rPr>
                <w:sz w:val="24"/>
                <w:szCs w:val="24"/>
                <w:color w:val="auto"/>
              </w:rPr>
            </w:pP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2,430,147</w:t>
            </w:r>
          </w:p>
        </w:tc>
      </w:tr>
      <w:tr>
        <w:trPr>
          <w:trHeight w:val="486"/>
        </w:trPr>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jc w:val="right"/>
              <w:ind w:right="30"/>
              <w:spacing w:after="0"/>
              <w:rPr>
                <w:sz w:val="20"/>
                <w:szCs w:val="20"/>
                <w:color w:val="auto"/>
              </w:rPr>
            </w:pPr>
            <w:r>
              <w:rPr>
                <w:rFonts w:ascii="Arial" w:cs="Arial" w:eastAsia="Arial" w:hAnsi="Arial"/>
                <w:sz w:val="18"/>
                <w:szCs w:val="18"/>
                <w:color w:val="auto"/>
              </w:rPr>
              <w:t>3,031,855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16.31</w:t>
            </w:r>
          </w:p>
        </w:tc>
        <w:tc>
          <w:tcPr>
            <w:tcW w:w="180" w:type="dxa"/>
            <w:vAlign w:val="bottom"/>
          </w:tcPr>
          <w:p>
            <w:pPr>
              <w:spacing w:after="0"/>
              <w:rPr>
                <w:sz w:val="20"/>
                <w:szCs w:val="20"/>
                <w:color w:val="auto"/>
              </w:rPr>
            </w:pP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2,430,147</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-822960</wp:posOffset>
            </wp:positionV>
            <wp:extent cx="7246620" cy="3086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-205105</wp:posOffset>
            </wp:positionV>
            <wp:extent cx="7246620"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140"/>
            <w:col w:w="7460"/>
          </w:cols>
          <w:pgMar w:left="240" w:top="324" w:right="239" w:bottom="1440" w:gutter="0" w:footer="0" w:header="0"/>
          <w:type w:val="continuous"/>
        </w:sectPr>
      </w:pPr>
    </w:p>
    <w:p>
      <w:pPr>
        <w:spacing w:after="0" w:line="114"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3"/>
          <w:szCs w:val="13"/>
          <w:i w:val="1"/>
          <w:iCs w:val="1"/>
          <w:color w:val="auto"/>
        </w:rPr>
      </w:pPr>
      <w:r>
        <w:rPr>
          <w:rFonts w:ascii="Arial" w:cs="Arial" w:eastAsia="Arial" w:hAnsi="Arial"/>
          <w:sz w:val="14"/>
          <w:szCs w:val="14"/>
          <w:i w:val="1"/>
          <w:iCs w:val="1"/>
          <w:color w:val="auto"/>
        </w:rPr>
        <w:t>This includes outstanding options and unvested Restricted Stock Units. Refer to Note 14 to our consolidated financial statements for further details.</w:t>
      </w:r>
    </w:p>
    <w:p>
      <w:pPr>
        <w:spacing w:after="0" w:line="266" w:lineRule="exact"/>
        <w:rPr>
          <w:rFonts w:ascii="Arial" w:cs="Arial" w:eastAsia="Arial" w:hAnsi="Arial"/>
          <w:sz w:val="13"/>
          <w:szCs w:val="13"/>
          <w:i w:val="1"/>
          <w:iCs w:val="1"/>
          <w:color w:val="auto"/>
        </w:rPr>
      </w:pPr>
    </w:p>
    <w:p>
      <w:pPr>
        <w:ind w:left="5620"/>
        <w:spacing w:after="0"/>
        <w:rPr>
          <w:rFonts w:ascii="Arial" w:cs="Arial" w:eastAsia="Arial" w:hAnsi="Arial"/>
          <w:sz w:val="13"/>
          <w:szCs w:val="13"/>
          <w:i w:val="1"/>
          <w:iCs w:val="1"/>
          <w:color w:val="auto"/>
        </w:rPr>
      </w:pPr>
      <w:r>
        <w:rPr>
          <w:rFonts w:ascii="Arial" w:cs="Arial" w:eastAsia="Arial" w:hAnsi="Arial"/>
          <w:sz w:val="18"/>
          <w:szCs w:val="18"/>
          <w:color w:val="auto"/>
        </w:rPr>
        <w:t>36</w:t>
      </w:r>
    </w:p>
    <w:p>
      <w:pPr>
        <w:sectPr>
          <w:pgSz w:w="11900" w:h="16838" w:orient="portrait"/>
          <w:cols w:equalWidth="0" w:num="1">
            <w:col w:w="11420"/>
          </w:cols>
          <w:pgMar w:left="240" w:top="324" w:right="2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100 Index (capitalization weighted) and our peer group of companies for the period beginning December 31, 2010.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2010 and that all dividends were reinvested.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62865</wp:posOffset>
            </wp:positionV>
            <wp:extent cx="584898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8985" cy="433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8" w:lineRule="exact"/>
        <w:rPr>
          <w:sz w:val="20"/>
          <w:szCs w:val="20"/>
          <w:color w:val="auto"/>
        </w:rPr>
      </w:pPr>
    </w:p>
    <w:p>
      <w:pPr>
        <w:jc w:val="both"/>
        <w:ind w:firstLine="432"/>
        <w:spacing w:after="0" w:line="324" w:lineRule="auto"/>
        <w:rPr>
          <w:sz w:val="20"/>
          <w:szCs w:val="20"/>
          <w:color w:val="auto"/>
        </w:rPr>
      </w:pPr>
      <w:r>
        <w:rPr>
          <w:rFonts w:ascii="Arial" w:cs="Arial" w:eastAsia="Arial" w:hAnsi="Arial"/>
          <w:sz w:val="17"/>
          <w:szCs w:val="17"/>
          <w:color w:val="auto"/>
        </w:rPr>
        <w:t>The following table sets forth our selected consolidated historical financial data as of the dates and for the periods indicated. Our selected consolidated financial data set forth below as of December 31, 2015 and 2014 and for each of the three years in the period ended December 31, 2015 has been derived from our consolidated financial statements included elsewhere in this Annual Report on Form 10-K. Our selected consolidated financial data set forth below as of December 31, 2013, 2012 and 2011 and for years ended December 31, 2012 and 2011 is derived from our audited financial statements, which are not included in this Annual Report on Form 10-K. Our selected consolidated financial information for 2015, 2014 and 2013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6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(in millions, except share and per share data)</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628.5</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499.3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478.5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442.9</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(excluding depreciation and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402.9</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332.6</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271.9</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166.7</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67.3</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34.0</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gain/(loss),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0.99</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0.96</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 used in</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computing 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33,298,104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32,804,606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32,750,178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31,968,386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30,264,805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34,178,340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33,636,593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33,842,938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33,171,105</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31,546,144</w:t>
            </w:r>
          </w:p>
        </w:tc>
        <w:tc>
          <w:tcPr>
            <w:tcW w:w="0" w:type="dxa"/>
            <w:vAlign w:val="bottom"/>
          </w:tcPr>
          <w:p>
            <w:pPr>
              <w:spacing w:after="0"/>
              <w:rPr>
                <w:sz w:val="1"/>
                <w:szCs w:val="1"/>
                <w:color w:val="auto"/>
              </w:rPr>
            </w:pPr>
          </w:p>
        </w:tc>
      </w:tr>
      <w:tr>
        <w:trPr>
          <w:trHeight w:val="467"/>
        </w:trPr>
        <w:tc>
          <w:tcPr>
            <w:tcW w:w="4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w w:val="92"/>
              </w:rPr>
              <w:t>Consolidated Statements of Balance Sheets Data:</w:t>
            </w: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176.5</w:t>
            </w:r>
          </w:p>
        </w:tc>
        <w:tc>
          <w:tcPr>
            <w:tcW w:w="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207.0</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124.3</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573.6</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435.9</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Other long term obligations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ExlService Holdings, Inc. stockholders' equity</w:t>
            </w:r>
          </w:p>
        </w:tc>
        <w:tc>
          <w:tcPr>
            <w:tcW w:w="260" w:type="dxa"/>
            <w:vAlign w:val="bottom"/>
          </w:tcPr>
          <w:p>
            <w:pPr>
              <w:spacing w:after="0"/>
              <w:rPr>
                <w:sz w:val="21"/>
                <w:szCs w:val="21"/>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465.6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vMerge w:val="restart"/>
          </w:tcPr>
          <w:p>
            <w:pPr>
              <w:jc w:val="right"/>
              <w:ind w:right="12"/>
              <w:spacing w:after="0"/>
              <w:rPr>
                <w:sz w:val="20"/>
                <w:szCs w:val="20"/>
                <w:color w:val="auto"/>
              </w:rPr>
            </w:pPr>
            <w:r>
              <w:rPr>
                <w:rFonts w:ascii="Arial" w:cs="Arial" w:eastAsia="Arial" w:hAnsi="Arial"/>
                <w:sz w:val="18"/>
                <w:szCs w:val="18"/>
                <w:color w:val="auto"/>
              </w:rPr>
              <w:t>419.2</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vMerge w:val="restart"/>
          </w:tcPr>
          <w:p>
            <w:pPr>
              <w:jc w:val="right"/>
              <w:ind w:right="13"/>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344.5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vMerge w:val="restart"/>
          </w:tcPr>
          <w:p>
            <w:pPr>
              <w:jc w:val="right"/>
              <w:ind w:right="11"/>
              <w:spacing w:after="0"/>
              <w:rPr>
                <w:sz w:val="20"/>
                <w:szCs w:val="20"/>
                <w:color w:val="auto"/>
              </w:rPr>
            </w:pPr>
            <w:r>
              <w:rPr>
                <w:rFonts w:ascii="Arial" w:cs="Arial" w:eastAsia="Arial" w:hAnsi="Arial"/>
                <w:sz w:val="18"/>
                <w:szCs w:val="18"/>
                <w:color w:val="auto"/>
              </w:rPr>
              <w:t>278.5</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188595</wp:posOffset>
            </wp:positionV>
            <wp:extent cx="133794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308" w:lineRule="exact"/>
        <w:rPr>
          <w:sz w:val="20"/>
          <w:szCs w:val="20"/>
          <w:color w:val="auto"/>
        </w:rPr>
      </w:pPr>
    </w:p>
    <w:p>
      <w:pPr>
        <w:ind w:left="420" w:right="60" w:hanging="7"/>
        <w:spacing w:after="0" w:line="382" w:lineRule="auto"/>
        <w:tabs>
          <w:tab w:leader="none" w:pos="852" w:val="left"/>
        </w:tabs>
        <w:numPr>
          <w:ilvl w:val="0"/>
          <w:numId w:val="28"/>
        </w:numPr>
        <w:rPr>
          <w:rFonts w:ascii="Arial" w:cs="Arial" w:eastAsia="Arial" w:hAnsi="Arial"/>
          <w:sz w:val="14"/>
          <w:szCs w:val="14"/>
          <w:i w:val="1"/>
          <w:iCs w:val="1"/>
          <w:color w:val="auto"/>
        </w:rPr>
      </w:pPr>
      <w:r>
        <w:rPr>
          <w:rFonts w:ascii="Arial" w:cs="Arial" w:eastAsia="Arial" w:hAnsi="Arial"/>
          <w:sz w:val="14"/>
          <w:szCs w:val="14"/>
          <w:i w:val="1"/>
          <w:iCs w:val="1"/>
          <w:color w:val="auto"/>
        </w:rPr>
        <w:t>Working capital means total current assets less total current liabilities. Pursuant to the adoption of ASU No. 2015-17, deferred tax liabilities and assets has been classified as long-term in the consolidated balance sheets and therefore the working capital for all prior periods have been restated to conform to the 2015 presentation.</w:t>
      </w:r>
    </w:p>
    <w:p>
      <w:pPr>
        <w:ind w:left="420" w:right="40" w:hanging="7"/>
        <w:spacing w:after="0" w:line="363" w:lineRule="auto"/>
        <w:tabs>
          <w:tab w:leader="none" w:pos="852"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Other long term obligations include unrecognized tax benefits, retirement benefits, capital leases obligation, deferred rent, unrealized losses on effective cash flow hedges and other long term liabilities.</w:t>
      </w:r>
    </w:p>
    <w:p>
      <w:pPr>
        <w:sectPr>
          <w:pgSz w:w="11900" w:h="16838" w:orient="portrait"/>
          <w:cols w:equalWidth="0" w:num="1">
            <w:col w:w="11420"/>
          </w:cols>
          <w:pgMar w:left="240" w:top="337"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37"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 Looking Statements.” Dollar amounts within Item 7 are presented as actual dollar amounts.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Annual Report on Form 10-K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101" w:lineRule="exact"/>
        <w:rPr>
          <w:sz w:val="20"/>
          <w:szCs w:val="20"/>
          <w:color w:val="auto"/>
        </w:rPr>
      </w:pPr>
    </w:p>
    <w:p>
      <w:pPr>
        <w:ind w:left="720" w:hanging="388"/>
        <w:spacing w:after="0"/>
        <w:tabs>
          <w:tab w:leader="none" w:pos="7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 ;</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and other risks could cause actual results to differ materially from those implied by forward looking statements in this Annual Report on Form 10-K.</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 looking statements made by us in this Annual Report on Form 10-K, or elsewhere, speaks only as of the date on which they were made. New risks and uncertainties come up from time to time, and it is impossible for us to predict these events or how they may affect us. We have no obligation to update any forward looking statements in this Annual Report on Form 10-K after the date of this Annual Report on Form 10-K,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a leading Operations Management and Analytics company that helps businesses enhance growth and profitability. Using our proprietary platforms, methodologies and tools look deeper to help companies improve global operations, enhance data-driven insights, increase customer satisfaction, and manage risk and compliance. We serve the insurance, healthcare, banking and financial services, utilities, travel, transportation and logistics industries, among others.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operating segments are significant strategic business units that align our products and services with how we manage our business, approach our key markets and interact with our clients. Effective for the quarter and year ended December 31, 2015, we merged two of our operating segments (Operations Consulting and Finance Transformation, previously part of the Analytics and Business Transformation reportable segment) into the Consulting operating segment to reflect recent organizational changes. We have also revised our reportable segments to reflect management’s focus on the Analytics operating segment. All our other operating segments have been aggregated into the Operations Management reportable segment. The March 2015 acquisition of RPM Direct LLC and RPM Data Solutions, LLC (together “RPM”) is included in the Analytics operating segment.</w:t>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new reportable segments are as follows:</w:t>
      </w:r>
    </w:p>
    <w:p>
      <w:pPr>
        <w:spacing w:after="0" w:line="9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Operations Management,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Analytics.</w:t>
      </w:r>
    </w:p>
    <w:p>
      <w:pPr>
        <w:spacing w:after="0" w:line="76"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have restated the segment information for all prior years presented herein to conform to the current presentation. This change in segment presentation does not affect our consolidated statements of income, balance sheets or statements of cash flows. For further descriptions of our operating segments, see Note 3 of the notes to consolidated financial statements in this annual report.</w:t>
      </w:r>
    </w:p>
    <w:p>
      <w:pPr>
        <w:spacing w:after="0" w:line="2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Romania and the Czech Republic. We also established four new operating centers, two in India and one each in Colombia and South Africa, during the year ended December 31, 2015.</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Consistent with our growth strategy, on March 20, 2015 we acquired RPM Direct LLC and RPM Data Solutions, LLC (collectively, "RPM"), which focuses on the insurance industry, including P&amp;C, life and health, and specialized in analyzing large consumer data sets to segment populations, predicting response rates, forecasting customer lifetime value and designing targeted, multi-channel marketing campaigns.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July 1, 2014 and October 24, 2014, we acquired Blue Slate Solutions, LLC (the “Blue Slate acquisition”) and Overland Holdings, Inc. (the “Overland acquisition”), respectively. The Blue Slate acquisition increases our Business Process Management and Technology Solutions capabilities that specialize in transforming operations through business process automation, use of innovative technologies, data integration and analytics. The Overland acquisition increases our underwriting support services capabilities for our clients in the P&amp;C insurance industry.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reimbursing the Travelers Indemnity Company (“Travelers”) for certain of their transition related expenses (the “disentanglement costs”), we recognized $26.3 million of such reimbursements as a reduction of our revenues during the year ended December 31, 2014. We did not incur any reimbursements of disentanglement costs during the year ended December 31, 2015, and we do not anticipate incurring any additional reimbursements of disentanglement costs related to Travelers going forward.</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year ended December 31, 2015, we had revenues of $628.5 million compared to revenues of $499.3 million (net of $26.3 million of reimbursement of disentanglement costs to Travelers) for the year ended December 31, 2014, an increase of $129.2 million or 25.9%. Revenues from operations management services were $506.3 million for the year ended December 31, 2015 compared to $433.7 million (net of $26.3 million of reimbursement of disentanglement costs to Travelers) for the year ended December 31, 2014. Revenues from analytics services were $122.2 million for the year ended December 31, 2015 compared to $65.6 million for the year ended December 31, 2014.</w:t>
      </w:r>
    </w:p>
    <w:p>
      <w:pPr>
        <w:spacing w:after="0" w:line="188"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serve clients mainly in the U.S. and the U.K., with these two regions generating approximately 79.0% and 17.3%, respectively, of our total revenues for the year ended December 31, 2015 and approximately 73.9% and 20.4%, respectively, of our revenues for the year ended December 31, 2014.</w:t>
      </w:r>
    </w:p>
    <w:p>
      <w:pPr>
        <w:spacing w:after="0" w:line="12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 the years ended December 31, 2015 and 2014, our total revenues from our top ten clients accounted for 40.5% and 47.4% of our total revenues, respectively. While we have reduced our revenue concentration with our top clients and are developing relationships with new clients to diversify our client base, we believe that the loss of any of our ten largest clients could have a material adverse effect on our financial performance.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37"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Our business is divided into two reporting segments: Operations Management and Analytics. RPM’s results are included in our Analytics segment.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Operations Management: We provide our clients with a range of operations management solutions principally in the insurance, healthcare, utilities, banking and financial services, and travel, transportation and logistics sectors, among others, as well as cross-industry operations management solutions, such as finance and accounting services.</w:t>
      </w:r>
    </w:p>
    <w:p>
      <w:pPr>
        <w:spacing w:after="0" w:line="1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solutions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have been observing a shift in industry pricing models toward transaction-based pricing, outcome-based pricing and other pricing models. We believe this trend will continue and we have begun to use transaction-based, outcome-based and other pricing models with some of our current clients and are seeking to move certain other clients from a billing rate model to a transaction-based or other pricing model. These transaction-based pricing models place the focus on operating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 to meet competition.</w:t>
      </w:r>
    </w:p>
    <w:p>
      <w:pPr>
        <w:spacing w:after="0" w:line="18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the short term.</w:t>
      </w:r>
    </w:p>
    <w:p>
      <w:pPr>
        <w:spacing w:after="0" w:line="18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 xml:space="preserve">Analytics: </w:t>
      </w:r>
      <w:r>
        <w:rPr>
          <w:rFonts w:ascii="Arial" w:cs="Arial" w:eastAsia="Arial" w:hAnsi="Arial"/>
          <w:sz w:val="16"/>
          <w:szCs w:val="16"/>
          <w:color w:val="auto"/>
        </w:rPr>
        <w:t>Our Analytics services focus on driving improved business outcomes for our customers by generating data-driven insights across all parts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Operations Management as part of a comprehensive solution for our clients.</w:t>
      </w:r>
    </w:p>
    <w:p>
      <w:pPr>
        <w:spacing w:after="0" w:line="15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cost of revenues primarily consists of:</w:t>
      </w:r>
    </w:p>
    <w:p>
      <w:pPr>
        <w:spacing w:after="0" w:line="23" w:lineRule="exact"/>
        <w:rPr>
          <w:sz w:val="20"/>
          <w:szCs w:val="20"/>
          <w:color w:val="auto"/>
        </w:rPr>
      </w:pPr>
    </w:p>
    <w:p>
      <w:pPr>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employee costs, which include salary, bonus and other compensation expenses; recruitment and training costs; employee insurance; transport and meals; rewards and recognition for certain employees; and non-cash stock compensation expense; and</w:t>
      </w:r>
    </w:p>
    <w:p>
      <w:pPr>
        <w:ind w:left="660" w:hanging="328"/>
        <w:spacing w:after="0" w:line="290"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costs relating to our facilities and communications network, which include telecommunication and IT costs; facilities and customer management support; operational expenses for our outsourcing centers; rent expenses; and travel and other billable costs to our clients.</w:t>
      </w:r>
    </w:p>
    <w:p>
      <w:pPr>
        <w:spacing w:after="0" w:line="162"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The most significant components of our cost of revenues are salaries and benefits (including stock based compensation), recruitment, training, transport, meals, rewards and recognition and employee insurance. Salary levels, employee turnover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rates and our ability to efficiently manage and utilize our employees significantly affect our cost of revenues. Salary increases for most of our operations personnel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a non-cash amortization of stock compensation expense relating to our issuance of equity awards to employees directly involved in providing services to our clients.</w:t>
      </w:r>
    </w:p>
    <w:p>
      <w:pPr>
        <w:spacing w:after="0" w:line="182"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inflation-based adjustments to our billing rates year over year which partially offset such increase in cost of revenues. See Item 1A-"Risk Factors-Employee wage increases may prevent us from sustaining our competitive advantage and may reduce our profit margin.”</w:t>
      </w:r>
    </w:p>
    <w:p>
      <w:pPr>
        <w:spacing w:after="0" w:line="1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Cost of revenues is also affected by our long selling cycle and implementation period for our operations management services, which require significant commitments of capital, resources and time by both our clients and us. Before committing to use our services, potential clients require us to expend substantial time and resources educating them as to the value of our services and assessing the feasibility of integrating our systems and processes with theirs. In addition, once a client engages us in a new contract, our cost of revenues may represent a higher percentage of revenues until the implementation phase for that contract, generally three to four months, is completed.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general and administrative expenses are comprised of expenses relating to salaries and benefits (including stock based compensation) as well as cost related to recruitment, training and retention of senior management and other support personnel in enabling functions, telecommunications, utilities, travel and other miscellaneous administrative costs. General and administrative ("G&amp;A") expenses also include acquisition-related costs, legal and professional fees (which represent the costs of third party legal, tax, accounting and other advisors), bad debt allowance and non-cash amortization of stock compensation expenses related to our issuance of equity awards to members of our board of directors. We expect our general and administrative costs to increase as we continue to strengthen our support and enabling functions and invest in leadership development, performance management and training programs.</w:t>
      </w:r>
    </w:p>
    <w:p>
      <w:pPr>
        <w:spacing w:after="0" w:line="8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Selling and marketing expenses primarily consist of salaries and benefits (including stock based compensation)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We expect amortization of intangible assets to increase further as we pursue strategic relationships and acquisitions.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report our financial results in U.S. dollars. A significant portion of our total revenues, however, are earned in U.K. pounds sterling (17.3% and 20.4%, respectively, of our total revenues for the years ended December 31, 2015 and 2014) while a significant portion of our expenses are incurred and paid in Indian rupees (35.4% and 46.5%, respectively, of our total costs for the years ended December 31, 2015 and 2014) and the Philippine peso (11.0% and 11.7%, respectively, of our total costs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years ended December 31, 2015 and 2014). A less material portion of our expenses are incurred in Czech Koruna. The exchange rates among the Indian rupee, the Philippine peso, the U.K. pound sterling, Czech Koruna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See Notes 2 and 7 to our consolidated financial statements and Item 7A-"Quantitative and Qualitative Disclosures about Market Risk-Foreign Currency Risk.”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Other income, net primarily consists of interest and dividend income on our investments in mutual funds, money market accounts and time deposits included in cash and cash equivalents and short-term investments on our consolidated balance sheet. Other income, net also consists of interest expense on our borrowings under the credit facility and capital lease obligations.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Indian Income Tax Act, 1961, our operations centers in India, from which we derive a significant portion of our revenues, benefitted through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 which, as of December 31, 2015, was 34.61%.</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last several years, we either established or acquired new centers that are eligible for tax benefits under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w:t>
      </w:r>
    </w:p>
    <w:p>
      <w:pPr>
        <w:spacing w:after="0" w:line="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benefit from a corporate tax holiday in the Philippines for our operations centers established there over the last several years. The tax holiday expired for one of our centers in 2014 and will expire over the next few years for other centers, which may lead to an increase in our overall tax rate. Following the expiry of the tax exemption, income generated from centers in Philippines will be taxed at the prevailing annual tax rate, which as of December 31, 2015 was 5.0% of the gross income.</w:t>
      </w:r>
    </w:p>
    <w:p>
      <w:pPr>
        <w:spacing w:after="0" w:line="7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The notes to our consolidated financial statements contain a summary of our significant accounting policies. 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goodwill, intangibles and long-lived assets, stock-based compensation, derivative instruments and hedging activity, income taxes and assets and obligations related to employee benefit plans. These accounting policies and the associated risks are set out below. Future events may not develop exactly as forecast and estimates routinely require adjustment.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derive our revenues from Operations Management and Analytics services. Revenues from Operations Management are recognized primarily on a time-and-material based, transaction based, outcome-based, cost-plus and fixed-price basis; revenues from Analytics services are recognized primarily on a time-and-material or fixed price basis. The services provided within our Operations Management and Analytics contracts generally contain one unit of accounting, except the software and related services contracts involving implementation services and post contract maintenance services. Revenues are recognized under our contracts generally when four basic criteria are met; persuasive evidence of an arrangement exists, the sales price is fixed or determinable, services have been performed and collection of amounts billed is reasonably assured.</w:t>
      </w:r>
    </w:p>
    <w:p>
      <w:pPr>
        <w:spacing w:after="0" w:line="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Revenues under time-and-material, transaction and outcome-based contracts are recognized as the services are performed. Revenues are recognized on cost-plus contracts on the basis of contractually agreed direct and indirect costs incurred on a client contract plus an agreed-upon profit markup. Such revenues are recognized as the related services are provided in accordance with the client contract. When the terms of the client contract specify service level parameters that must be met (such as turnaround time or accuracy), we monitor such service level parameters to determine if any service credits or penalties have been incurred. Revenues are recognized net of any service credits that are due to a client.</w:t>
      </w:r>
    </w:p>
    <w:p>
      <w:pPr>
        <w:spacing w:after="0" w:line="6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 from Analytics services including modeling, targeting and designing of campaigns and mail marketing including email marketing and other digital solutions is typically recognized on delivery of such campaigns.</w:t>
      </w:r>
    </w:p>
    <w:p>
      <w:pPr>
        <w:spacing w:after="0" w:line="6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Revenues for our fixed-price contracts are recognized using the proportional performance method when the pattern of performance under the contracts can be reasonably determined.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70"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software and related services contracts generally contain software license, related services and maintenance elements. In such multiple element arrangements, revenue is allocated to maintenance based on the price charged when that element is sold separately (vendor specific objective evidence or “VSOE”). Maintenance revenues are generally recognized on a straight-line basis over the contract term as they are separable and have VSOE. Services related to software licenses are evaluated to determine whether those services are significant or essential to the functionality of the software. When services are significant or considered essential, revenues related to license fee and services are recognized as the services are performed using the percentage of completion method of accounting, under which the total value of revenue is recognized on the basis of the percentage that each contract’s total labor hours to date bears to the total expected labor hours (input method).</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defer the revenues and costs attributable to certain process transition activities with respect to our certain customer contracts where the earnings process of such contracts is not complete. Such revenues and costs are subsequently recognized ratably over the period in which the related services are performed. The deferred costs are limited to the amounts of the deferred revenues.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purchase method of accounting is used for all business combinations. We account for our business combinations by recognizing the identifiable tangible and intangible assets and liabilities assumed, and non-controlling interest in the acquired business, measured at their acquisition date fair values. Contingent consideration is recognized at its fair value on the acquisition date. A liability resulting from contingent consideration is remeasured to fair value as of each reporting date until the contingency is resolved. Changes in fair value are recognized in earnings. These fair value measurements represent Level 3 measurements as they are based on significant inputs not observable in the market. All assets and liabilities of the acquired business including goodwill are assigned to reporting units. Acquisition related costs are expensed as incurred under G&amp;A expenses.</w:t>
      </w:r>
    </w:p>
    <w:p>
      <w:pPr>
        <w:spacing w:after="0" w:line="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evaluate goodwill for impairment at least annually on October 1, or if indicators of impairment arise, such as the effects of obsolescence, demand, competition and other economic factors or on occurrence of an event or change in circumstances that would more likely than not reduce the fair value of the reporting unit below its carrying amount. When determining the fair value of our reporting units, we utilize various assumptions, including operating results, business plans and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Under the fair value recognition provisions of ASC topic 718, “Compensation-Stock Compensation” (“ASC No. 718”), cost is measured at the grant date, based on the fair value of the award and is amortized on a straight-line basis over the requisite service periods of the awards, which is generally the vesting periods. Determining the fair value of stock-based awards at the grant date requires significant judgment, including estimating the expected term over which the stock awards will be outstanding before they are exercised, the expected volatility of our stock and the number of stock-based awards that are expected to be forfeited. In order to determine the estimated period of time that we expect employees to hold their share-based options, we have used data on the historical exercise pattern of employees. We use the historical volatility of our common stock and the volatility of stocks of our peer companies in order to estimate future share price trends. We use historical data to estimate pre-vesting option forfeitures and record stock-based compensation expense only for those awards that are expected to vest. The risk-free interest rate that we use in the option valuation model is based on U.S. treasury zero-coupon bonds with a remaining term similar to the expected term of the options. We do not anticipate paying any cash dividends in the foreseeable future and therefore use an expected dividend yield of zero in the Black-Scholes option pricing model. If the actual forfeiture rate differs significantly from our estimates, our stock-based compensation expense and our results of operations could be materially impacted.</w:t>
      </w:r>
    </w:p>
    <w:p>
      <w:pPr>
        <w:spacing w:after="0" w:line="7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Under the Amendment and Restatement of the 2006 Omnibus Award Plan (“2015 Plan”), we grant performance-based restricted stock units (“PRSUs”) to executive officers and other specified employees. 50% of the PRSUs will cliff vest at the end of a three-year period based on a revenue target of the third year (“PUs”). The other 50% vest based on a market condition (“MUs”) that is contingent on EXL meeting or exceeding the total shareholder return relative to a group of peer companies specified under the program, measured over a three-year performance period. The award recipient may earn up to two hundred percent (200%) of the PRSUs granted based on the actual performance for both types of PRSUs. The fair value of each PU is determined based on the market price of one share of our common stock on the date of grant. The expense related to our unvested PUs as of December 31, 2015 was based on our assessment that the performance criteria for these grants would be met at the 100% performance target level during the respective years of vesting.</w:t>
      </w:r>
    </w:p>
    <w:p>
      <w:pPr>
        <w:spacing w:after="0" w:line="59"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grant date fair value for the MUs is determined using a Monte Carlo simulation model. The Monte-Carlo simulation model simulates a range of possible future stock prices and estimates the probabilities of the potential payouts. This model also incorporates the following ranges of assumptions:</w:t>
      </w:r>
    </w:p>
    <w:p>
      <w:pPr>
        <w:spacing w:after="0" w:line="147" w:lineRule="exact"/>
        <w:rPr>
          <w:sz w:val="20"/>
          <w:szCs w:val="20"/>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historical volatilities are used over the most recent three-year period for the components of the peer group.</w:t>
      </w:r>
    </w:p>
    <w:p>
      <w:pPr>
        <w:spacing w:after="0" w:line="23" w:lineRule="exact"/>
        <w:rPr>
          <w:rFonts w:ascii="Arial" w:cs="Arial" w:eastAsia="Arial" w:hAnsi="Arial"/>
          <w:sz w:val="18"/>
          <w:szCs w:val="18"/>
          <w:color w:val="auto"/>
        </w:rPr>
      </w:pPr>
    </w:p>
    <w:p>
      <w:pPr>
        <w:ind w:left="240" w:hanging="232"/>
        <w:spacing w:after="0"/>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240" w:right="20" w:hanging="232"/>
        <w:spacing w:after="0" w:line="250" w:lineRule="auto"/>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Since the plan stipulates that the awards are based upon our total shareholders’ return (the “TSR”) and the components of the peer group, it is assumed that the dividends get reinvested in the issuing entity on a continuous basis.</w:t>
      </w:r>
    </w:p>
    <w:p>
      <w:pPr>
        <w:ind w:left="240" w:right="260" w:hanging="232"/>
        <w:spacing w:after="0" w:line="261" w:lineRule="auto"/>
        <w:tabs>
          <w:tab w:leader="none" w:pos="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correlation coefficients are used to model the way in which each entity tends to move in relation to each other are based upon the price data used to calculate the historical volatilities.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normal course of business, we actively look to mitigate the exposure of foreign currency market risk by entering into various foreign currency exchange forward contracts, authorized under our policies, with counterparties that are highly rated financial institutions. Our primary exchange rate exposure is with the U.K. pound sterling, the Philippine peso and the Indian rupee. We also have exposure in Czech koruna and other local currencies where we operate. We use derivative instruments for the purpose of mitigating the underlying exposure from foreign currency fluctuation risks associated with forecasted transactions denominated in certain foreign currencies and to minimize earnings and cash flow volatility associated with the changes in foreign currency exchange rates and not for speculative trading purposes.</w:t>
      </w:r>
    </w:p>
    <w:p>
      <w:pPr>
        <w:spacing w:after="0" w:line="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hedge anticipated transactions that are subject to foreign exchange exposure with foreign currency exchange contracts that qualify as cash flow hedges. Changes in the fair value of these cash flow hedges which are deemed effective are deferred and recorded as a component of accumulated other comprehensive income/(loss), net of tax until the hedged transactions occur and are then recognized in the foreign exchange gain/(loss) in our consolidated statements of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the fair value of cash flow hedges deemed ineffective are recognized in the consolidated statement of income and are included in foreign exchange gain/(loss).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also use derivatives consisting of foreign currency exchange contracts to economically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value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evaluate hedge effectiveness of cash flow hedges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utilize the asset and liability method of accounting for income taxes.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to occur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current tax assessments.</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generally anticipate that we will indefinitely reinvest the undistributed earnings of our foreign subsidiaries. Accordingly, we do not accrue any material income, distribution or withholding taxes that would otherwise arise if such earnings were repatriated in a taxable manner.</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likelihood of being realized upon settlement. Our income tax expense also takes into account any interest or penalties related to unrecognized tax benefits.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We provide our employees in India and the Philippines with benefits under a defined benefit plan, which we refer to as the Gratuity Plan. The Gratuity Plan provides a lump sum payment to vested employees on retirement or on termination of employment in an amount based on the respective employee’s salary and years of employment with us. We determine our liability under the Gratuity Plan by actuarial valuation using the projected unit credit method. Under this method, we determine our liability based upon the discounted value of salary increases until the date of separation arising from retirement, death, resignation or other termination of services. Critical assumptions used in measuring the plan expense and projected liability under the projected unit credit method include the discount rate, expected return on assets and the expected increase in the compensation rates. We evaluate these critical assumptions at least annually. If actual results differ significantly from our estimates, our gratuity expense and our results of operations could be materially impacted. Our gratuity plan in India is partially funded. We make annual contributions to the employees’ gratuity fund established with Life Insurance Corporation of India and HDFC Standard Life Insurance Company. They calculate the annual contribution required to be made and manage the Gratuity Plans, including any required payouts. Fund managers manage these funds on a cash accumulation basis and declare interest retrospectively on March 31 of each year.</w:t>
      </w:r>
    </w:p>
    <w:p>
      <w:pPr>
        <w:spacing w:after="0" w:line="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recognize the liabilities for compensated absences dependent on whether the obligation is attributable to employee services already rendered, relates to rights that vest or accumulate and payment is probable and estimable.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years ended December 31, 2015, 2014 and 2013:</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231"/>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r>
      <w:tr>
        <w:trPr>
          <w:trHeight w:val="196"/>
        </w:trPr>
        <w:tc>
          <w:tcPr>
            <w:tcW w:w="4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3"/>
              </w:rPr>
              <w:t>(dollars in millions)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5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300" w:type="dxa"/>
            <w:vAlign w:val="bottom"/>
            <w:tcBorders>
              <w:bottom w:val="single" w:sz="8" w:color="CCEEFF"/>
            </w:tcBorders>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628.5</w:t>
            </w:r>
          </w:p>
        </w:tc>
        <w:tc>
          <w:tcPr>
            <w:tcW w:w="500" w:type="dxa"/>
            <w:vAlign w:val="bottom"/>
            <w:tcBorders>
              <w:bottom w:val="single" w:sz="8" w:color="CCEEFF"/>
            </w:tcBorders>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499.3</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402.9</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291.0</w:t>
            </w:r>
          </w:p>
        </w:tc>
      </w:tr>
      <w:tr>
        <w:trPr>
          <w:trHeight w:val="27"/>
        </w:trPr>
        <w:tc>
          <w:tcPr>
            <w:tcW w:w="4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4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225.6</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4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158.3</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132.7</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w:t>
            </w:r>
          </w:p>
        </w:tc>
      </w:tr>
      <w:tr>
        <w:trPr>
          <w:trHeight w:val="27"/>
        </w:trPr>
        <w:tc>
          <w:tcPr>
            <w:tcW w:w="4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Foreign exchange gain/(loss), net</w:t>
            </w: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75.8</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0"/>
                <w:szCs w:val="20"/>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w:t>
            </w:r>
          </w:p>
        </w:tc>
        <w:tc>
          <w:tcPr>
            <w:tcW w:w="18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r>
      <w:tr>
        <w:trPr>
          <w:trHeight w:val="27"/>
        </w:trPr>
        <w:tc>
          <w:tcPr>
            <w:tcW w:w="4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1300" w:type="dxa"/>
            <w:vAlign w:val="bottom"/>
            <w:gridSpan w:val="2"/>
          </w:tcPr>
          <w:p>
            <w:pPr>
              <w:jc w:val="right"/>
              <w:ind w:right="710"/>
              <w:spacing w:after="0"/>
              <w:rPr>
                <w:sz w:val="20"/>
                <w:szCs w:val="20"/>
                <w:color w:val="auto"/>
              </w:rPr>
            </w:pPr>
            <w:r>
              <w:rPr>
                <w:rFonts w:ascii="Arial" w:cs="Arial" w:eastAsia="Arial" w:hAnsi="Arial"/>
                <w:sz w:val="18"/>
                <w:szCs w:val="18"/>
                <w:color w:val="auto"/>
              </w:rPr>
              <w:t>48</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0219"/>
          </w:cols>
          <w:pgMar w:left="240" w:top="337"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28"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74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4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6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4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Management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506.3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433.7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4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w w:val="93"/>
              </w:rPr>
              <w:t>122.2</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628.5</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499.3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302" w:lineRule="auto"/>
        <w:rPr>
          <w:sz w:val="20"/>
          <w:szCs w:val="20"/>
          <w:color w:val="auto"/>
        </w:rPr>
      </w:pPr>
      <w:r>
        <w:rPr>
          <w:rFonts w:ascii="Arial" w:cs="Arial" w:eastAsia="Arial" w:hAnsi="Arial"/>
          <w:sz w:val="16"/>
          <w:szCs w:val="16"/>
          <w:color w:val="auto"/>
        </w:rPr>
        <w:t>Revenue growth in Operations Management of $72.6 million was driven by incremental revenue of $60.6 million from our Overland and Blue Slate acquisitions and net volume increases from our new and existing clients of $27.0 million. The increase in revenues is offset by a decrease in revenues from Travelers of $7.7 million (net of $26.3 million of reimbursement of disentanglement costs) and $7.3 million impact due to the depreciation of the Indian rupee and the U.K. pound sterling against the U.S. dollar during the year ended December 31, 2015 compared to the year ended December 31, 2014.</w:t>
      </w:r>
    </w:p>
    <w:p>
      <w:pPr>
        <w:spacing w:after="0" w:line="46"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Analytics of $56.6 million was driven by revenues of $32.8 million from our RPM acquisition and net volume increases in our recurring and project based engagements from our existing clients of $23.2 million and new client wins of $1.9 million. The increase is offset by a decrease of $1.3 million due to the depreciation of the U.K. pound sterling against the U.S. dollar during the year ended December 31, 2015 compared to the year ended December 31, 2014.</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6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628.5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6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402.9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332.6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7"/>
          <w:szCs w:val="17"/>
          <w:color w:val="auto"/>
        </w:rPr>
        <w:t>The increase in cost of revenues was primarily due to an increase in employee-related costs of $55.6 million (including $43.5 million of incremental employee-related costs related to our acquisitions). The remaining increase of $12.1 million in employee-related cost is primarily due to annual wage increases and an increase in our average headcount of personnel directly involved in providing services to our clients. We also experienced an increase in facilities, technology and other operating expenses of $26.0 million (including incremental cost of revenues of $23.6 million related to our acquisitions). This increase was partially offset by a decrease in reimbursable expenses of $0.8 million, resulting in a corresponding decrease in revenues and decrease of $10.5 million due to the impact of depreciation of the Indian rupee, the U.K pound sterling and the Philippine peso against the U.S. dollar during the year ended December 31, 2015 compared to the year ended December 31, 2014.</w:t>
      </w:r>
    </w:p>
    <w:p>
      <w:pPr>
        <w:spacing w:after="0" w:line="174"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Gross profit increased by $58.9 million, or 35.3%, from $166.7 million for the year ended December 31, 2014 to $225.6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2015. The increase is primarily due to the impact of reimbursement of disentanglement cost to Travelers of $26.3 million during the year ended December 31, 2014, higher revenues in our Analytics services, impact of our acquisitions and depreciation of the Indian Rupee, the Philippine peso and the U.K. pound sterling against the U.S. dollar.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6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36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increase in SG&amp;A expenses was primarily due to an increase in employee-related costs of $17.6 million (including $13.2 million of incremental employee-related costs related to our acquisitions). The remaining increase of $4.4 million in employee-related cost is primarily due to annual wage increments and an increase in our average headcount to support the increased business volumes. We also experienced an increase in our other SG&amp;A expenses of $6.6 million (including incremental SG&amp;A expenses of $3.4 million related to our acquisitions), due to an increase in facility and other general and administrative expenses of $1.9 million primarily associated with our new operating centers in India, South Africa and Colombia and an increase in travel and other marketing related expenses of $1.3 million. This increase was partially offset by a decrease of $2.1 million due to the impact of depreciation of the Indian rupee, the U.K. pound sterling and the Philippine peso against the U.S. dollar during the year ended December 31, 2015 compared to the year ended December 31, 2014.</w:t>
      </w:r>
    </w:p>
    <w:p>
      <w:pPr>
        <w:spacing w:after="0" w:line="30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58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58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76"/>
              <w:spacing w:after="0"/>
              <w:rPr>
                <w:sz w:val="20"/>
                <w:szCs w:val="20"/>
                <w:color w:val="auto"/>
              </w:rPr>
            </w:pPr>
            <w:r>
              <w:rPr>
                <w:rFonts w:ascii="Arial" w:cs="Arial" w:eastAsia="Arial" w:hAnsi="Arial"/>
                <w:sz w:val="14"/>
                <w:szCs w:val="14"/>
                <w:b w:val="1"/>
                <w:bCs w:val="1"/>
                <w:color w:val="auto"/>
                <w:w w:val="93"/>
              </w:rPr>
              <w:t>(dollars in millions)</w:t>
            </w: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90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72" w:lineRule="auto"/>
        <w:rPr>
          <w:sz w:val="20"/>
          <w:szCs w:val="20"/>
          <w:color w:val="auto"/>
        </w:rPr>
      </w:pPr>
      <w:r>
        <w:rPr>
          <w:rFonts w:ascii="Arial" w:cs="Arial" w:eastAsia="Arial" w:hAnsi="Arial"/>
          <w:sz w:val="17"/>
          <w:szCs w:val="17"/>
          <w:color w:val="auto"/>
        </w:rPr>
        <w:t>Depreciation and amortization expense increased $3.5 million, or 12.3%, from $28.0 million for the year ended December 31, 2014 to $31.5 million for the year ended December 31, 2015. Intangible amortization expense increased by $3.6 million, primarily due to an incremental amortization expense associated with our acquisitions. Depreciation expenses decreased by $0.1 million, due to the impact of change in estimated useful life of certain fixed assets of $1.7 million and $0.7 million due to the impact of depreciation of the Indian rupee and the Philippine peso against the U.S. dollar during the year ended December 31, 2015 compared to the year ended December 31, 2014. This decrease is partially offset by an increase in the depreciation expenses of $2.3 million (including incremental depreciation expenses of $1.1 million related to our acquisitions), primarily due to the depreciation expenses associated with our new operating centers in India, South Africa and the Philippines.</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$33.3 million, or 97.8%, from $34.0 million for the year ended December 31,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$67.3 million for the year ended December 31, 2015. As a percentage of revenues, income from operations increased from 6.8% for the year ended December 31, 2014 to 10.7% for the year ended December 31, 2015.</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Exchange Gain /( Loss). </w:t>
      </w:r>
      <w:r>
        <w:rPr>
          <w:rFonts w:ascii="Arial" w:cs="Arial" w:eastAsia="Arial" w:hAnsi="Arial"/>
          <w:sz w:val="18"/>
          <w:szCs w:val="18"/>
          <w:color w:val="auto"/>
        </w:rPr>
        <w:t>Net foreign exchange gains and losses are primarily attributable to movement of the U.S. dollar against the Indian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rupee, the U.K. pound sterling and the Philippine peso during the year ended December 31, 2015. The average exchange rate of the Indian rupee against the U.S. dollar increased from 61.12 during the year ended December 31, 2014 to 64.28 during the year ended December 31, 2015. The average exchange rate of the U.K pound sterling against the U.S. dollar increased from 0.61 during the year ended December 31, 2014 to 0.66 during the year ended December 31, 2015. The average exchange rate of the Philippine peso against the U.S. dollar increased from 44.43 during the year ended December 31, 2014 to 45.60 during the year ended December 31, 2015.</w:t>
      </w:r>
    </w:p>
    <w:p>
      <w:pPr>
        <w:spacing w:after="0" w:line="85"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We recorded a net foreign exchange gain of $2.8 million for the year ended December 31, 2015 compared to a negligible foreign exchange impact for the year ended December 31, 2014.</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0" w:type="dxa"/>
        <w:tblCellMar>
          <w:top w:w="0" w:type="dxa"/>
          <w:left w:w="0" w:type="dxa"/>
          <w:bottom w:w="0" w:type="dxa"/>
          <w:right w:w="0" w:type="dxa"/>
        </w:tblCellMar>
      </w:tblPr>
      <w:tr>
        <w:trPr>
          <w:trHeight w:val="47"/>
        </w:trPr>
        <w:tc>
          <w:tcPr>
            <w:tcW w:w="48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right"/>
              <w:ind w:right="33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40" w:type="dxa"/>
            <w:vAlign w:val="bottom"/>
          </w:tcPr>
          <w:p>
            <w:pPr>
              <w:jc w:val="right"/>
              <w:ind w:right="4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83.8 %</w:t>
            </w:r>
          </w:p>
        </w:tc>
        <w:tc>
          <w:tcPr>
            <w:tcW w:w="0" w:type="dxa"/>
            <w:vAlign w:val="bottom"/>
          </w:tcPr>
          <w:p>
            <w:pPr>
              <w:spacing w:after="0"/>
              <w:rPr>
                <w:sz w:val="1"/>
                <w:szCs w:val="1"/>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Increase in interest and dividend income was primarily due to higher cash balances in our certain foreign subsidiaries and higher yield on investments during the year ended December 31, 2015 compared to the year ended December 31, 2014. This increase in interest and dividend income was partially offset by an increase in interest expense of $0.9 million, primarily due to additional borrowings under our Credit Facility (described below) and the amortization of related deferred financing cost.</w:t>
      </w:r>
    </w:p>
    <w:p>
      <w:pPr>
        <w:spacing w:after="0" w:line="18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increased from 13.8% for the year ended December 31, 2014 to 32.0%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The increase in 2015 was primarily due to a lower income tax expense during the year ended December 31, 2014, which was due to the reversal of an unrecognized tax benefit of $2.2 million and lower income in the U.S. (versus other jurisdictions in which we incur taxes at a lower rate). The lower income in the U.S. was due to reimbursement of disentanglement costs to Travelers during the year ended December 31, 2014. The effective tax rate further increased in 2015 due to an income tax expense which related to immaterial errors from prior years of approximately $2.5 million, lower tax holiday benefits of $0.2 million and increase in corporate tax rate in our certain foreign subsidiaries during the year ended December 31, 2015 compared to the year ended December 31, 2014.</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$32.4 million for the year ended December 31, 2014 to $51.6 million for the year ended December 31,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higher income from operations of $33.3 million and increase in other income and foreign exchange gain of $4.9 million, partially offset by higher income tax expense of $19.0 million. As a percentage of revenues, net income increased from 6.5% for the year ended December 31, 2014 to 8.2% for the year ended December 31,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2014 Compared to Year Ended December 31, 2013</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342"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6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4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4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Operations Management</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433.7</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433.0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640" w:type="dxa"/>
            <w:vAlign w:val="bottom"/>
          </w:tcPr>
          <w:p>
            <w:pPr>
              <w:ind w:left="20"/>
              <w:spacing w:after="0"/>
              <w:rPr>
                <w:sz w:val="20"/>
                <w:szCs w:val="20"/>
                <w:color w:val="auto"/>
              </w:rPr>
            </w:pPr>
            <w:r>
              <w:rPr>
                <w:rFonts w:ascii="Arial" w:cs="Arial" w:eastAsia="Arial" w:hAnsi="Arial"/>
                <w:sz w:val="18"/>
                <w:szCs w:val="18"/>
                <w:color w:val="auto"/>
              </w:rPr>
              <w:t>Analytics</w:t>
            </w:r>
          </w:p>
        </w:tc>
        <w:tc>
          <w:tcPr>
            <w:tcW w:w="82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3"/>
              </w:rPr>
              <w:t>499.3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478.5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Revenue growth in Operations Management services of $0.7 million was primarily due to an increase in revenues from our Overland and Blue Slate acquisitions aggregating to $16.5 million and net volume increases from our existing and new clients of $25.0 million. This increase was offset by a decrease in revenues from Travelers of $36.7 million ($26.0 million due to the reimbursement of disentanglement costs and $10.7 million due to certain services being transitioned away throughout 2014) during the year ended December 31, 2014 compared to the year ended December 31, 2013, and $4.1 million due to net impact of depreciation of the Indian rupee and appreciation of the U.K. pound sterling against the U.S. dollar during the year ended December 31, 2014 compared to the year ended December 31, 2013.</w:t>
      </w:r>
    </w:p>
    <w:p>
      <w:pPr>
        <w:spacing w:after="0" w:line="19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increase in revenues from our Analytics services of $20.1 million was primarily driven by an increase in revenues of $20.8 million in our recurring and project-based engagements in analytics and $0.6 million due to impact of appreciation of the U.K. pound sterling against the U.S. dollar during the year ended December 31, 2014 compared to the year ended December 31, 2013. This increase was offset by a decrease in revenues from Travelers of $1.3 million due to services being transitioned away in 2014.</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5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8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499.3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478.5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100" w:type="dxa"/>
            <w:vAlign w:val="bottom"/>
          </w:tcPr>
          <w:p>
            <w:pPr>
              <w:jc w:val="right"/>
              <w:ind w:right="116"/>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114"/>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166.7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increase in cost of revenues was primarily due to an increase in employee-related costs of $40.1 million (including $10.5 million of employee-related costs related to the Overland and Blue Slate acquisitions). The increase of $29.6 million in employee-related cost is due to annual wage increments and an increase in our average headcount of personnel directly involved in providing services to our clients. We also experienced an increase in facilities, technology and other operating expenses of $8.8 million (including $1.6 million related to the Overland and Blue Slate acquisitions) in connection with our new operations centers in India and the Philippines and to support business growth. Cost of revenues further increased by $1.0 million due to an increase in reimbursable expenses, resulting in corresponding increase in revenues. The increase was partially offset by $8.3 million due to the impact of depreciation of the Indian rupee and the Philippine peso against the U.S. dollar during the year ended December 31, 2014 compared to the year ended December 31, 2013. Cost of revenues as a percentage of revenues increased from 60.8% for the year ended December 31, 2013 to 66.6% for the year ended December 31, 2014.</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Gross Profit</w:t>
      </w:r>
      <w:r>
        <w:rPr>
          <w:rFonts w:ascii="Arial" w:cs="Arial" w:eastAsia="Arial" w:hAnsi="Arial"/>
          <w:sz w:val="18"/>
          <w:szCs w:val="18"/>
          <w:color w:val="auto"/>
        </w:rPr>
        <w:t>. Gross profit decreased by $20.8 million, or 11.1%, from $187.5 million for the year ended December 31, 2013 to $166.7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2014. The decrease was primarily due to the impact of reimbursement of disentanglement cost to Travelers of $26.3 million and higher employee-related costs, partially offset by higher revenues.</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5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65.4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34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104.7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3"/>
              </w:rPr>
              <w:t>19.9%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increase in SG&amp;A expenses was primarily due to an increase in employee-related costs of $7.9 million (including $2.4 million of employee-related costs related to the Overland and Blue Slate acquisitions). The increase of $5.5 million in employee-related cost is due to annual wage increments and an increase in our average headcount. We also experienced an increase in our other SG&amp;A expenses of $2.6 million (including $0.6 million related to the Overland and Blue Slate acquisitions). The increase in other SG&amp;A was primarily due to an increase in legal and professional fees associated with our acquisitions and other strategic initiatives, increase in our facilities costs in connection with our new operations centers in India and the Philippines and other marketing related costs. This increase was partially offset by a decrease of $1.0 million due to the impact of depreciation of the Indian rupee and the Philippine peso against the U.S. dollar during the year ended December 31, 2014 compared to the year ended December 31, 2013.</w:t>
      </w:r>
    </w:p>
    <w:p>
      <w:pPr>
        <w:spacing w:after="0" w:line="2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5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52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2013</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5"/>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18.6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8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1"/>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Depreciation and amortization expense increased $3.1 million, or 12.5%, from $24.9 million for the year ended December 31, 2013 to $28.0 million for the year ended December 31, 2014. The increase in amortization of intangibles of $0.3 million was primarily due to our Overland and Blue Slate acquisitions. Further, there was an increase in our depreciation expense of $3.5 million, primarily due to depreciation related to our new capital investments to support business growth, our new operations centers in India and the Philippines and $0.2 million related to the Overland and Blue Slate acquisitions. These increases were partially offset by a decrease of $0.7 million due to depreciation of the Indian rupee and the Philippine peso against the U.S. dollar during the year ended December 31, 2014.</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$33.4 million, or 49.5%, from $67.4 million for the year ended December 31, 2013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$34.0 million for the year ended December 31, 2014. As a percentage of revenues, income from operations decreased from 14.1% for the year ended December 31, 2013 to 6.8% for the year ended December 31, 2014. The decrease in income from operations as a percentage of revenues was primarily due to lower gross profit and higher SG&amp;A expenses as a percentage of revenues during the year ended December 31, 2014 compared to the year ended December 31, 2013.</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b w:val="1"/>
          <w:bCs w:val="1"/>
          <w:i w:val="1"/>
          <w:iCs w:val="1"/>
          <w:color w:val="auto"/>
        </w:rPr>
        <w:t xml:space="preserve">Foreign Exchange Gain /( Loss). </w:t>
      </w:r>
      <w:r>
        <w:rPr>
          <w:rFonts w:ascii="Arial" w:cs="Arial" w:eastAsia="Arial" w:hAnsi="Arial"/>
          <w:sz w:val="17"/>
          <w:szCs w:val="17"/>
          <w:color w:val="auto"/>
        </w:rPr>
        <w:t>Net foreign exchange losses were attributable to movement of the U.S. dollar against the Indian rupee, the U.K.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pound sterling and the Philippine peso during the year ended December 31, 2014. The average exchange rate of the Indian rupee against the U.S. dollar increased from 58.80 during the year ended December 31, 2013 to 61.12 during the year ended December 31, 2014. We recorded a net foreign exchange loss of $5.0 million for the year ended December 31, 2013 compared to a nil foreign exchange impact for the year ended December 31, 2014.</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0" w:lineRule="exact"/>
        <w:rPr>
          <w:sz w:val="20"/>
          <w:szCs w:val="20"/>
          <w:color w:val="auto"/>
        </w:rPr>
      </w:pPr>
    </w:p>
    <w:p>
      <w:pPr>
        <w:spacing w:after="0" w:line="236"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vMerge w:val="restart"/>
          </w:tcPr>
          <w:p>
            <w:pPr>
              <w:jc w:val="right"/>
              <w:ind w:right="31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3"/>
              </w:rPr>
              <w:t>2013</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00" w:type="dxa"/>
            <w:vAlign w:val="bottom"/>
          </w:tcPr>
          <w:p>
            <w:pPr>
              <w:jc w:val="right"/>
              <w:ind w:right="43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dividend income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48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880" w:type="dxa"/>
            <w:vAlign w:val="bottom"/>
            <w:tcBorders>
              <w:top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Increase in net interest and other income of $1.0 million, was primarily due to higher yield on investments as a result of higher average cash balances during the year ended December 31, 2014 compared to the year ended December 31, 2013.</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decreased from $16.9 million for the year ended December 31, 2013 to $5.2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2014. The effective tax rate decreased from 26.0% for the year ended December 31, 2013 to 13.8% for the year ended December 31, 2014, primarily due to the reversal of an unrecognized tax benefit of $2.2 million and federal losses in the United States related to reimbursement of disentanglement costs to Travelers (refer to Note 13 to our consolidated financial statements for further details).</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decreased from $48.1 million for the year ended December 31, 2013 to $32.4 million for the year ended December 31, 2014,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decrease in income from operations of $33.4 million, partially offset by an increase in other income of $6.0 million and a decrease in income tax expense of $11.7 million. As a percentage of revenues, net income decreased from 10.1% for the year ended December 31, 2013 to 6.5% for the year ended December 31, 2014.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Opening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-139065</wp:posOffset>
            </wp:positionV>
            <wp:extent cx="61658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46355</wp:posOffset>
            </wp:positionV>
            <wp:extent cx="6165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used for investing activities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46355</wp:posOffset>
            </wp:positionV>
            <wp:extent cx="61658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65850" cy="171450"/>
                    </a:xfrm>
                    <a:prstGeom prst="rect">
                      <a:avLst/>
                    </a:prstGeom>
                    <a:noFill/>
                  </pic:spPr>
                </pic:pic>
              </a:graphicData>
            </a:graphic>
          </wp:anchor>
        </w:drawing>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Effect of exchange rate changes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Closing cash and cash equivalents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18180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r>
      <w:tr>
        <w:trPr>
          <w:trHeight w:val="190"/>
        </w:trPr>
        <w:tc>
          <w:tcPr>
            <w:tcW w:w="340" w:type="dxa"/>
            <w:vAlign w:val="bottom"/>
          </w:tcPr>
          <w:p>
            <w:pPr>
              <w:spacing w:after="0"/>
              <w:rPr>
                <w:sz w:val="16"/>
                <w:szCs w:val="16"/>
                <w:color w:val="auto"/>
              </w:rPr>
            </w:pPr>
          </w:p>
        </w:tc>
        <w:tc>
          <w:tcPr>
            <w:tcW w:w="2520" w:type="dxa"/>
            <w:vAlign w:val="bottom"/>
            <w:gridSpan w:val="3"/>
          </w:tcPr>
          <w:p>
            <w:pPr>
              <w:jc w:val="right"/>
              <w:ind w:right="733"/>
              <w:spacing w:after="0"/>
              <w:rPr>
                <w:sz w:val="20"/>
                <w:szCs w:val="20"/>
                <w:color w:val="auto"/>
              </w:rPr>
            </w:pPr>
            <w:r>
              <w:rPr>
                <w:rFonts w:ascii="Arial" w:cs="Arial" w:eastAsia="Arial" w:hAnsi="Arial"/>
                <w:sz w:val="14"/>
                <w:szCs w:val="14"/>
                <w:b w:val="1"/>
                <w:bCs w:val="1"/>
                <w:color w:val="auto"/>
              </w:rPr>
              <w:t>(dollars in millions)</w:t>
            </w:r>
          </w:p>
        </w:tc>
      </w:tr>
      <w:tr>
        <w:trPr>
          <w:trHeight w:val="255"/>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176.5</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148.1</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96.7</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(73.5)</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70"/>
        </w:trPr>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w:t>
            </w:r>
          </w:p>
        </w:tc>
        <w:tc>
          <w:tcPr>
            <w:tcW w:w="4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205.3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176.5</w:t>
            </w:r>
          </w:p>
        </w:tc>
      </w:tr>
      <w:tr>
        <w:trPr>
          <w:trHeight w:val="27"/>
        </w:trPr>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20" w:space="720"/>
            <w:col w:w="4080"/>
          </w:cols>
          <w:pgMar w:left="240" w:top="337" w:right="239" w:bottom="1440" w:gutter="0" w:footer="0" w:header="0"/>
          <w:type w:val="continuous"/>
        </w:sectPr>
      </w:pPr>
    </w:p>
    <w:p>
      <w:pPr>
        <w:spacing w:after="0" w:line="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December 31, 2015 and 2014, we had $219.0 million and $188.1 million, respectively in cash, cash equivalents and short-term investments (including $136.0 million and $110.5 million, respectively, held by our foreign subsidiaries). We do not intend to repatriate funds held by our foreign subsidiaries since our future growth partially depends upon continued infrastructure and technology investments, geographical expansions and acquisitions outside of the U.S. Therefore, we intend to reinvest the earnings generated outside of the U.S. If we were to repatriate our overseas funds, we would accrue and pay applicable taxes.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increased by $30.0 million from $66.7 million for the year ended December 31, 2014</w:t>
      </w:r>
      <w:r>
        <w:rPr>
          <w:rFonts w:ascii="Arial" w:cs="Arial" w:eastAsia="Arial" w:hAnsi="Arial"/>
          <w:sz w:val="18"/>
          <w:szCs w:val="18"/>
          <w:i w:val="1"/>
          <w:iCs w:val="1"/>
          <w:color w:val="auto"/>
        </w:rPr>
        <w:t xml:space="preserve"> </w:t>
      </w:r>
      <w:r>
        <w:rPr>
          <w:rFonts w:ascii="Arial" w:cs="Arial" w:eastAsia="Arial" w:hAnsi="Arial"/>
          <w:sz w:val="18"/>
          <w:szCs w:val="18"/>
          <w:color w:val="auto"/>
        </w:rPr>
        <w:t>to $96.7 million for the year ended December 31, 2015. Generally, factors that affect our earnings—including pricing, volume of services, costs and productivity—affect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88"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increase in cash flows provided by operations for the year ended December 31, 2015 compared to the year ended December 31, 2014 was due to an increase in net income adjusted for non-cash expenses by $25.5 million, primarily due to an increase in net income by $19.1 million, stock compensation expense by $5.0 million and deferred income taxes by $2.2 million. The cash flow from operations further increased due to an decrease in working capital of $0.9 million during the year ended December 31, 2015 compared to an increase of $3.6 million during the year ended December 31, 2014.</w:t>
      </w:r>
    </w:p>
    <w:p>
      <w:pPr>
        <w:spacing w:after="0" w:line="154"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flows used for investing activities decreased by $14.8 million from $88.3 million for the year ended December 31, 2014 to</w:t>
      </w:r>
      <w:r>
        <w:rPr>
          <w:rFonts w:ascii="Arial" w:cs="Arial" w:eastAsia="Arial" w:hAnsi="Arial"/>
          <w:sz w:val="16"/>
          <w:szCs w:val="16"/>
          <w:i w:val="1"/>
          <w:iCs w:val="1"/>
          <w:color w:val="auto"/>
        </w:rPr>
        <w:t xml:space="preserve"> </w:t>
      </w:r>
      <w:r>
        <w:rPr>
          <w:rFonts w:ascii="Arial" w:cs="Arial" w:eastAsia="Arial" w:hAnsi="Arial"/>
          <w:sz w:val="16"/>
          <w:szCs w:val="16"/>
          <w:color w:val="auto"/>
        </w:rPr>
        <w:t>$73.5 million for the year ended December 31, 2015. The decrease was primarily due to cash paid for the Overland and Blue Slate acquisitions (net of cash acquired) of $51.9 million and $6.3 million, respectively, during the year ended December 31, 2014 compared to cash paid for the RPM acquisition (net of cash acquired) of $44.2 million during the year ended December 31, 2015. There was further a decrease in capital expenditures of $2.1 million, partially offset by an increase in short-term investments of $1.3 million during the year ended December 31, 2015 compared to the year ended December 31, 2014.</w:t>
      </w:r>
    </w:p>
    <w:p>
      <w:pPr>
        <w:spacing w:after="0" w:line="15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provided by financing activities was $10.0 million during the year ended December 31, 2015 compared to $52.9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year ended December 31, 2014. The decrease is primarily due to $50.0 million of borrowings under the Credit Agreement (as described below in “—Financing Arrangements”) during the year ended December 31, 2014 compared to net $20.0 million of borrowings during the year ended December 31, 2015. Cash flows from financing activities further decreased due to higher purchases of treasury stock of $10.9 million under the shares repurchase program and lower proceeds from exercise of stock options of $3.1 million during the year ended December 31, 2015 compared to the year ended December 31, 2014.</w:t>
      </w:r>
    </w:p>
    <w:p>
      <w:pPr>
        <w:spacing w:after="0" w:line="19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$25.5 million of capital expenditures in the year ended December 31, 2015. We expect to incur capital expenditures of between $25 million to $30 million in 2016, primarily to meet our growth requirements, including additions to our facilities as well as investments in technology applications and infrastructure.</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16 to our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On October 24, 2014 we entered into a Credit Agreement that provides for a $50 million revolving credit facility (“Credit Facility”). We had an option to increase the commitments under the Credit Facility by up to an additional $50 million, subject to certain approvals and conditions as set forth in the Credit Agreement. On February 23, 2015, via an amendment to the Credit Agreement we exercised this option to increase credit commitments by another $50 million upon the same terms and conditions which were available in the Credit Agreement. The Credit Facility has a maturity date of October 24, 2019 and is voluntarily pre-payable from time to time without premium or penalty.</w:t>
      </w:r>
    </w:p>
    <w:p>
      <w:pPr>
        <w:spacing w:after="0" w:line="18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loans and letter of credit obligations. The Credit Facility carried an effective interest rate of 1.60% per annum during the year ended December 31, 2015.</w:t>
      </w:r>
    </w:p>
    <w:p>
      <w:pPr>
        <w:spacing w:after="0" w:line="24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The Credit Facility is guaranteed by our domestic subsidiaries and material foreign subsidiaries. The obligations under the Credit Agreement are secured by all or substantially all of the assets of the borrower and its material domestic subsidiaries. The Credit Agreement contains certain covenants including a restriction on our indebtedness. At December 31, 2015, we were in compliance with all covenants. As of December 31, 2015, we had an outstanding debt of $70.0 million of which $10.0 million is expected to be repaid within the next twelve months and is included under "short-term borrowings" and the balance of $60.0 million is included under "long-term borrowings" in the consolidated balance sheets. As of December 31, 2014 , we had an outstanding debt of $50.0 million included under "long-term borrowings" in the consolidated balance sheets.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Borrowings under the Credit Facility may be used for working capital and general corporate purposes of the Company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2015, we had no off-balance sheet arrangements or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December 31, 2015:</w:t>
      </w:r>
    </w:p>
    <w:p>
      <w:pPr>
        <w:spacing w:after="0" w:line="275" w:lineRule="exact"/>
        <w:rPr>
          <w:sz w:val="20"/>
          <w:szCs w:val="20"/>
          <w:color w:val="auto"/>
        </w:rPr>
      </w:pPr>
    </w:p>
    <w:tbl>
      <w:tblPr>
        <w:tblLayout w:type="fixed"/>
        <w:tblInd w:w="14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120" w:type="dxa"/>
            <w:vAlign w:val="bottom"/>
            <w:gridSpan w:val="6"/>
          </w:tcPr>
          <w:p>
            <w:pPr>
              <w:ind w:left="40"/>
              <w:spacing w:after="0"/>
              <w:rPr>
                <w:sz w:val="20"/>
                <w:szCs w:val="20"/>
                <w:color w:val="auto"/>
              </w:rPr>
            </w:pPr>
            <w:r>
              <w:rPr>
                <w:rFonts w:ascii="Arial" w:cs="Arial" w:eastAsia="Arial" w:hAnsi="Arial"/>
                <w:sz w:val="18"/>
                <w:szCs w:val="18"/>
                <w:b w:val="1"/>
                <w:bCs w:val="1"/>
                <w:color w:val="auto"/>
              </w:rPr>
              <w:t>Payment Due by Period</w:t>
            </w: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color w:val="auto"/>
              </w:rPr>
              <w:t>Less than</w:t>
            </w: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4-5</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ind w:left="20"/>
              <w:spacing w:after="0"/>
              <w:rPr>
                <w:sz w:val="20"/>
                <w:szCs w:val="20"/>
                <w:color w:val="auto"/>
              </w:rPr>
            </w:pPr>
            <w:r>
              <w:rPr>
                <w:rFonts w:ascii="Arial" w:cs="Arial" w:eastAsia="Arial" w:hAnsi="Arial"/>
                <w:sz w:val="18"/>
                <w:szCs w:val="18"/>
                <w:b w:val="1"/>
                <w:bCs w:val="1"/>
                <w:color w:val="auto"/>
              </w:rPr>
              <w:t>After</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0"/>
        </w:trPr>
        <w:tc>
          <w:tcPr>
            <w:tcW w:w="3500" w:type="dxa"/>
            <w:vAlign w:val="bottom"/>
          </w:tcPr>
          <w:p>
            <w:pPr>
              <w:spacing w:after="0"/>
              <w:rPr>
                <w:sz w:val="23"/>
                <w:szCs w:val="23"/>
                <w:color w:val="auto"/>
              </w:rPr>
            </w:pPr>
          </w:p>
        </w:tc>
        <w:tc>
          <w:tcPr>
            <w:tcW w:w="560" w:type="dxa"/>
            <w:vAlign w:val="bottom"/>
          </w:tcPr>
          <w:p>
            <w:pPr>
              <w:ind w:left="20"/>
              <w:spacing w:after="0"/>
              <w:rPr>
                <w:sz w:val="20"/>
                <w:szCs w:val="20"/>
                <w:color w:val="auto"/>
              </w:rPr>
            </w:pPr>
            <w:r>
              <w:rPr>
                <w:rFonts w:ascii="Arial" w:cs="Arial" w:eastAsia="Arial" w:hAnsi="Arial"/>
                <w:sz w:val="18"/>
                <w:szCs w:val="18"/>
                <w:b w:val="1"/>
                <w:bCs w:val="1"/>
                <w:color w:val="auto"/>
                <w:w w:val="99"/>
              </w:rPr>
              <w:t>1 year</w:t>
            </w: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years</w:t>
            </w: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ind w:left="20"/>
              <w:spacing w:after="0"/>
              <w:rPr>
                <w:sz w:val="20"/>
                <w:szCs w:val="20"/>
                <w:color w:val="auto"/>
              </w:rPr>
            </w:pPr>
            <w:r>
              <w:rPr>
                <w:rFonts w:ascii="Arial" w:cs="Arial" w:eastAsia="Arial" w:hAnsi="Arial"/>
                <w:sz w:val="18"/>
                <w:szCs w:val="18"/>
                <w:b w:val="1"/>
                <w:bCs w:val="1"/>
                <w:color w:val="auto"/>
              </w:rPr>
              <w:t>years</w:t>
            </w: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rPr>
              <w:t>5 years</w:t>
            </w:r>
          </w:p>
        </w:tc>
        <w:tc>
          <w:tcPr>
            <w:tcW w:w="460" w:type="dxa"/>
            <w:vAlign w:val="bottom"/>
          </w:tcPr>
          <w:p>
            <w:pPr>
              <w:ind w:left="20"/>
              <w:spacing w:after="0"/>
              <w:rPr>
                <w:sz w:val="20"/>
                <w:szCs w:val="20"/>
                <w:color w:val="auto"/>
              </w:rPr>
            </w:pPr>
            <w:r>
              <w:rPr>
                <w:rFonts w:ascii="Arial" w:cs="Arial" w:eastAsia="Arial" w:hAnsi="Arial"/>
                <w:sz w:val="18"/>
                <w:szCs w:val="18"/>
                <w:b w:val="1"/>
                <w:bCs w:val="1"/>
                <w:color w:val="auto"/>
                <w:w w:val="97"/>
              </w:rPr>
              <w:t>Total</w:t>
            </w:r>
          </w:p>
        </w:tc>
        <w:tc>
          <w:tcPr>
            <w:tcW w:w="520" w:type="dxa"/>
            <w:vAlign w:val="bottom"/>
          </w:tcPr>
          <w:p>
            <w:pPr>
              <w:spacing w:after="0"/>
              <w:rPr>
                <w:sz w:val="23"/>
                <w:szCs w:val="23"/>
                <w:color w:val="auto"/>
              </w:rPr>
            </w:pPr>
          </w:p>
        </w:tc>
      </w:tr>
      <w:tr>
        <w:trPr>
          <w:trHeight w:val="27"/>
        </w:trPr>
        <w:tc>
          <w:tcPr>
            <w:tcW w:w="35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6"/>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7"/>
        </w:trPr>
        <w:tc>
          <w:tcPr>
            <w:tcW w:w="3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gridSpan w:val="6"/>
          </w:tcPr>
          <w:p>
            <w:pPr>
              <w:ind w:left="180"/>
              <w:spacing w:after="0"/>
              <w:rPr>
                <w:sz w:val="20"/>
                <w:szCs w:val="20"/>
                <w:color w:val="auto"/>
              </w:rPr>
            </w:pPr>
            <w:r>
              <w:rPr>
                <w:rFonts w:ascii="Arial" w:cs="Arial" w:eastAsia="Arial" w:hAnsi="Arial"/>
                <w:sz w:val="18"/>
                <w:szCs w:val="18"/>
                <w:b w:val="1"/>
                <w:bCs w:val="1"/>
                <w:color w:val="auto"/>
              </w:rPr>
              <w:t>(dollars in millions)</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
        </w:trPr>
        <w:tc>
          <w:tcPr>
            <w:tcW w:w="3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5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7"/>
        </w:trPr>
        <w:tc>
          <w:tcPr>
            <w:tcW w:w="3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Fair value of earn-out consideration</w:t>
            </w:r>
          </w:p>
        </w:tc>
        <w:tc>
          <w:tcPr>
            <w:tcW w:w="560" w:type="dxa"/>
            <w:vAlign w:val="bottom"/>
          </w:tcPr>
          <w:p>
            <w:pPr>
              <w:spacing w:after="0"/>
              <w:rPr>
                <w:sz w:val="21"/>
                <w:szCs w:val="21"/>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3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35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(a)</w:t>
            </w:r>
          </w:p>
        </w:tc>
        <w:tc>
          <w:tcPr>
            <w:tcW w:w="56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350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3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w:t>
            </w:r>
          </w:p>
        </w:tc>
        <w:tc>
          <w:tcPr>
            <w:tcW w:w="5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10.0</w:t>
            </w:r>
          </w:p>
        </w:tc>
        <w:tc>
          <w:tcPr>
            <w:tcW w:w="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70"/>
        </w:trPr>
        <w:tc>
          <w:tcPr>
            <w:tcW w:w="3500" w:type="dxa"/>
            <w:vAlign w:val="bottom"/>
          </w:tcPr>
          <w:p>
            <w:pPr>
              <w:ind w:left="38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(b)</w:t>
            </w:r>
          </w:p>
        </w:tc>
        <w:tc>
          <w:tcPr>
            <w:tcW w:w="5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4"/>
        </w:trPr>
        <w:tc>
          <w:tcPr>
            <w:tcW w:w="3500" w:type="dxa"/>
            <w:vAlign w:val="bottom"/>
            <w:tcBorders>
              <w:top w:val="single" w:sz="8" w:color="CCEEFF"/>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(c)</w:t>
            </w: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27.1</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113.2</w:t>
            </w:r>
          </w:p>
        </w:tc>
      </w:tr>
      <w:tr>
        <w:trPr>
          <w:trHeight w:val="20"/>
        </w:trPr>
        <w:tc>
          <w:tcPr>
            <w:tcW w:w="3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interest rate on the outstanding borrowings as of December 31, 2015.</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33"/>
        </w:numPr>
        <w:rPr>
          <w:rFonts w:ascii="Arial" w:cs="Arial" w:eastAsia="Arial" w:hAnsi="Arial"/>
          <w:sz w:val="15"/>
          <w:szCs w:val="15"/>
          <w:i w:val="1"/>
          <w:iCs w:val="1"/>
          <w:color w:val="auto"/>
        </w:rPr>
      </w:pPr>
      <w:r>
        <w:rPr>
          <w:rFonts w:ascii="Arial" w:cs="Arial" w:eastAsia="Arial" w:hAnsi="Arial"/>
          <w:sz w:val="15"/>
          <w:szCs w:val="15"/>
          <w:i w:val="1"/>
          <w:iCs w:val="1"/>
          <w:color w:val="auto"/>
        </w:rPr>
        <w:t>Excludes $2.8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or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(“Exl Philippines”)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under Item 1—“Financial Statements” to our consolidated financial statements.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337"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responsibilities of our treasury operations include management of cash resources, implementing hedging strategies for foreign currency exposures, borrowing strategies and ensuring compliance with market risk limits and policies.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Foreign Currency Risk. </w:t>
      </w:r>
      <w:r>
        <w:rPr>
          <w:rFonts w:ascii="Arial" w:cs="Arial" w:eastAsia="Arial" w:hAnsi="Arial"/>
          <w:sz w:val="18"/>
          <w:szCs w:val="18"/>
          <w:color w:val="auto"/>
        </w:rPr>
        <w:t>Our exposure to market risk arises principally from exchange rate risk. Although substantially all of our revenues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denominated in U.S. dollars (79.0% in the year ended December 31, 2015) or U.K. pounds sterling (17.3% in the year ended December 31, 2015), a substantial portion of our expenses were incurred and paid in Indian rupees and Philippine peso (35.4% and 11.0%, respectively, in the year ended December 31, 2015). We also incur expenses in U.S. dollars, the Czech Koruna and currencies of the other countries in which we have operations. The exchange rates among the Indian rupee, the Philippine peso, U.K. pound sterling, Czech Koruna and the U.S. dollar have changed substantially in recent years and may fluctuate substantially in the future.</w:t>
      </w:r>
    </w:p>
    <w:p>
      <w:pPr>
        <w:spacing w:after="0" w:line="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exchange rate risk primarily arises from our foreign currency revenues, expenses incurred by our foreign subsidiaries and foreign currency accounts receivable and payable. The average exchange rate of the Indian rupee against the U.S. dollar increased from 61.12 during the year ended December 31, 2014 to 64.28 during the year ended December 31, 2015, representing a depreciation of 5.1%. The average exchange rate of the Philippine peso against the U.S. dollar increased from 44.43 during the year ended December 31, 2014 to 45.60 during the year ended December 31, 2015, representing a depreciation of 2.6%. Based upon our level of operations during the year ended December 31, 2015 and excluding any hedging arrangements that we had in place during that period, a 10% appreciation/depreciation in the Indian rupee against the U.S. dollar would have increased/decreased our revenues by approximately $11.1 million and increased/decreased our expenses incurred and paid in Indian rupees by approximately $18.4 million in the year ended December 31, 2015, respectively. Similarly, a 10% appreciation/depreciation in the Philippine Peso against the U.S. dollar would have increased/decreased our revenues by approximately $1.2 million and increased/decreased our expenses incurred and paid in Philippine Peso by approximately $5.7 million in the year ended December 31, 2015, respectively.</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that are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Indian rupee and Philippine peso foreign exchange currency risks. In addition, any such contracts may not perform adequately as a hedging mechanism. We may, in the future, adopt more active hedging policies, and have done so in the past.</w:t>
      </w:r>
    </w:p>
    <w:p>
      <w:pPr>
        <w:spacing w:after="0" w:line="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impact on earnings and/or cash flows related to these foreign currency forward contracts is immaterial as the impact of the maturing cash flow hedges in respective periods are intended to offset the foreign currency impact on the related expenses. Further, a significant number of our customer contracts include protection against foreign exchange rate fluctuations which minimizes the impact of volatility in the exchange rates on our operating results.</w:t>
      </w:r>
    </w:p>
    <w:p>
      <w:pPr>
        <w:spacing w:after="0" w:line="39" w:lineRule="exact"/>
        <w:rPr>
          <w:sz w:val="20"/>
          <w:szCs w:val="20"/>
          <w:color w:val="auto"/>
        </w:rPr>
      </w:pPr>
    </w:p>
    <w:p>
      <w:pPr>
        <w:jc w:val="both"/>
        <w:ind w:firstLine="528"/>
        <w:spacing w:after="0" w:line="255" w:lineRule="auto"/>
        <w:rPr>
          <w:sz w:val="20"/>
          <w:szCs w:val="20"/>
          <w:color w:val="auto"/>
        </w:rPr>
      </w:pPr>
      <w:r>
        <w:rPr>
          <w:rFonts w:ascii="Arial" w:cs="Arial" w:eastAsia="Arial" w:hAnsi="Arial"/>
          <w:sz w:val="18"/>
          <w:szCs w:val="18"/>
          <w:color w:val="auto"/>
        </w:rPr>
        <w:t>Cash flow hedges with notional amounts of $230.9 million and $218.0 million were outstanding as at December 31, 2015 and 2014, respectively, with maturity periods of one to forty five-months. The fair value of these cash flow hedges as of December 31, 2015 and 2014 was $1.5 million each and is included in Other Comprehensive Income on our Consolidated Balance Sheets. The net impact on earnings for the year ended December 31, 2015 from the maturing cash flow hedges was insignificant, offset by an insignificant foreign currency impact on the related expenses. During the year ended December 31, 2014 we recognized $3.0 million as a foreign exchange loss from the maturing cash flow hedges, which was largely offset by the foreign exchange gain on the related expenses of $2.9 million.</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also enter into foreign currency forward contracts to economically hedge our intercompany balances and other monetary assets and liabilities denominated in currencies other than functional currencies. These derivatives do not qualify as fair value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337"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hedges under ASC topic 815, “Derivatives and Hedging” (“ASC No. 815”). Changes in the fair value of these derivatives are recognized in the consolidated statements of income and are included in foreign exchange gain /(loss). 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$61.6 million and GBP 13.3 million were outstanding at December 31, 2015 compared to $58.0 million and GBP 10.9 million outstanding at December 31, 2014. The fair values of these derivative instruments as of December 31, 2015 and 2014 were $0.1 million and $0.3 million, respectively and are included in the "foreign exchange gain / (loss)" in our Consolidated Statements of Income. At December 31, 2015, the outstanding derivative instruments had maturities of 31 days or less.</w:t>
      </w:r>
    </w:p>
    <w:p>
      <w:pPr>
        <w:spacing w:after="0" w:line="16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As described in “Item 7. Management’s Discussion and Analysis of Financial Condition and Results of Operations,” on October 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we entered into a Credit Agreement that provides for a $50 million revolving credit facility and a letter of credit sub-facility. We had an option to increase the commitments under the Credit Facility by up to an additional $50 million, subject to certain approvals and conditions as set forth in the Credit Agreement. On February 23, 2015, via an amendment to the Credit Agreement we exercised this option to increase credit commitments by another $50 million upon the same terms and conditions which were available in the Credit Agreement. The Credit Facility has a maturity date of October 24, 2019 and is voluntarily pre-payable from time to time without premium or penalty.</w:t>
      </w:r>
    </w:p>
    <w:p>
      <w:pPr>
        <w:spacing w:after="0" w:line="193"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Depending on the type of borrowing, loans under the Credit Facility bear interest at a rate equal to the specified prime rate (alternate base rate) or adjusted LIBO rate, plus, in each case, an applicable margin. The applicable margin is tied to the Company’s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w:t>
      </w:r>
    </w:p>
    <w:p>
      <w:pPr>
        <w:spacing w:after="0" w:line="16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have cash, cash equivalents and short-term investments totaling $219.0 million and $188.1 million at December 31, 2015 and 2014, respectively. These amounts were invested principally in a short-term investment portfolio primarily comprised of highly-rated mutual funds, money market accounts and time deposits. The cash and cash equivalents are held for potential acquisitions of complementary businesses or assets,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future investment income. A 50 basis points change in short term rates would impact our interest income for the year ended December 31, 2015 by approximately $0.4 million.</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Credit Risk. </w:t>
      </w:r>
      <w:r>
        <w:rPr>
          <w:rFonts w:ascii="Arial" w:cs="Arial" w:eastAsia="Arial" w:hAnsi="Arial"/>
          <w:sz w:val="18"/>
          <w:szCs w:val="18"/>
          <w:color w:val="auto"/>
        </w:rPr>
        <w:t>As of December 31, 2015 and 2014, we have accounts receivable of $92.7 million and $80.2 million, respectively. We believe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policies reflect normal industry terms and business risk. We do not anticipate non-performance by the counterparties and, accordingly, do not require collateral. Credit losses and write-offs of accounts receivable balances have not been material. No single client owed more than 10% of accounts receivable balance as on December 31, 2015 and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337"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the Company files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financial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2015. Based upon that evaluation, the CEO and CFO have concluded that the Company’s disclosure controls, as of December 31, 2015,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Financial Statements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Ernst &amp; Young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63" w:lineRule="exact"/>
        <w:rPr>
          <w:sz w:val="20"/>
          <w:szCs w:val="20"/>
          <w:color w:val="auto"/>
        </w:rPr>
      </w:pPr>
    </w:p>
    <w:p>
      <w:pPr>
        <w:ind w:left="640" w:hanging="321"/>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our transactions;</w:t>
      </w:r>
    </w:p>
    <w:p>
      <w:pPr>
        <w:spacing w:after="0" w:line="63"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the authorization of our management and our board of directors; and</w:t>
      </w:r>
    </w:p>
    <w:p>
      <w:pPr>
        <w:spacing w:after="0" w:line="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337"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management assessed the effectiveness of our internal control over financial reporting as of December 31, 2015. In making this assessment, management used the criteria described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2015. See Ernst &amp; Young LLP’s accompanying report on their audit of our internal controls over financial reporting.</w:t>
      </w:r>
    </w:p>
    <w:p>
      <w:pPr>
        <w:spacing w:after="0" w:line="16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making its assessment of the changes in internal control over financial reporting as of December 31, 2015, our management excluded an evaluation of the disclosure controls and procedures of RPM which we acquired on March 20, 2015 and constituted $59,422 thousands and $52,849 thousands of total and net assets, respectively as of December 31, 2015 and $32,816 thousands of revenues for the year then ended.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December 31, 2015,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337"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http://ir.exlservice.com/governance.cfm.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additional information required by this Item 10 will be set forth in the definitive proxy statement for our 2016 Annual Meeting of Stockholders (the “Proxy Statement”), including under the headings “Our Board of Directors”, “Our Executive Officers” and “Corporate Governance — Committees — Audit Committee”, “— Committees — Nominating and Governance Committee” and “— Section 16(a) Beneficial Ownership Reporting Compliance”, and is incorporated herein by reference. We intend to file the Proxy Statement with the SEC within 120 days after the fiscal year end of December 31, 2015.</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headings “Executive Compensation — Compensation Discussion and Analysis”, “— Compensation Committee Report”, “— Summary Compensation Table for Fiscal Year 2015”, “— Grants of Plan-Based Awards Table for Fiscal Year 2015”, “Outstanding Equity Awards at Fiscal 2015 Year-End”, “Option Exercises and Stock Vested During Fiscal Year 2015”, “— Pension Benefits for Fiscal Year 2015”, “— Potential Payments upon Termination or Change in Control at Fiscal 2015 Year-End”, “— Director Compensation for Fiscal Year 2015”, “— Risk and Compensation Policies” and “Corporate Governance —Compensation Committee Interlocks and Insider Participation”.</w:t>
      </w:r>
    </w:p>
    <w:p>
      <w:pPr>
        <w:spacing w:after="0" w:line="35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 “Principal Stockholders”.</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337"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consolidated financial statements are listed under “Item 8. Financial Statements and Supplementary Data” of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03" w:lineRule="exact"/>
        <w:rPr>
          <w:sz w:val="20"/>
          <w:szCs w:val="20"/>
          <w:color w:val="auto"/>
        </w:rPr>
      </w:pPr>
    </w:p>
    <w:p>
      <w:pPr>
        <w:ind w:left="820" w:hanging="407"/>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Financial statement schedules as of December 31, 2015 and 2014, have been omitted since they are either not required, not material or the information is otherwise included in our consolidated financial statements or the notes to our consolidated financial statements.</w:t>
      </w:r>
    </w:p>
    <w:p>
      <w:pPr>
        <w:spacing w:after="0" w:line="62" w:lineRule="exact"/>
        <w:rPr>
          <w:sz w:val="20"/>
          <w:szCs w:val="20"/>
          <w:color w:val="auto"/>
        </w:rPr>
      </w:pPr>
    </w:p>
    <w:p>
      <w:pPr>
        <w:ind w:left="820" w:hanging="407"/>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62" w:lineRule="exact"/>
        <w:rPr>
          <w:sz w:val="20"/>
          <w:szCs w:val="20"/>
          <w:color w:val="auto"/>
        </w:rPr>
      </w:pPr>
    </w:p>
    <w:p>
      <w:pPr>
        <w:ind w:left="420" w:hanging="412"/>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 See Item 15(a)(3) above.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 Schedules. 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337"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220" w:lineRule="exact"/>
        <w:rPr>
          <w:sz w:val="20"/>
          <w:szCs w:val="20"/>
          <w:color w:val="auto"/>
        </w:rPr>
      </w:pPr>
    </w:p>
    <w:p>
      <w:pPr>
        <w:ind w:left="40"/>
        <w:spacing w:after="0"/>
        <w:tabs>
          <w:tab w:leader="none" w:pos="504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8"/>
          <w:szCs w:val="18"/>
          <w:b w:val="1"/>
          <w:bCs w:val="1"/>
          <w:color w:val="auto"/>
        </w:rPr>
        <w:t>EXLSERVICE HOLDINGS, INC.</w:t>
      </w:r>
    </w:p>
    <w:p>
      <w:pPr>
        <w:spacing w:after="0" w:line="391"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Vishal Chhibbar</w:t>
      </w:r>
    </w:p>
    <w:p>
      <w:pPr>
        <w:ind w:left="5640"/>
        <w:spacing w:after="0" w:line="226"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22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9"/>
              </w:rPr>
              <w:t>Signature</w:t>
            </w:r>
          </w:p>
        </w:tc>
        <w:tc>
          <w:tcPr>
            <w:tcW w:w="44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780" w:type="dxa"/>
            <w:vAlign w:val="bottom"/>
            <w:gridSpan w:val="3"/>
          </w:tcPr>
          <w:p>
            <w:pPr>
              <w:ind w:left="1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680" w:type="dxa"/>
            <w:vAlign w:val="bottom"/>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4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Vice-Chairman and 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41"/>
        </w:trPr>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8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Rohit Kapoor</w:t>
            </w:r>
          </w:p>
        </w:tc>
        <w:tc>
          <w:tcPr>
            <w:tcW w:w="448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7"/>
              </w:rPr>
              <w:t>Garen K. Staglin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1"/>
        </w:trPr>
        <w:tc>
          <w:tcPr>
            <w:tcW w:w="1680" w:type="dxa"/>
            <w:vAlign w:val="bottom"/>
          </w:tcPr>
          <w:p>
            <w:pPr>
              <w:ind w:left="13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(Principal Financial and</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41"/>
        </w:trPr>
        <w:tc>
          <w:tcPr>
            <w:tcW w:w="1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80" w:type="dxa"/>
            <w:vAlign w:val="bottom"/>
            <w:gridSpan w:val="3"/>
            <w:vMerge w:val="restart"/>
          </w:tcPr>
          <w:p>
            <w:pPr>
              <w:ind w:left="160"/>
              <w:spacing w:after="0"/>
              <w:rPr>
                <w:sz w:val="20"/>
                <w:szCs w:val="20"/>
                <w:color w:val="auto"/>
              </w:rPr>
            </w:pPr>
            <w:r>
              <w:rPr>
                <w:rFonts w:ascii="Arial" w:cs="Arial" w:eastAsia="Arial" w:hAnsi="Arial"/>
                <w:sz w:val="18"/>
                <w:szCs w:val="18"/>
                <w:color w:val="auto"/>
              </w:rPr>
              <w:t>Accounting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5"/>
              </w:rPr>
              <w:t>Vishal Chhibbar</w:t>
            </w:r>
          </w:p>
        </w:tc>
        <w:tc>
          <w:tcPr>
            <w:tcW w:w="448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M</w:t>
            </w:r>
            <w:r>
              <w:rPr>
                <w:rFonts w:ascii="Arial" w:cs="Arial" w:eastAsia="Arial" w:hAnsi="Arial"/>
                <w:sz w:val="14"/>
                <w:szCs w:val="14"/>
                <w:color w:val="auto"/>
              </w:rPr>
              <w:t>INTO</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7"/>
              </w:rPr>
              <w:t>Anne Minto</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Pr>
          <w:p>
            <w:pPr>
              <w:spacing w:after="0"/>
              <w:rPr>
                <w:sz w:val="24"/>
                <w:szCs w:val="24"/>
                <w:color w:val="auto"/>
              </w:rPr>
            </w:pPr>
          </w:p>
        </w:tc>
        <w:tc>
          <w:tcPr>
            <w:tcW w:w="2520" w:type="dxa"/>
            <w:vAlign w:val="bottom"/>
            <w:gridSpan w:val="2"/>
          </w:tcPr>
          <w:p>
            <w:pPr>
              <w:jc w:val="center"/>
              <w:ind w:right="1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OM</w:t>
            </w:r>
            <w:r>
              <w:rPr>
                <w:rFonts w:ascii="Arial" w:cs="Arial" w:eastAsia="Arial" w:hAnsi="Arial"/>
                <w:sz w:val="18"/>
                <w:szCs w:val="18"/>
                <w:color w:val="auto"/>
              </w:rPr>
              <w:t xml:space="preserve"> M</w:t>
            </w:r>
            <w:r>
              <w:rPr>
                <w:rFonts w:ascii="Arial" w:cs="Arial" w:eastAsia="Arial" w:hAnsi="Arial"/>
                <w:sz w:val="14"/>
                <w:szCs w:val="14"/>
                <w:color w:val="auto"/>
              </w:rPr>
              <w:t>ITTAL</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8"/>
              </w:rPr>
              <w:t>Som Mittal</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David B. Kelso</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ind w:left="13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4"/>
              </w:rPr>
              <w:t>Clyde W. Ostler</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0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ITIN</w:t>
            </w:r>
            <w:r>
              <w:rPr>
                <w:rFonts w:ascii="Arial" w:cs="Arial" w:eastAsia="Arial" w:hAnsi="Arial"/>
                <w:sz w:val="18"/>
                <w:szCs w:val="18"/>
                <w:color w:val="auto"/>
              </w:rPr>
              <w:t xml:space="preserve"> S</w:t>
            </w:r>
            <w:r>
              <w:rPr>
                <w:rFonts w:ascii="Arial" w:cs="Arial" w:eastAsia="Arial" w:hAnsi="Arial"/>
                <w:sz w:val="14"/>
                <w:szCs w:val="14"/>
                <w:color w:val="auto"/>
              </w:rPr>
              <w:t>AHNEY</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8"/>
                <w:szCs w:val="18"/>
                <w:color w:val="auto"/>
                <w:w w:val="92"/>
              </w:rPr>
              <w:t>Nitin Sahney</w:t>
            </w:r>
          </w:p>
        </w:tc>
        <w:tc>
          <w:tcPr>
            <w:tcW w:w="2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680" w:type="dxa"/>
            <w:vAlign w:val="bottom"/>
          </w:tcPr>
          <w:p>
            <w:pPr>
              <w:ind w:left="14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EBORAH</w:t>
            </w:r>
            <w:r>
              <w:rPr>
                <w:rFonts w:ascii="Arial" w:cs="Arial" w:eastAsia="Arial" w:hAnsi="Arial"/>
                <w:sz w:val="18"/>
                <w:szCs w:val="18"/>
                <w:color w:val="auto"/>
                <w:w w:val="99"/>
              </w:rPr>
              <w:t xml:space="preserve"> K</w:t>
            </w:r>
            <w:r>
              <w:rPr>
                <w:rFonts w:ascii="Arial" w:cs="Arial" w:eastAsia="Arial" w:hAnsi="Arial"/>
                <w:sz w:val="14"/>
                <w:szCs w:val="14"/>
                <w:color w:val="auto"/>
                <w:w w:val="99"/>
              </w:rPr>
              <w:t>ERR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ind w:left="460"/>
              <w:spacing w:after="0"/>
              <w:rPr>
                <w:sz w:val="20"/>
                <w:szCs w:val="20"/>
                <w:color w:val="auto"/>
              </w:rPr>
            </w:pPr>
            <w:r>
              <w:rPr>
                <w:rFonts w:ascii="Arial" w:cs="Arial" w:eastAsia="Arial" w:hAnsi="Arial"/>
                <w:sz w:val="18"/>
                <w:szCs w:val="18"/>
                <w:color w:val="auto"/>
                <w:w w:val="88"/>
              </w:rPr>
              <w:t>February 26, 2016</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Deborah Kerr</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60" w:type="dxa"/>
            <w:vAlign w:val="bottom"/>
          </w:tcPr>
          <w:p>
            <w:pPr>
              <w:ind w:left="1160"/>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337" w:right="5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580" w:type="dxa"/>
            <w:vAlign w:val="bottom"/>
          </w:tcPr>
          <w:p>
            <w:pPr>
              <w:ind w:left="402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1340" w:type="dxa"/>
            <w:vAlign w:val="bottom"/>
            <w:gridSpan w:val="2"/>
          </w:tcPr>
          <w:p>
            <w:pPr>
              <w:ind w:left="400"/>
              <w:spacing w:after="0"/>
              <w:rPr>
                <w:sz w:val="20"/>
                <w:szCs w:val="20"/>
                <w:color w:val="auto"/>
              </w:rPr>
            </w:pPr>
            <w:r>
              <w:rPr>
                <w:rFonts w:ascii="Arial" w:cs="Arial" w:eastAsia="Arial" w:hAnsi="Arial"/>
                <w:sz w:val="18"/>
                <w:szCs w:val="18"/>
                <w:color w:val="auto"/>
              </w:rPr>
              <w:t>The following exhibits are being filed as part of this report or incorporated by reference as indicated therein:</w:t>
            </w:r>
          </w:p>
        </w:tc>
      </w:tr>
      <w:tr>
        <w:trPr>
          <w:trHeight w:val="364"/>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Merger Agreement, dated as of April 30, 2011, by and among ExlService Holdings, Inc., F&amp;A BPO Merger Sub, Inc., Business Process</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Outsourcing, Inc. and Shareholder Representative Services LLC (incorporated by reference to Exhibit 2.1 of the Company’s Current Report on</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Form 8-K filed on June 6, 2011).</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2.2**</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Agreement and Plan of Merger, dated October 24, 2014, among ExlService.com, LLC, Heartland Acquisition Sub Corp., Overland Holdings,</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Inc., New Mountain Affiliated Investors, L.P., and New Mountain Partners, L.P., a New York limited partnership (incorporated by reference to</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Exhibit 2.1 to the Company’s Quarterly Report on Form 10-Q filed October 30, 2014).</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2.3**</w:t>
            </w: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Securities Purchase Agreement dated February 23, 2015 by and among ExlService Holdings, Inc., ExlService.com LLC, RPM Direct LLC,</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6"/>
              </w:rPr>
              <w:t>RPM Data Solutions, LLC and the security holders named therein (incorporated by reference to Exhibit 2.1 of the Company’s Quarterly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Report on Form 10-Q filed on May 1, 2015).</w:t>
            </w:r>
          </w:p>
        </w:tc>
      </w:tr>
      <w:tr>
        <w:trPr>
          <w:trHeight w:val="634"/>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Amended and Restated Certificate of Incorporation of the Company (incorporated by reference to Exhibit 3.1 of the Company’s Current</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Report on Form 8-K filed on October 25,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Third Amended and Restated By-laws of the Company (incorporated by reference to Exhibit 3.1 of the Company’s Current Report on Form 8-</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K filed on May 2, 2011).</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Registration Rights Agreement (incorporated by reference to Exhibit 4.1 of the Company’s Current Report on Form 8-K filed on October 25,</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Employment Agreement, dated May 1, 2009, between exlservice.com (India) Private Limited and Vishal Chhibbar (incorporated by reference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Exhibit 10.2 to the Company’s Annual Report on Form 10-K filed on March 16, 2010).</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Letter Agreement, effective June 1, 2009, between ExlService Holdings, Inc., and Vishal Chhibbar (incorporated by reference to Exhibit 10.3</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Annual Report on Form 10-K filed on March 16, 2010).</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580" w:type="dxa"/>
            <w:vAlign w:val="bottom"/>
          </w:tcPr>
          <w:p>
            <w:pPr>
              <w:ind w:left="280"/>
              <w:spacing w:after="0"/>
              <w:rPr>
                <w:sz w:val="20"/>
                <w:szCs w:val="20"/>
                <w:color w:val="auto"/>
              </w:rPr>
            </w:pPr>
            <w:r>
              <w:rPr>
                <w:rFonts w:ascii="Arial" w:cs="Arial" w:eastAsia="Arial" w:hAnsi="Arial"/>
                <w:sz w:val="18"/>
                <w:szCs w:val="18"/>
                <w:color w:val="auto"/>
                <w:w w:val="97"/>
              </w:rPr>
              <w:t>ExlService Holdings, Inc. 2003 India Employee Stock Option Plan (incorporated by reference to Exhibit 10.16 of Amendment 3 to the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Company’s Registration Statement on Form S-1 (Registration No. 333-121001) filed on July 28,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ExlService Holdings, Inc. 2003 Stock Option Plan (incorporated by reference to Exhibit 10.18 of Amendment 3 to the Company’s Registration</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Statement on Form S-1 (Registration No. 333-121001) filed July 28,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580" w:type="dxa"/>
            <w:vAlign w:val="bottom"/>
          </w:tcPr>
          <w:p>
            <w:pPr>
              <w:ind w:left="280"/>
              <w:spacing w:after="0"/>
              <w:rPr>
                <w:sz w:val="20"/>
                <w:szCs w:val="20"/>
                <w:color w:val="auto"/>
              </w:rPr>
            </w:pPr>
            <w:r>
              <w:rPr>
                <w:rFonts w:ascii="Arial" w:cs="Arial" w:eastAsia="Arial" w:hAnsi="Arial"/>
                <w:sz w:val="18"/>
                <w:szCs w:val="18"/>
                <w:color w:val="auto"/>
                <w:w w:val="94"/>
              </w:rPr>
              <w:t>ExlService Holdings, Inc. 2006 Omnibus Plan (incorporated by reference to Exhibit 10.20 of Amendment 3 to the Company’s Registration</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Statement on Form S-1 (Registration No. 333-121001) filed July 28,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Letter Agreement, dated March 20, 2008, between Exl Service.com, Inc. and Rembert de Villa (incorporated by reference to Exhibit 10.29 to</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the Company’s Annual Report on Form 10-K filed on March 16, 2011).</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Letter Agreement, dated March 14, 2014, between ExlService Holdings, Inc. and Nancy Saltzman (incorporated by reference to Exhibit 10.1</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Quarterly Report on Form 10-Q filed on May 1, 2015).</w:t>
            </w:r>
          </w:p>
        </w:tc>
      </w:tr>
      <w:tr>
        <w:trPr>
          <w:trHeight w:val="431"/>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Employment and Non-Competition Agreement, dated April 29, 2015, between ExlService Holdings, Inc. and Rohit Kapoor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10.1 to the Company’s Quarterly Report on Form 10-Q filed on July 30, 2015).</w:t>
            </w:r>
          </w:p>
        </w:tc>
      </w:tr>
      <w:tr>
        <w:trPr>
          <w:trHeight w:val="431"/>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Employment Agreement, dated July 31, 2002, between ExlService Holdings, Inc. and Pavan Bagai (incorporated by reference to Exhibit 10.15</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S-1 (Registration No. 333-121001) filed on October 4, 2006).</w:t>
            </w:r>
          </w:p>
        </w:tc>
      </w:tr>
      <w:tr>
        <w:trPr>
          <w:trHeight w:val="431"/>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ExlService Holdings, Inc. 2006 Omnibus India Subplan 1 (incorporated by reference to Exhibit 10.21 of Amendment 6 to the Company’s</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Registration Statement on Form S-1 (Registration No. 333-121001) filed October 17,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Form of Stock Option Agreement under the 2006 Omnibus India Subplan 1 (incorporated by reference to Exhibit 10.22 of Amendment 5 to</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280"/>
              <w:spacing w:after="0"/>
              <w:rPr>
                <w:sz w:val="20"/>
                <w:szCs w:val="20"/>
                <w:color w:val="auto"/>
              </w:rPr>
            </w:pPr>
            <w:r>
              <w:rPr>
                <w:rFonts w:ascii="Arial" w:cs="Arial" w:eastAsia="Arial" w:hAnsi="Arial"/>
                <w:sz w:val="18"/>
                <w:szCs w:val="18"/>
                <w:color w:val="auto"/>
                <w:w w:val="97"/>
              </w:rPr>
              <w:t>ExlService Holdings, Inc. Management Incentive Plan (incorporated by reference to Exhibit 10.23 of Amendment 5 to the Company’s</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Registration Statement on Form S-1 (Registration No. 333-121001) filed October 4, 2006).</w:t>
            </w:r>
          </w:p>
        </w:tc>
      </w:tr>
    </w:tbl>
    <w:p>
      <w:pPr>
        <w:spacing w:after="0" w:line="200" w:lineRule="exact"/>
        <w:rPr>
          <w:sz w:val="20"/>
          <w:szCs w:val="20"/>
          <w:color w:val="auto"/>
        </w:rPr>
      </w:pPr>
    </w:p>
    <w:p>
      <w:pPr>
        <w:sectPr>
          <w:pgSz w:w="11900" w:h="16838" w:orient="portrait"/>
          <w:cols w:equalWidth="0" w:num="1">
            <w:col w:w="11380"/>
          </w:cols>
          <w:pgMar w:left="240" w:top="337"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380"/>
          </w:cols>
          <w:pgMar w:left="240" w:top="337" w:right="279" w:bottom="1440" w:gutter="0" w:footer="0" w:header="0"/>
          <w:type w:val="continuous"/>
        </w:sectPr>
      </w:pPr>
    </w:p>
    <w:bookmarkStart w:id="67" w:name="page68"/>
    <w:bookmarkEnd w:id="6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Form of Restricted Stock Award Agreement under the 2006 Omnibus Award Plan (incorporated by reference to Exhibit 10.31 of Amendment</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5 to 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280"/>
              <w:spacing w:after="0"/>
              <w:rPr>
                <w:sz w:val="20"/>
                <w:szCs w:val="20"/>
                <w:color w:val="auto"/>
              </w:rPr>
            </w:pPr>
            <w:r>
              <w:rPr>
                <w:rFonts w:ascii="Arial" w:cs="Arial" w:eastAsia="Arial" w:hAnsi="Arial"/>
                <w:sz w:val="18"/>
                <w:szCs w:val="18"/>
                <w:color w:val="auto"/>
                <w:w w:val="98"/>
              </w:rPr>
              <w:t>Form of Non-Qualified Stock Option Agreement under the 2006 Omnibus Award Plan (incorporated by reference to Exhibit 10.32 of</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Amendment 5 to 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280"/>
              <w:spacing w:after="0"/>
              <w:rPr>
                <w:sz w:val="20"/>
                <w:szCs w:val="20"/>
                <w:color w:val="auto"/>
              </w:rPr>
            </w:pPr>
            <w:r>
              <w:rPr>
                <w:rFonts w:ascii="Arial" w:cs="Arial" w:eastAsia="Arial" w:hAnsi="Arial"/>
                <w:sz w:val="18"/>
                <w:szCs w:val="18"/>
                <w:color w:val="auto"/>
                <w:w w:val="98"/>
              </w:rPr>
              <w:t>Form of Restricted Stock Award Agreement under the 2006 Omnibus India Subplan 1 (incorporated by reference to Exhibit 10.33 of</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Amendment 5 to 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ExlService Holdings, Inc. 2006 Omnibus India Subplan 2 (incorporated by reference to Exhibit 10.38 of Amendment 6 to the Company’s</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Registration Statement on Form S-1 (Registration No. 333-121001) filed October 17,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Form of Non-Qualified Stock Option Agreement under the 2006 Omnibus India Subplan 2 (incorporated by reference to Exhibit 10.39 of</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Amendment 5 to 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280"/>
              <w:spacing w:after="0"/>
              <w:rPr>
                <w:sz w:val="20"/>
                <w:szCs w:val="20"/>
                <w:color w:val="auto"/>
              </w:rPr>
            </w:pPr>
            <w:r>
              <w:rPr>
                <w:rFonts w:ascii="Arial" w:cs="Arial" w:eastAsia="Arial" w:hAnsi="Arial"/>
                <w:sz w:val="18"/>
                <w:szCs w:val="18"/>
                <w:color w:val="auto"/>
                <w:w w:val="98"/>
              </w:rPr>
              <w:t>Form of Restricted Stock Award Agreement under the 2006 Omnibus India Subplan 2 (incorporated by reference to Exhibit 10.40 of</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Amendment 5 to 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Non-Qualified Stock Option Agreement between Rohit Kapoor and the Company dated July 27, 2006 (incorporated by reference to Exhibit</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7"/>
              </w:rPr>
              <w:t>10.42 of Amendment 5 to 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Amendment to ExlService Holdings, Inc. 2006 Omnibus Award Plan (incorporated by reference to Exhibit 10.43 of Amendment 5 to the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10.21+</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Form of Restricted Stock Unit Agreement 1 under the 2006 Omnibus Award Plan (incorporated by reference to Exhibit 10.44 of Amendment 5</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10.22+</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Form of Restricted Stock Unit Agreement 2 under the 2006 Omnibus Award Plan (incorporated by reference to Exhibit 10.45 of Amendment 5</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S-1 (Registration No. 333-121001) filed October 4,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10.23+</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Amendment No. 2 to ExlService Holdings, Inc. 2006 Omnibus Award Plan (incorporated by reference to Exhibit 10.46 of Amendment 6 to the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Registration Statement on Form S-1 (Registration No. 333-121001) filed October 17,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10.24+</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Form of 2010 Restricted Stock Unit Agreement (U.S.) under the 2006 Omnibus Award Plan (incorporated by reference to Exhibit 99.1 to the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February 4, 2010).</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10.25+</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Form of 2010 Restricted Stock Unit Agreement (International) under the 2006 Omnibus Award Plan (incorporated by reference to Exhibit 99.2</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Current Report on Form 8-K filed on February 4, 2010).</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10.26+</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Form of 2010 Restricted Stock Unit Agreement (U.S.) under the 2006 Omnibus Award Plan (incorporated by reference to Exhibit 99.3 to the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Company’s Current Report on Form 8-K filed on February 4, 2010).</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10.27+</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Form of 2010 Restricted Stock Unit Agreement (International) under the 2006 Omnibus Award Plan (incorporated by reference to Exhibit 99.4</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Current Report on Form 8-K filed on February 4, 2010).</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10.28+</w:t>
            </w:r>
          </w:p>
        </w:tc>
        <w:tc>
          <w:tcPr>
            <w:tcW w:w="10580" w:type="dxa"/>
            <w:vAlign w:val="bottom"/>
          </w:tcPr>
          <w:p>
            <w:pPr>
              <w:ind w:left="280"/>
              <w:spacing w:after="0"/>
              <w:rPr>
                <w:sz w:val="20"/>
                <w:szCs w:val="20"/>
                <w:color w:val="auto"/>
              </w:rPr>
            </w:pPr>
            <w:r>
              <w:rPr>
                <w:rFonts w:ascii="Arial" w:cs="Arial" w:eastAsia="Arial" w:hAnsi="Arial"/>
                <w:sz w:val="18"/>
                <w:szCs w:val="18"/>
                <w:color w:val="auto"/>
                <w:w w:val="96"/>
              </w:rPr>
              <w:t>Form of 2010 Restricted Stock Unit Agreement (U.S.) under the 2006 Omnibus Award Plan (3 Year Variable Vesting)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99.5 to the Company’s Current Report on Form 8-K filed on February 4, 2010).</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10.29</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Framework Agreement, dated July 25, 2005, between Centrica plc, the Company and ExlService.com (India) Private Limited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10.37 to the Company’s Annual Report on Form 10-K filed on March 16, 2009).</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10.30</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Notice of Extension between Centrica plc and the Company, dated July 11, 2008 (incorporated by reference to Exhibit 10.1 to the Company’s</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Quarterly Report on Form 10-Q filed on November 10, 2008).</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10.31+</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Amendment No. 6, dated April 1, 2009, to the Framework Agreement between Centrica plc, the Company and ExlService.com (India) Private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Limited (incorporated by reference to Exhibit 10.36 to the Company’s Annual Report on Form 10-K filed on March 16, 2010).</w:t>
            </w:r>
          </w:p>
        </w:tc>
      </w:tr>
      <w:tr>
        <w:trPr>
          <w:trHeight w:val="608"/>
        </w:trPr>
        <w:tc>
          <w:tcPr>
            <w:tcW w:w="760" w:type="dxa"/>
            <w:vAlign w:val="bottom"/>
          </w:tcPr>
          <w:p>
            <w:pPr>
              <w:spacing w:after="0"/>
              <w:rPr>
                <w:sz w:val="24"/>
                <w:szCs w:val="24"/>
                <w:color w:val="auto"/>
              </w:rPr>
            </w:pPr>
          </w:p>
        </w:tc>
        <w:tc>
          <w:tcPr>
            <w:tcW w:w="10580" w:type="dxa"/>
            <w:vAlign w:val="bottom"/>
          </w:tcPr>
          <w:p>
            <w:pPr>
              <w:ind w:left="4820"/>
              <w:spacing w:after="0"/>
              <w:rPr>
                <w:sz w:val="20"/>
                <w:szCs w:val="20"/>
                <w:color w:val="auto"/>
              </w:rPr>
            </w:pPr>
            <w:r>
              <w:rPr>
                <w:rFonts w:ascii="Arial" w:cs="Arial" w:eastAsia="Arial" w:hAnsi="Arial"/>
                <w:sz w:val="18"/>
                <w:szCs w:val="18"/>
                <w:color w:val="auto"/>
              </w:rPr>
              <w:t>66</w:t>
            </w:r>
          </w:p>
        </w:tc>
      </w:tr>
    </w:tbl>
    <w:p>
      <w:pPr>
        <w:sectPr>
          <w:pgSz w:w="11900" w:h="16838" w:orient="portrait"/>
          <w:cols w:equalWidth="0" w:num="1">
            <w:col w:w="11380"/>
          </w:cols>
          <w:pgMar w:left="240" w:top="337"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10.32+</w:t>
            </w:r>
          </w:p>
        </w:tc>
        <w:tc>
          <w:tcPr>
            <w:tcW w:w="10480" w:type="dxa"/>
            <w:vAlign w:val="bottom"/>
          </w:tcPr>
          <w:p>
            <w:pPr>
              <w:ind w:left="180"/>
              <w:spacing w:after="0"/>
              <w:rPr>
                <w:sz w:val="20"/>
                <w:szCs w:val="20"/>
                <w:color w:val="auto"/>
              </w:rPr>
            </w:pPr>
            <w:r>
              <w:rPr>
                <w:rFonts w:ascii="Arial" w:cs="Arial" w:eastAsia="Arial" w:hAnsi="Arial"/>
                <w:sz w:val="18"/>
                <w:szCs w:val="18"/>
                <w:color w:val="auto"/>
                <w:w w:val="97"/>
              </w:rPr>
              <w:t>Amendment No. 3 to ExlService Holdings, Inc. 2006 Omnibus Award Plan (incorporated by reference to Exhibit 4.6 to the Company’s</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Registration Statement on Form S-8 (Registration No. 333-157076) filed February 2, 2009).</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10.33*+</w:t>
            </w:r>
          </w:p>
        </w:tc>
        <w:tc>
          <w:tcPr>
            <w:tcW w:w="10480" w:type="dxa"/>
            <w:vAlign w:val="bottom"/>
          </w:tcPr>
          <w:p>
            <w:pPr>
              <w:ind w:left="180"/>
              <w:spacing w:after="0"/>
              <w:rPr>
                <w:sz w:val="20"/>
                <w:szCs w:val="20"/>
                <w:color w:val="auto"/>
              </w:rPr>
            </w:pPr>
            <w:r>
              <w:rPr>
                <w:rFonts w:ascii="Arial" w:cs="Arial" w:eastAsia="Arial" w:hAnsi="Arial"/>
                <w:sz w:val="18"/>
                <w:szCs w:val="18"/>
                <w:color w:val="auto"/>
                <w:w w:val="95"/>
              </w:rPr>
              <w:t>Framework Agreement, dated February 29, 2012, by and among Centrica plc, the Company and exl Service.com (India) Private Limited</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(incorporated by reference to Exhibit 10.39 to the Company’s Annual Report on Form 10-K/A filed on June 1, 2012).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10.34+</w:t>
            </w:r>
          </w:p>
        </w:tc>
        <w:tc>
          <w:tcPr>
            <w:tcW w:w="10480" w:type="dxa"/>
            <w:vAlign w:val="bottom"/>
          </w:tcPr>
          <w:p>
            <w:pPr>
              <w:ind w:left="180"/>
              <w:spacing w:after="0"/>
              <w:rPr>
                <w:sz w:val="20"/>
                <w:szCs w:val="20"/>
                <w:color w:val="auto"/>
              </w:rPr>
            </w:pPr>
            <w:r>
              <w:rPr>
                <w:rFonts w:ascii="Arial" w:cs="Arial" w:eastAsia="Arial" w:hAnsi="Arial"/>
                <w:sz w:val="18"/>
                <w:szCs w:val="18"/>
                <w:color w:val="auto"/>
                <w:w w:val="96"/>
              </w:rPr>
              <w:t>Form of Restricted Stock Unit Agreement (U.S.) under the 2006 Omnibus Award Plan (incorporated by reference to Exhibit 10.1 to the</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Company’s Quarterly Report on Form 10-Q filed on May 1, 2014).</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10.35</w:t>
            </w: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Credit Agreement, dated as of October 24, 2014, among ExlService Holdings, Inc., JPMorgan Chase Bank, N.A., as administrative agent and</w:t>
            </w:r>
          </w:p>
        </w:tc>
      </w:tr>
      <w:tr>
        <w:trPr>
          <w:trHeight w:val="216"/>
        </w:trPr>
        <w:tc>
          <w:tcPr>
            <w:tcW w:w="8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3"/>
              </w:rPr>
              <w:t>co-lead arranger, Citibank, N.A., as co-lead arranger, and the other Loan Parties and Lenders thereto (incorporated by reference to Exhibit</w:t>
            </w:r>
          </w:p>
        </w:tc>
      </w:tr>
      <w:tr>
        <w:trPr>
          <w:trHeight w:val="216"/>
        </w:trPr>
        <w:tc>
          <w:tcPr>
            <w:tcW w:w="8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10.39 to the Company’s Annual Report on Form 10-K filed</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on February 27, 2015).</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10.36</w:t>
            </w:r>
          </w:p>
        </w:tc>
        <w:tc>
          <w:tcPr>
            <w:tcW w:w="10480" w:type="dxa"/>
            <w:vAlign w:val="bottom"/>
          </w:tcPr>
          <w:p>
            <w:pPr>
              <w:ind w:left="180"/>
              <w:spacing w:after="0"/>
              <w:rPr>
                <w:sz w:val="20"/>
                <w:szCs w:val="20"/>
                <w:color w:val="auto"/>
              </w:rPr>
            </w:pPr>
            <w:r>
              <w:rPr>
                <w:rFonts w:ascii="Arial" w:cs="Arial" w:eastAsia="Arial" w:hAnsi="Arial"/>
                <w:sz w:val="18"/>
                <w:szCs w:val="18"/>
                <w:color w:val="auto"/>
                <w:w w:val="97"/>
              </w:rPr>
              <w:t>First Amendment to Credit Agreement and Incremental Facility Agreement, dated as of February 23, 2015, by and among ExlService</w:t>
            </w:r>
          </w:p>
        </w:tc>
      </w:tr>
      <w:tr>
        <w:trPr>
          <w:trHeight w:val="216"/>
        </w:trPr>
        <w:tc>
          <w:tcPr>
            <w:tcW w:w="860" w:type="dxa"/>
            <w:vAlign w:val="bottom"/>
          </w:tcPr>
          <w:p>
            <w:pPr>
              <w:spacing w:after="0"/>
              <w:rPr>
                <w:sz w:val="18"/>
                <w:szCs w:val="18"/>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w w:val="90"/>
              </w:rPr>
              <w:t>Holdings, Inc., each of its subsidiaries party thereto, the Lenders party thereto and JPMorgan Chase Bank, N.A., as administrative agent for the</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Lenders (incorporated by reference to Exhibit 10.40 to the Company’s Annual Report on Form 10-K filed on February 27, 2015).</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10.37+</w:t>
            </w:r>
          </w:p>
        </w:tc>
        <w:tc>
          <w:tcPr>
            <w:tcW w:w="10480" w:type="dxa"/>
            <w:vAlign w:val="bottom"/>
          </w:tcPr>
          <w:p>
            <w:pPr>
              <w:ind w:left="180"/>
              <w:spacing w:after="0"/>
              <w:rPr>
                <w:sz w:val="20"/>
                <w:szCs w:val="20"/>
                <w:color w:val="auto"/>
              </w:rPr>
            </w:pPr>
            <w:r>
              <w:rPr>
                <w:rFonts w:ascii="Arial" w:cs="Arial" w:eastAsia="Arial" w:hAnsi="Arial"/>
                <w:sz w:val="18"/>
                <w:szCs w:val="18"/>
                <w:color w:val="auto"/>
                <w:w w:val="92"/>
              </w:rPr>
              <w:t>Letter Agreement, dated March 14, 2014, between ExlService Holdings, Inc. and Nancy Saltzman (incorporated by reference to Exhibit 10.1</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to the Company’s Quarterly Report on Form 10-Q filed on May 1, 2015).</w:t>
            </w:r>
          </w:p>
        </w:tc>
      </w:tr>
      <w:tr>
        <w:trPr>
          <w:trHeight w:val="634"/>
        </w:trPr>
        <w:tc>
          <w:tcPr>
            <w:tcW w:w="860" w:type="dxa"/>
            <w:vAlign w:val="bottom"/>
          </w:tcPr>
          <w:p>
            <w:pPr>
              <w:spacing w:after="0"/>
              <w:rPr>
                <w:sz w:val="20"/>
                <w:szCs w:val="20"/>
                <w:color w:val="auto"/>
              </w:rPr>
            </w:pPr>
            <w:r>
              <w:rPr>
                <w:rFonts w:ascii="Arial" w:cs="Arial" w:eastAsia="Arial" w:hAnsi="Arial"/>
                <w:sz w:val="18"/>
                <w:szCs w:val="18"/>
                <w:color w:val="auto"/>
              </w:rPr>
              <w:t>10.38+</w:t>
            </w:r>
          </w:p>
        </w:tc>
        <w:tc>
          <w:tcPr>
            <w:tcW w:w="10480" w:type="dxa"/>
            <w:vAlign w:val="bottom"/>
          </w:tcPr>
          <w:p>
            <w:pPr>
              <w:ind w:left="180"/>
              <w:spacing w:after="0"/>
              <w:rPr>
                <w:sz w:val="20"/>
                <w:szCs w:val="20"/>
                <w:color w:val="auto"/>
              </w:rPr>
            </w:pPr>
            <w:r>
              <w:rPr>
                <w:rFonts w:ascii="Arial" w:cs="Arial" w:eastAsia="Arial" w:hAnsi="Arial"/>
                <w:sz w:val="18"/>
                <w:szCs w:val="18"/>
                <w:color w:val="auto"/>
                <w:w w:val="92"/>
              </w:rPr>
              <w:t>ExlService Holdings, Inc. 2015 Amendment and Restatement of the 2006 Omnibus Award Plan (incorporated by reference to Exhibit 10.1 to</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the Company’s Current Report on Form 8-K filed on June 25, 2015).</w:t>
            </w:r>
          </w:p>
        </w:tc>
      </w:tr>
      <w:tr>
        <w:trPr>
          <w:trHeight w:val="405"/>
        </w:trPr>
        <w:tc>
          <w:tcPr>
            <w:tcW w:w="860" w:type="dxa"/>
            <w:vAlign w:val="bottom"/>
          </w:tcPr>
          <w:p>
            <w:pPr>
              <w:spacing w:after="0"/>
              <w:rPr>
                <w:sz w:val="20"/>
                <w:szCs w:val="20"/>
                <w:color w:val="auto"/>
              </w:rPr>
            </w:pPr>
            <w:r>
              <w:rPr>
                <w:rFonts w:ascii="Arial" w:cs="Arial" w:eastAsia="Arial" w:hAnsi="Arial"/>
                <w:sz w:val="18"/>
                <w:szCs w:val="18"/>
                <w:color w:val="auto"/>
              </w:rPr>
              <w:t>21.1</w:t>
            </w:r>
          </w:p>
        </w:tc>
        <w:tc>
          <w:tcPr>
            <w:tcW w:w="10480" w:type="dxa"/>
            <w:vAlign w:val="bottom"/>
          </w:tcPr>
          <w:p>
            <w:pPr>
              <w:ind w:left="180"/>
              <w:spacing w:after="0"/>
              <w:rPr>
                <w:sz w:val="20"/>
                <w:szCs w:val="20"/>
                <w:color w:val="auto"/>
              </w:rPr>
            </w:pPr>
            <w:r>
              <w:rPr>
                <w:rFonts w:ascii="Arial" w:cs="Arial" w:eastAsia="Arial" w:hAnsi="Arial"/>
                <w:sz w:val="18"/>
                <w:szCs w:val="18"/>
                <w:color w:val="auto"/>
              </w:rPr>
              <w:t>Subsidiaries of the Company.</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23.1</w:t>
            </w:r>
          </w:p>
        </w:tc>
        <w:tc>
          <w:tcPr>
            <w:tcW w:w="10480" w:type="dxa"/>
            <w:vAlign w:val="bottom"/>
          </w:tcPr>
          <w:p>
            <w:pPr>
              <w:ind w:left="18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tcPr>
          <w:p>
            <w:pPr>
              <w:ind w:left="180"/>
              <w:spacing w:after="0"/>
              <w:rPr>
                <w:sz w:val="20"/>
                <w:szCs w:val="20"/>
                <w:color w:val="auto"/>
              </w:rPr>
            </w:pPr>
            <w:r>
              <w:rPr>
                <w:rFonts w:ascii="Arial" w:cs="Arial" w:eastAsia="Arial" w:hAnsi="Arial"/>
                <w:sz w:val="18"/>
                <w:szCs w:val="18"/>
                <w:color w:val="auto"/>
                <w:w w:val="93"/>
              </w:rPr>
              <w:t>Certification of the Chief Executive Officer of ExlService Holdings, pursuant to Rule 13a-14(a) of the Exchange Act, as adopted pursuant to</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tcPr>
          <w:p>
            <w:pPr>
              <w:ind w:left="180"/>
              <w:spacing w:after="0"/>
              <w:rPr>
                <w:sz w:val="20"/>
                <w:szCs w:val="20"/>
                <w:color w:val="auto"/>
              </w:rPr>
            </w:pPr>
            <w:r>
              <w:rPr>
                <w:rFonts w:ascii="Arial" w:cs="Arial" w:eastAsia="Arial" w:hAnsi="Arial"/>
                <w:sz w:val="18"/>
                <w:szCs w:val="18"/>
                <w:color w:val="auto"/>
                <w:w w:val="93"/>
              </w:rPr>
              <w:t>Certification of the Chief Financial Officer of ExlService Holdings, pursuant to Rule 13a-14(a) of the Exchange Act, as adopted pursuant to</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Section 302 of the Sarbanes-Oxley Act of 2002.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tcPr>
          <w:p>
            <w:pPr>
              <w:ind w:left="180"/>
              <w:spacing w:after="0"/>
              <w:rPr>
                <w:sz w:val="20"/>
                <w:szCs w:val="20"/>
                <w:color w:val="auto"/>
              </w:rPr>
            </w:pPr>
            <w:r>
              <w:rPr>
                <w:rFonts w:ascii="Arial" w:cs="Arial" w:eastAsia="Arial" w:hAnsi="Arial"/>
                <w:sz w:val="18"/>
                <w:szCs w:val="18"/>
                <w:color w:val="auto"/>
                <w:w w:val="91"/>
              </w:rPr>
              <w:t>Certification of the Chief Executive Officer pursuant to Rule 13a-14(b) of the Exchange Act and 18 U.S.C. Section 1350, as adopted pursuant</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to Section 906 of the Sarbanes-Oxley Act of 2002.</w:t>
            </w:r>
          </w:p>
        </w:tc>
      </w:tr>
      <w:tr>
        <w:trPr>
          <w:trHeight w:val="377"/>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tcPr>
          <w:p>
            <w:pPr>
              <w:ind w:left="180"/>
              <w:spacing w:after="0"/>
              <w:rPr>
                <w:sz w:val="20"/>
                <w:szCs w:val="20"/>
                <w:color w:val="auto"/>
              </w:rPr>
            </w:pPr>
            <w:r>
              <w:rPr>
                <w:rFonts w:ascii="Arial" w:cs="Arial" w:eastAsia="Arial" w:hAnsi="Arial"/>
                <w:sz w:val="18"/>
                <w:szCs w:val="18"/>
                <w:color w:val="auto"/>
                <w:w w:val="92"/>
              </w:rPr>
              <w:t>Certification of the Chief Financial Officer pursuant to Rule 13a-14(b) of the Exchange Act and 18 U.S.C. Section 1350, as adopted pursuant</w:t>
            </w:r>
          </w:p>
        </w:tc>
      </w:tr>
      <w:tr>
        <w:trPr>
          <w:trHeight w:val="230"/>
        </w:trPr>
        <w:tc>
          <w:tcPr>
            <w:tcW w:w="860" w:type="dxa"/>
            <w:vAlign w:val="bottom"/>
          </w:tcPr>
          <w:p>
            <w:pPr>
              <w:spacing w:after="0"/>
              <w:rPr>
                <w:sz w:val="20"/>
                <w:szCs w:val="20"/>
                <w:color w:val="auto"/>
              </w:rPr>
            </w:pPr>
          </w:p>
        </w:tc>
        <w:tc>
          <w:tcPr>
            <w:tcW w:w="10480" w:type="dxa"/>
            <w:vAlign w:val="bottom"/>
          </w:tcPr>
          <w:p>
            <w:pPr>
              <w:ind w:left="180"/>
              <w:spacing w:after="0"/>
              <w:rPr>
                <w:sz w:val="20"/>
                <w:szCs w:val="20"/>
                <w:color w:val="auto"/>
              </w:rPr>
            </w:pPr>
            <w:r>
              <w:rPr>
                <w:rFonts w:ascii="Arial" w:cs="Arial" w:eastAsia="Arial" w:hAnsi="Arial"/>
                <w:sz w:val="18"/>
                <w:szCs w:val="18"/>
                <w:color w:val="auto"/>
              </w:rPr>
              <w:t>to Section 906 of the Sarbanes-Oxley Act of 2002.</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Calculation Linkbase***</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Definition Linkbase***</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tcPr>
          <w:p>
            <w:pPr>
              <w:ind w:left="180"/>
              <w:spacing w:after="0"/>
              <w:rPr>
                <w:sz w:val="20"/>
                <w:szCs w:val="20"/>
                <w:color w:val="auto"/>
              </w:rPr>
            </w:pPr>
            <w:r>
              <w:rPr>
                <w:rFonts w:ascii="Arial" w:cs="Arial" w:eastAsia="Arial" w:hAnsi="Arial"/>
                <w:sz w:val="18"/>
                <w:szCs w:val="18"/>
                <w:color w:val="auto"/>
              </w:rPr>
              <w:t>XBRL Extension Presentation Linkbase**</w:t>
            </w:r>
          </w:p>
        </w:tc>
      </w:tr>
    </w:tbl>
    <w:p>
      <w:pPr>
        <w:spacing w:after="0" w:line="148"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color w:val="auto"/>
        </w:rPr>
        <w:t>*Portions of this exhibit have been omitted pursuant to confidential treatment granted by the SEC. The omitted portions have been filed with the SEC. **Pursuant to Item 601(b)(2) of Regulation S-K promulgated by the SEC, certain schedules to this agreement have been omitted. The Company hereby agrees to furnish supplementally to the SEC, upon its request, any or all of such omitted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5829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right="160"/>
        <w:spacing w:after="0" w:line="250" w:lineRule="auto"/>
        <w:rPr>
          <w:sz w:val="20"/>
          <w:szCs w:val="20"/>
          <w:color w:val="auto"/>
        </w:rPr>
      </w:pPr>
      <w:r>
        <w:rPr>
          <w:rFonts w:ascii="Arial" w:cs="Arial" w:eastAsia="Arial" w:hAnsi="Arial"/>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management contract or compensatory plan required to be filed as an Exhibit.</w:t>
      </w:r>
    </w:p>
    <w:p>
      <w:pPr>
        <w:sectPr>
          <w:pgSz w:w="11900" w:h="16838" w:orient="portrait"/>
          <w:cols w:equalWidth="0" w:num="1">
            <w:col w:w="11380"/>
          </w:cols>
          <w:pgMar w:left="240" w:top="337" w:right="279" w:bottom="1440" w:gutter="0" w:footer="0" w:header="0"/>
        </w:sect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380"/>
          </w:cols>
          <w:pgMar w:left="240" w:top="337" w:right="279" w:bottom="1440"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9900" w:type="dxa"/>
            <w:vAlign w:val="bottom"/>
            <w:gridSpan w:val="11"/>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80" w:type="dxa"/>
            <w:vAlign w:val="bottom"/>
            <w:gridSpan w:val="2"/>
          </w:tcPr>
          <w:p>
            <w:pPr>
              <w:jc w:val="center"/>
              <w:ind w:right="2580"/>
              <w:spacing w:after="0"/>
              <w:rPr>
                <w:sz w:val="20"/>
                <w:szCs w:val="20"/>
                <w:color w:val="auto"/>
              </w:rPr>
            </w:pPr>
            <w:r>
              <w:rPr>
                <w:rFonts w:ascii="Arial" w:cs="Arial" w:eastAsia="Arial" w:hAnsi="Arial"/>
                <w:sz w:val="18"/>
                <w:szCs w:val="18"/>
                <w:b w:val="1"/>
                <w:bCs w:val="1"/>
                <w:color w:val="auto"/>
              </w:rPr>
              <w:t>EXLSERVICE HOLDINGS, INC.</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4"/>
          </w:tcPr>
          <w:p>
            <w:pPr>
              <w:jc w:val="center"/>
              <w:ind w:right="1720"/>
              <w:spacing w:after="0"/>
              <w:rPr>
                <w:sz w:val="20"/>
                <w:szCs w:val="20"/>
                <w:color w:val="auto"/>
              </w:rPr>
            </w:pPr>
            <w:r>
              <w:rPr>
                <w:rFonts w:ascii="Arial" w:cs="Arial" w:eastAsia="Arial" w:hAnsi="Arial"/>
                <w:sz w:val="18"/>
                <w:szCs w:val="18"/>
                <w:b w:val="1"/>
                <w:bCs w:val="1"/>
                <w:color w:val="auto"/>
              </w:rPr>
              <w:t>INDEX TO CONSOLIDATED FINANCIAL STATEMENTS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60" w:type="dxa"/>
            <w:vAlign w:val="bottom"/>
          </w:tcPr>
          <w:p>
            <w:pPr>
              <w:ind w:left="5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9900" w:type="dxa"/>
            <w:vAlign w:val="bottom"/>
            <w:gridSpan w:val="11"/>
            <w:vMerge w:val="restart"/>
          </w:tcPr>
          <w:p>
            <w:pPr>
              <w:ind w:left="40"/>
              <w:spacing w:after="0"/>
              <w:rPr>
                <w:sz w:val="20"/>
                <w:szCs w:val="20"/>
                <w:color w:val="auto"/>
              </w:rPr>
            </w:pPr>
            <w:r>
              <w:rPr>
                <w:rFonts w:ascii="Arial" w:cs="Arial" w:eastAsia="Arial" w:hAnsi="Arial"/>
                <w:sz w:val="18"/>
                <w:szCs w:val="18"/>
                <w:color w:val="auto"/>
              </w:rPr>
              <w:t>Consolidated Financial Statements:</w:t>
            </w: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00" w:type="dxa"/>
            <w:vAlign w:val="bottom"/>
            <w:gridSpan w:val="11"/>
            <w:vMerge w:val="continue"/>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9520" w:type="dxa"/>
            <w:vAlign w:val="bottom"/>
            <w:gridSpan w:val="10"/>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Report of Independent Registered Public Accounting Firm</w:t>
              </w:r>
            </w:hyperlink>
          </w:p>
        </w:tc>
        <w:tc>
          <w:tcPr>
            <w:tcW w:w="1460" w:type="dxa"/>
            <w:vAlign w:val="bottom"/>
          </w:tcPr>
          <w:p>
            <w:pPr>
              <w:ind w:left="1180"/>
              <w:spacing w:after="0"/>
              <w:rPr>
                <w:rFonts w:ascii="Arial" w:cs="Arial" w:eastAsia="Arial" w:hAnsi="Arial"/>
                <w:sz w:val="18"/>
                <w:szCs w:val="18"/>
                <w:color w:val="auto"/>
                <w:w w:val="96"/>
              </w:rPr>
            </w:pPr>
            <w:hyperlink w:anchor="page70">
              <w:r>
                <w:rPr>
                  <w:rFonts w:ascii="Arial" w:cs="Arial" w:eastAsia="Arial" w:hAnsi="Arial"/>
                  <w:sz w:val="18"/>
                  <w:szCs w:val="18"/>
                  <w:color w:val="auto"/>
                  <w:w w:val="96"/>
                </w:rPr>
                <w:t>F-2</w:t>
              </w:r>
            </w:hyperlink>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21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6"/>
          </w:tcPr>
          <w:p>
            <w:pPr>
              <w:spacing w:after="0"/>
              <w:rPr>
                <w:sz w:val="24"/>
                <w:szCs w:val="24"/>
                <w:color w:val="auto"/>
              </w:rPr>
            </w:pPr>
          </w:p>
        </w:tc>
        <w:tc>
          <w:tcPr>
            <w:tcW w:w="5300" w:type="dxa"/>
            <w:vAlign w:val="bottom"/>
          </w:tcPr>
          <w:p>
            <w:pPr>
              <w:spacing w:after="0"/>
              <w:rPr>
                <w:sz w:val="24"/>
                <w:szCs w:val="24"/>
                <w:color w:val="auto"/>
              </w:rPr>
            </w:pPr>
          </w:p>
        </w:tc>
        <w:tc>
          <w:tcPr>
            <w:tcW w:w="1460" w:type="dxa"/>
            <w:vAlign w:val="bottom"/>
          </w:tcPr>
          <w:p>
            <w:pPr>
              <w:ind w:left="1180"/>
              <w:spacing w:after="0"/>
              <w:rPr>
                <w:rFonts w:ascii="Arial" w:cs="Arial" w:eastAsia="Arial" w:hAnsi="Arial"/>
                <w:sz w:val="18"/>
                <w:szCs w:val="18"/>
                <w:color w:val="auto"/>
                <w:w w:val="96"/>
              </w:rPr>
            </w:pPr>
            <w:hyperlink w:anchor="page72">
              <w:r>
                <w:rPr>
                  <w:rFonts w:ascii="Arial" w:cs="Arial" w:eastAsia="Arial" w:hAnsi="Arial"/>
                  <w:sz w:val="18"/>
                  <w:szCs w:val="18"/>
                  <w:color w:val="auto"/>
                  <w:w w:val="96"/>
                </w:rPr>
                <w:t>F-4</w:t>
              </w:r>
            </w:hyperlink>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258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Income</w:t>
              </w:r>
            </w:hyperlink>
          </w:p>
        </w:tc>
        <w:tc>
          <w:tcPr>
            <w:tcW w:w="6940" w:type="dxa"/>
            <w:vAlign w:val="bottom"/>
            <w:gridSpan w:val="5"/>
          </w:tcPr>
          <w:p>
            <w:pPr>
              <w:spacing w:after="0"/>
              <w:rPr>
                <w:sz w:val="24"/>
                <w:szCs w:val="24"/>
                <w:color w:val="auto"/>
              </w:rPr>
            </w:pPr>
          </w:p>
        </w:tc>
        <w:tc>
          <w:tcPr>
            <w:tcW w:w="1460" w:type="dxa"/>
            <w:vAlign w:val="bottom"/>
          </w:tcPr>
          <w:p>
            <w:pPr>
              <w:ind w:left="1180"/>
              <w:spacing w:after="0"/>
              <w:rPr>
                <w:rFonts w:ascii="Arial" w:cs="Arial" w:eastAsia="Arial" w:hAnsi="Arial"/>
                <w:sz w:val="18"/>
                <w:szCs w:val="18"/>
                <w:color w:val="auto"/>
                <w:w w:val="96"/>
              </w:rPr>
            </w:pPr>
            <w:hyperlink w:anchor="page73">
              <w:r>
                <w:rPr>
                  <w:rFonts w:ascii="Arial" w:cs="Arial" w:eastAsia="Arial" w:hAnsi="Arial"/>
                  <w:sz w:val="18"/>
                  <w:szCs w:val="18"/>
                  <w:color w:val="auto"/>
                  <w:w w:val="96"/>
                </w:rPr>
                <w:t>F-5</w:t>
              </w:r>
            </w:hyperlink>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9520" w:type="dxa"/>
            <w:vAlign w:val="bottom"/>
            <w:gridSpan w:val="1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Statements of Comprehensive Income</w:t>
              </w:r>
            </w:hyperlink>
          </w:p>
        </w:tc>
        <w:tc>
          <w:tcPr>
            <w:tcW w:w="1460" w:type="dxa"/>
            <w:vAlign w:val="bottom"/>
          </w:tcPr>
          <w:p>
            <w:pPr>
              <w:ind w:left="1180"/>
              <w:spacing w:after="0"/>
              <w:rPr>
                <w:rFonts w:ascii="Arial" w:cs="Arial" w:eastAsia="Arial" w:hAnsi="Arial"/>
                <w:sz w:val="18"/>
                <w:szCs w:val="18"/>
                <w:color w:val="auto"/>
                <w:w w:val="96"/>
              </w:rPr>
            </w:pPr>
            <w:hyperlink w:anchor="page74">
              <w:r>
                <w:rPr>
                  <w:rFonts w:ascii="Arial" w:cs="Arial" w:eastAsia="Arial" w:hAnsi="Arial"/>
                  <w:sz w:val="18"/>
                  <w:szCs w:val="18"/>
                  <w:color w:val="auto"/>
                  <w:w w:val="96"/>
                </w:rPr>
                <w:t>F-6</w:t>
              </w:r>
            </w:hyperlink>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3740" w:type="dxa"/>
            <w:vAlign w:val="bottom"/>
            <w:tcBorders>
              <w:top w:val="single" w:sz="8" w:color="0000EE"/>
            </w:tcBorders>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 xml:space="preserve">Consolidated Statements of </w:t>
              </w:r>
            </w:hyperlink>
            <w:r>
              <w:rPr>
                <w:rFonts w:ascii="Arial" w:cs="Arial" w:eastAsia="Arial" w:hAnsi="Arial"/>
                <w:sz w:val="18"/>
                <w:szCs w:val="18"/>
                <w:color w:val="0000FF"/>
              </w:rPr>
              <w:t>Equity</w:t>
            </w:r>
          </w:p>
        </w:tc>
        <w:tc>
          <w:tcPr>
            <w:tcW w:w="5780" w:type="dxa"/>
            <w:vAlign w:val="bottom"/>
            <w:gridSpan w:val="2"/>
          </w:tcPr>
          <w:p>
            <w:pPr>
              <w:spacing w:after="0"/>
              <w:rPr>
                <w:sz w:val="24"/>
                <w:szCs w:val="24"/>
                <w:color w:val="auto"/>
              </w:rPr>
            </w:pPr>
          </w:p>
        </w:tc>
        <w:tc>
          <w:tcPr>
            <w:tcW w:w="1460" w:type="dxa"/>
            <w:vAlign w:val="bottom"/>
          </w:tcPr>
          <w:p>
            <w:pPr>
              <w:ind w:left="1180"/>
              <w:spacing w:after="0"/>
              <w:rPr>
                <w:rFonts w:ascii="Arial" w:cs="Arial" w:eastAsia="Arial" w:hAnsi="Arial"/>
                <w:sz w:val="18"/>
                <w:szCs w:val="18"/>
                <w:color w:val="auto"/>
                <w:w w:val="96"/>
              </w:rPr>
            </w:pPr>
            <w:hyperlink w:anchor="page75">
              <w:r>
                <w:rPr>
                  <w:rFonts w:ascii="Arial" w:cs="Arial" w:eastAsia="Arial" w:hAnsi="Arial"/>
                  <w:sz w:val="18"/>
                  <w:szCs w:val="18"/>
                  <w:color w:val="auto"/>
                  <w:w w:val="96"/>
                </w:rPr>
                <w:t>F-7</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0" w:type="dxa"/>
            <w:vAlign w:val="bottom"/>
          </w:tcPr>
          <w:p>
            <w:pPr>
              <w:spacing w:after="0"/>
              <w:rPr>
                <w:sz w:val="24"/>
                <w:szCs w:val="24"/>
                <w:color w:val="auto"/>
              </w:rPr>
            </w:pPr>
          </w:p>
        </w:tc>
        <w:tc>
          <w:tcPr>
            <w:tcW w:w="28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Consolidated Statements of Cash Flows</w:t>
              </w:r>
            </w:hyperlink>
          </w:p>
        </w:tc>
        <w:tc>
          <w:tcPr>
            <w:tcW w:w="6640" w:type="dxa"/>
            <w:vAlign w:val="bottom"/>
            <w:gridSpan w:val="4"/>
          </w:tcPr>
          <w:p>
            <w:pPr>
              <w:spacing w:after="0"/>
              <w:rPr>
                <w:sz w:val="24"/>
                <w:szCs w:val="24"/>
                <w:color w:val="auto"/>
              </w:rPr>
            </w:pPr>
          </w:p>
        </w:tc>
        <w:tc>
          <w:tcPr>
            <w:tcW w:w="1460" w:type="dxa"/>
            <w:vAlign w:val="bottom"/>
          </w:tcPr>
          <w:p>
            <w:pPr>
              <w:ind w:left="1180"/>
              <w:spacing w:after="0"/>
              <w:rPr>
                <w:rFonts w:ascii="Arial" w:cs="Arial" w:eastAsia="Arial" w:hAnsi="Arial"/>
                <w:sz w:val="18"/>
                <w:szCs w:val="18"/>
                <w:color w:val="auto"/>
                <w:w w:val="96"/>
              </w:rPr>
            </w:pPr>
            <w:hyperlink w:anchor="page76">
              <w:r>
                <w:rPr>
                  <w:rFonts w:ascii="Arial" w:cs="Arial" w:eastAsia="Arial" w:hAnsi="Arial"/>
                  <w:sz w:val="18"/>
                  <w:szCs w:val="18"/>
                  <w:color w:val="auto"/>
                  <w:w w:val="96"/>
                </w:rPr>
                <w:t>F-8</w:t>
              </w:r>
            </w:hyperlink>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316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Notes to Consolidated Financial Statements</w:t>
              </w:r>
            </w:hyperlink>
          </w:p>
        </w:tc>
        <w:tc>
          <w:tcPr>
            <w:tcW w:w="6360" w:type="dxa"/>
            <w:vAlign w:val="bottom"/>
            <w:gridSpan w:val="3"/>
          </w:tcPr>
          <w:p>
            <w:pPr>
              <w:spacing w:after="0"/>
              <w:rPr>
                <w:sz w:val="24"/>
                <w:szCs w:val="24"/>
                <w:color w:val="auto"/>
              </w:rPr>
            </w:pPr>
          </w:p>
        </w:tc>
        <w:tc>
          <w:tcPr>
            <w:tcW w:w="1460" w:type="dxa"/>
            <w:vAlign w:val="bottom"/>
          </w:tcPr>
          <w:p>
            <w:pPr>
              <w:ind w:left="1180"/>
              <w:spacing w:after="0"/>
              <w:rPr>
                <w:rFonts w:ascii="Arial" w:cs="Arial" w:eastAsia="Arial" w:hAnsi="Arial"/>
                <w:sz w:val="18"/>
                <w:szCs w:val="18"/>
                <w:color w:val="auto"/>
                <w:w w:val="96"/>
              </w:rPr>
            </w:pPr>
            <w:hyperlink w:anchor="page78">
              <w:r>
                <w:rPr>
                  <w:rFonts w:ascii="Arial" w:cs="Arial" w:eastAsia="Arial" w:hAnsi="Arial"/>
                  <w:sz w:val="18"/>
                  <w:szCs w:val="18"/>
                  <w:color w:val="auto"/>
                  <w:w w:val="96"/>
                </w:rPr>
                <w:t>F-9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40" w:top="324" w:right="2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ExlService Holdings, Inc.</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audited the accompanying consolidated balance sheets of ExlService Holdings, Inc. as of December 31, 2015 and 2014, and the related consolidated statements of income, comprehensive income,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ExlService Holdings, Inc. at December 31, 2015 and 2014, and the consolidated results of its operations and its cash flows for each of the three years in the period ended December 31, 2015, in conformity with U.S. generally accepted accounting principles.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ExlService Holdings, Inc.'s internal control over financial reporting as of December 31, 2015, based on criteria established in Internal Control-Integrated Framework issued by the Committee of Sponsoring Organizations of the Treadway Commission (2013 Framework) and our report dated February 26,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37"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ExlService Holdings, Inc.</w:t>
      </w:r>
    </w:p>
    <w:p>
      <w:pPr>
        <w:spacing w:after="0" w:line="225"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We have audited ExlService Holdings, Inc.'s internal control over financial reporting as of December 31, 2015, based on criteria established in Internal Control-Integrated Framework issued by the Committee of Sponsoring Organizations of the Treadway Commission (2013 Framework) (the COSO criteria). ExlService Holdings,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RPM Direct LLC and RPM Data Solutions, LLC (collectively, "RPM"), which is included in the 2015 consolidated financial statements of ExlService Holdings, Inc. and constituted $59,422 thousands and $52,849 thousands of total and net assets, respectively, as of December 31, 2015 and $32,816 thousands of revenues for the year then ended. Our audit of internal control over financial reporting of ExlService Holdings, Inc. also did not include an evaluation of the internal control over financial reporting of RPM.</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opinion, ExlService Holdings, Inc. maintained, in all material respects, effective internal control over financial reporting as of December 31, 2015, based on the COSO criteria.</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ExlService Holdings, Inc. as of December 31, 2015 and 2014, and the related consolidated statements of income, comprehensive income, equity and cash flows for each of the three years in the period ended December 31, 2015 and our report dated February 26, 2016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37"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636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December 31, 2015</w:t>
            </w: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w w:val="92"/>
              </w:rPr>
              <w:t>December 31, 2014</w:t>
            </w: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36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36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205,323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176,499</w:t>
            </w:r>
          </w:p>
        </w:tc>
        <w:tc>
          <w:tcPr>
            <w:tcW w:w="0" w:type="dxa"/>
            <w:vAlign w:val="bottom"/>
          </w:tcPr>
          <w:p>
            <w:pPr>
              <w:spacing w:after="0"/>
              <w:rPr>
                <w:sz w:val="1"/>
                <w:szCs w:val="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13,676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11,577</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92,650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80,244</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8,027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5,783</w:t>
            </w:r>
          </w:p>
        </w:tc>
        <w:tc>
          <w:tcPr>
            <w:tcW w:w="0" w:type="dxa"/>
            <w:vAlign w:val="bottom"/>
          </w:tcPr>
          <w:p>
            <w:pPr>
              <w:spacing w:after="0"/>
              <w:rPr>
                <w:sz w:val="1"/>
                <w:szCs w:val="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9,905</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12,533</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339,199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297,936</w:t>
            </w: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Fixed assets, net</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47,991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45,369</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3,319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3,258</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16,440</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52,733</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46,979</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171,535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139,599</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22,257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23,975</w:t>
            </w: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650,783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573,556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360" w:type="dxa"/>
            <w:vAlign w:val="bottom"/>
          </w:tcPr>
          <w:p>
            <w:pPr>
              <w:spacing w:after="0"/>
              <w:rPr>
                <w:sz w:val="6"/>
                <w:szCs w:val="6"/>
                <w:color w:val="auto"/>
              </w:rPr>
            </w:pPr>
          </w:p>
        </w:tc>
        <w:tc>
          <w:tcPr>
            <w:tcW w:w="4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6,401</w:t>
            </w:r>
          </w:p>
        </w:tc>
        <w:tc>
          <w:tcPr>
            <w:tcW w:w="100" w:type="dxa"/>
            <w:vAlign w:val="bottom"/>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4,663</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7,690</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44,526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37,606</w:t>
            </w:r>
          </w:p>
        </w:tc>
        <w:tc>
          <w:tcPr>
            <w:tcW w:w="0" w:type="dxa"/>
            <w:vAlign w:val="bottom"/>
          </w:tcPr>
          <w:p>
            <w:pPr>
              <w:spacing w:after="0"/>
              <w:rPr>
                <w:sz w:val="1"/>
                <w:szCs w:val="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40,206</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107,079</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90,968</w:t>
            </w: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 term borrowings</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12,870</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185,012</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154,398</w:t>
            </w: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16)</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60" w:type="dxa"/>
            <w:vAlign w:val="bottom"/>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4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ExlService Holdings, Inc 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360" w:type="dxa"/>
            <w:vAlign w:val="bottom"/>
          </w:tcPr>
          <w:p>
            <w:pPr>
              <w:ind w:left="380"/>
              <w:spacing w:after="0"/>
              <w:rPr>
                <w:sz w:val="20"/>
                <w:szCs w:val="20"/>
                <w:color w:val="auto"/>
              </w:rPr>
            </w:pPr>
            <w:r>
              <w:rPr>
                <w:rFonts w:ascii="Arial" w:cs="Arial" w:eastAsia="Arial" w:hAnsi="Arial"/>
                <w:sz w:val="16"/>
                <w:szCs w:val="16"/>
                <w:color w:val="auto"/>
                <w:w w:val="98"/>
              </w:rPr>
              <w:t>Common stock, $0.001 par value; 100,000,000 shares authorized, 34,781,201 shares</w:t>
            </w: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60" w:type="dxa"/>
            <w:vAlign w:val="bottom"/>
          </w:tcPr>
          <w:p>
            <w:pPr>
              <w:ind w:left="380"/>
              <w:spacing w:after="0"/>
              <w:rPr>
                <w:sz w:val="20"/>
                <w:szCs w:val="20"/>
                <w:color w:val="auto"/>
              </w:rPr>
            </w:pPr>
            <w:r>
              <w:rPr>
                <w:rFonts w:ascii="Arial" w:cs="Arial" w:eastAsia="Arial" w:hAnsi="Arial"/>
                <w:sz w:val="16"/>
                <w:szCs w:val="16"/>
                <w:color w:val="auto"/>
                <w:w w:val="99"/>
              </w:rPr>
              <w:t>issued and 33,091,223 shares outstanding as of December 31, 2015 and 34,203,352</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360" w:type="dxa"/>
            <w:vAlign w:val="bottom"/>
          </w:tcPr>
          <w:p>
            <w:pPr>
              <w:ind w:left="380"/>
              <w:spacing w:after="0"/>
              <w:rPr>
                <w:sz w:val="20"/>
                <w:szCs w:val="20"/>
                <w:color w:val="auto"/>
              </w:rPr>
            </w:pPr>
            <w:r>
              <w:rPr>
                <w:rFonts w:ascii="Arial" w:cs="Arial" w:eastAsia="Arial" w:hAnsi="Arial"/>
                <w:sz w:val="16"/>
                <w:szCs w:val="16"/>
                <w:color w:val="auto"/>
              </w:rPr>
              <w:t>shares issued and 32,905,467 shares outstanding as of December 31, 2014</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254,052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233,173</w:t>
            </w:r>
          </w:p>
        </w:tc>
        <w:tc>
          <w:tcPr>
            <w:tcW w:w="0" w:type="dxa"/>
            <w:vAlign w:val="bottom"/>
          </w:tcPr>
          <w:p>
            <w:pPr>
              <w:spacing w:after="0"/>
              <w:rPr>
                <w:sz w:val="1"/>
                <w:szCs w:val="1"/>
                <w:color w:val="auto"/>
              </w:rPr>
            </w:pPr>
          </w:p>
        </w:tc>
      </w:tr>
      <w:tr>
        <w:trPr>
          <w:trHeight w:val="237"/>
        </w:trPr>
        <w:tc>
          <w:tcPr>
            <w:tcW w:w="63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320,989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269,424</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(55,509)</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507,751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447,122</w:t>
            </w: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Less: 1,689,978 shares as of December 31, 2015 and 1,297,885 shares as of December 31,</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2014, held in treasury, at cost</w:t>
            </w: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(42,159)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(27,964)</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465,592</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419,158</w:t>
            </w:r>
          </w:p>
        </w:tc>
        <w:tc>
          <w:tcPr>
            <w:tcW w:w="0" w:type="dxa"/>
            <w:vAlign w:val="bottom"/>
          </w:tcPr>
          <w:p>
            <w:pPr>
              <w:spacing w:after="0"/>
              <w:rPr>
                <w:sz w:val="1"/>
                <w:szCs w:val="1"/>
                <w:color w:val="auto"/>
              </w:rPr>
            </w:pPr>
          </w:p>
        </w:tc>
      </w:tr>
      <w:tr>
        <w:trPr>
          <w:trHeight w:val="33"/>
        </w:trPr>
        <w:tc>
          <w:tcPr>
            <w:tcW w:w="6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360" w:type="dxa"/>
            <w:vAlign w:val="bottom"/>
          </w:tcPr>
          <w:p>
            <w:pPr>
              <w:ind w:left="20"/>
              <w:spacing w:after="0"/>
              <w:rPr>
                <w:sz w:val="20"/>
                <w:szCs w:val="20"/>
                <w:color w:val="auto"/>
              </w:rPr>
            </w:pPr>
            <w:r>
              <w:rPr>
                <w:rFonts w:ascii="Arial" w:cs="Arial" w:eastAsia="Arial" w:hAnsi="Arial"/>
                <w:sz w:val="16"/>
                <w:szCs w:val="16"/>
                <w:color w:val="auto"/>
              </w:rPr>
              <w:t>Total equity</w:t>
            </w: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465,771</w:t>
            </w:r>
          </w:p>
        </w:tc>
        <w:tc>
          <w:tcPr>
            <w:tcW w:w="10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419,158</w:t>
            </w:r>
          </w:p>
        </w:tc>
        <w:tc>
          <w:tcPr>
            <w:tcW w:w="0" w:type="dxa"/>
            <w:vAlign w:val="bottom"/>
          </w:tcPr>
          <w:p>
            <w:pPr>
              <w:spacing w:after="0"/>
              <w:rPr>
                <w:sz w:val="1"/>
                <w:szCs w:val="1"/>
                <w:color w:val="auto"/>
              </w:rPr>
            </w:pPr>
          </w:p>
        </w:tc>
      </w:tr>
      <w:tr>
        <w:trPr>
          <w:trHeight w:val="33"/>
        </w:trPr>
        <w:tc>
          <w:tcPr>
            <w:tcW w:w="63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650,783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573,556</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09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320"/>
          </w:cols>
          <w:pgMar w:left="240" w:top="337" w:right="1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5"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w w:val="92"/>
              </w:rPr>
              <w:t>Year ended December 31,</w:t>
            </w:r>
          </w:p>
        </w:tc>
        <w:tc>
          <w:tcPr>
            <w:tcW w:w="1000" w:type="dxa"/>
            <w:vAlign w:val="bottom"/>
            <w:tcBorders>
              <w:bottom w:val="single" w:sz="8" w:color="auto"/>
            </w:tcBorders>
          </w:tcPr>
          <w:p>
            <w:pPr>
              <w:spacing w:after="0"/>
              <w:rPr>
                <w:sz w:val="16"/>
                <w:szCs w:val="16"/>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628,492</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499,278</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478,452</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402,917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332,535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290,942</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225,575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166,743</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187,510</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41"/>
        </w:trPr>
        <w:tc>
          <w:tcPr>
            <w:tcW w:w="5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65,381</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58,797</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49,474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39,294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36,376</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31,465</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24,917</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158,232</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132,703</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120,090</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67,343</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34,040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67,420</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Foreign exchange gain/(loss), net</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2,744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(4,990)</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5,689</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3,603</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2,547</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75,776</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37,638</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64,977</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5,193</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16,880</w:t>
            </w: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51,565</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32,445</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48,097</w:t>
            </w:r>
          </w:p>
        </w:tc>
      </w:tr>
      <w:tr>
        <w:trPr>
          <w:trHeight w:val="67"/>
        </w:trPr>
        <w:tc>
          <w:tcPr>
            <w:tcW w:w="53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231"/>
        </w:trPr>
        <w:tc>
          <w:tcPr>
            <w:tcW w:w="53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0.99</w:t>
            </w:r>
          </w:p>
        </w:tc>
        <w:tc>
          <w:tcPr>
            <w:tcW w:w="2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1.47</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w w:val="96"/>
              </w:rPr>
              <w:t>Weighted-average number of shares used in computing earnings per</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33,298,104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5"/>
              </w:rPr>
              <w:t>32,804,606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7"/>
              </w:rPr>
              <w:t>32,750,178</w:t>
            </w: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34,178,340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w w:val="95"/>
              </w:rPr>
              <w:t>33,636,593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w w:val="97"/>
              </w:rPr>
              <w:t>33,842,938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9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320"/>
          </w:cols>
          <w:pgMar w:left="240" w:top="337" w:right="1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51,565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48,097</w:t>
            </w:r>
          </w:p>
        </w:tc>
      </w:tr>
      <w:tr>
        <w:trPr>
          <w:trHeight w:val="243"/>
        </w:trPr>
        <w:tc>
          <w:tcPr>
            <w:tcW w:w="5420" w:type="dxa"/>
            <w:vAlign w:val="bottom"/>
          </w:tcPr>
          <w:p>
            <w:pPr>
              <w:ind w:left="360"/>
              <w:spacing w:after="0"/>
              <w:rPr>
                <w:sz w:val="20"/>
                <w:szCs w:val="20"/>
                <w:color w:val="auto"/>
              </w:rPr>
            </w:pPr>
            <w:r>
              <w:rPr>
                <w:rFonts w:ascii="Arial" w:cs="Arial" w:eastAsia="Arial" w:hAnsi="Arial"/>
                <w:sz w:val="18"/>
                <w:szCs w:val="18"/>
                <w:color w:val="auto"/>
              </w:rPr>
              <w:t>Other comprehensive income/(loss):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Unrealized gain/(loss) on effective cash flow hedges, net of</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taxes ($402), $1,768 and ($1,840),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(7,759)</w:t>
            </w:r>
          </w:p>
        </w:tc>
      </w:tr>
      <w:tr>
        <w:trPr>
          <w:trHeight w:val="243"/>
        </w:trPr>
        <w:tc>
          <w:tcPr>
            <w:tcW w:w="5420" w:type="dxa"/>
            <w:vAlign w:val="bottom"/>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(19,605)</w:t>
            </w: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Retirement benefits, net of taxes $22, ($28) and ($91),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5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43"/>
        </w:trPr>
        <w:tc>
          <w:tcPr>
            <w:tcW w:w="5420" w:type="dxa"/>
            <w:vAlign w:val="bottom"/>
          </w:tcPr>
          <w:p>
            <w:pPr>
              <w:ind w:left="400"/>
              <w:spacing w:after="0"/>
              <w:rPr>
                <w:sz w:val="20"/>
                <w:szCs w:val="20"/>
                <w:color w:val="auto"/>
              </w:rPr>
            </w:pPr>
            <w:r>
              <w:rPr>
                <w:rFonts w:ascii="Arial" w:cs="Arial" w:eastAsia="Arial" w:hAnsi="Arial"/>
                <w:sz w:val="18"/>
                <w:szCs w:val="18"/>
                <w:color w:val="auto"/>
              </w:rPr>
              <w:t>Reclassification adjustments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54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Realized loss on cash flow hedges, net of taxes $456, $1,571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57"/>
        </w:trPr>
        <w:tc>
          <w:tcPr>
            <w:tcW w:w="5420" w:type="dxa"/>
            <w:vAlign w:val="bottom"/>
            <w:shd w:val="clear" w:color="auto" w:fill="CCEEFF"/>
          </w:tcPr>
          <w:p>
            <w:pPr>
              <w:ind w:left="700"/>
              <w:spacing w:after="0" w:line="257" w:lineRule="exact"/>
              <w:rPr>
                <w:sz w:val="20"/>
                <w:szCs w:val="20"/>
                <w:color w:val="auto"/>
              </w:rPr>
            </w:pPr>
            <w:r>
              <w:rPr>
                <w:rFonts w:ascii="Arial" w:cs="Arial" w:eastAsia="Arial" w:hAnsi="Arial"/>
                <w:sz w:val="18"/>
                <w:szCs w:val="18"/>
                <w:color w:val="auto"/>
              </w:rPr>
              <w:t>and $1,625, respectively</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3,516</w:t>
            </w:r>
          </w:p>
        </w:tc>
      </w:tr>
      <w:tr>
        <w:trPr>
          <w:trHeight w:val="229"/>
        </w:trPr>
        <w:tc>
          <w:tcPr>
            <w:tcW w:w="5420" w:type="dxa"/>
            <w:vAlign w:val="bottom"/>
          </w:tcPr>
          <w:p>
            <w:pPr>
              <w:ind w:left="700"/>
              <w:spacing w:after="0"/>
              <w:rPr>
                <w:sz w:val="20"/>
                <w:szCs w:val="20"/>
                <w:color w:val="auto"/>
              </w:rPr>
            </w:pPr>
            <w:r>
              <w:rPr>
                <w:rFonts w:ascii="Arial" w:cs="Arial" w:eastAsia="Arial" w:hAnsi="Arial"/>
                <w:sz w:val="18"/>
                <w:szCs w:val="18"/>
                <w:color w:val="auto"/>
              </w:rPr>
              <w:t>Retirement benefits, net of taxes $53, $15 and $31,</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7"/>
        </w:trPr>
        <w:tc>
          <w:tcPr>
            <w:tcW w:w="5420" w:type="dxa"/>
            <w:vAlign w:val="bottom"/>
            <w:tcBorders>
              <w:bottom w:val="single" w:sz="8" w:color="CCEEFF"/>
            </w:tcBorders>
          </w:tcPr>
          <w:p>
            <w:pPr>
              <w:ind w:left="700"/>
              <w:spacing w:after="0" w:line="257" w:lineRule="exact"/>
              <w:rPr>
                <w:sz w:val="20"/>
                <w:szCs w:val="20"/>
                <w:color w:val="auto"/>
              </w:rPr>
            </w:pPr>
            <w:r>
              <w:rPr>
                <w:rFonts w:ascii="Arial" w:cs="Arial" w:eastAsia="Arial" w:hAnsi="Arial"/>
                <w:sz w:val="18"/>
                <w:szCs w:val="18"/>
                <w:color w:val="auto"/>
              </w:rPr>
              <w:t>respectively</w:t>
            </w:r>
            <w:r>
              <w:rPr>
                <w:rFonts w:ascii="Arial" w:cs="Arial" w:eastAsia="Arial" w:hAnsi="Arial"/>
                <w:sz w:val="25"/>
                <w:szCs w:val="25"/>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108</w:t>
            </w:r>
          </w:p>
        </w:tc>
      </w:tr>
      <w:tr>
        <w:trPr>
          <w:trHeight w:val="264"/>
        </w:trPr>
        <w:tc>
          <w:tcPr>
            <w:tcW w:w="5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other comprehensive (loss)/income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(24,071)</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39,749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37,654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24,026</w:t>
            </w:r>
          </w:p>
        </w:tc>
      </w:tr>
      <w:tr>
        <w:trPr>
          <w:trHeight w:val="27"/>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right="60" w:hanging="532"/>
        <w:spacing w:after="0" w:line="255" w:lineRule="auto"/>
        <w:tabs>
          <w:tab w:leader="none" w:pos="5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foreign exchange gain/(loss) in the consolidated statements of income. See Note 7 to the consolidated financial statements.</w:t>
      </w:r>
    </w:p>
    <w:p>
      <w:pPr>
        <w:spacing w:after="0" w:line="1" w:lineRule="exact"/>
        <w:rPr>
          <w:rFonts w:ascii="Arial" w:cs="Arial" w:eastAsia="Arial" w:hAnsi="Arial"/>
          <w:sz w:val="16"/>
          <w:szCs w:val="16"/>
          <w:i w:val="1"/>
          <w:iCs w:val="1"/>
          <w:color w:val="auto"/>
        </w:rPr>
      </w:pPr>
    </w:p>
    <w:p>
      <w:pPr>
        <w:ind w:left="540" w:hanging="532"/>
        <w:spacing w:after="0" w:line="257" w:lineRule="auto"/>
        <w:tabs>
          <w:tab w:leader="none" w:pos="5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computation of net periodic pension costs in the consolidated statements of income. See Note 11 to the consolidated financial statements</w:t>
      </w:r>
      <w:r>
        <w:rPr>
          <w:rFonts w:ascii="Arial" w:cs="Arial" w:eastAsia="Arial" w:hAnsi="Arial"/>
          <w:sz w:val="16"/>
          <w:szCs w:val="16"/>
          <w:color w:val="auto"/>
          <w:shd w:val="clear" w:color="auto" w:fill="CCEE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240" w:top="337" w:right="5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2012</w:t>
      </w:r>
    </w:p>
    <w:p>
      <w:pPr>
        <w:spacing w:after="0" w:line="46"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Stock issued on exercise/vesting of equity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Excess tax benefit from stock 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 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2013</w:t>
      </w:r>
    </w:p>
    <w:p>
      <w:pPr>
        <w:spacing w:after="0" w:line="46"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Stock issued on exercise/vesting of equity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Excess tax benefit from stock 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 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2014</w:t>
      </w:r>
    </w:p>
    <w:p>
      <w:pPr>
        <w:spacing w:after="0" w:line="46"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Stock issued on exercise/vesting of equity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Excess tax benefit from stock 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 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2015</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00" w:type="dxa"/>
            <w:vAlign w:val="bottom"/>
            <w:gridSpan w:val="5"/>
          </w:tcPr>
          <w:p>
            <w:pPr>
              <w:ind w:left="420"/>
              <w:spacing w:after="0" w:line="158"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9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1900" w:type="dxa"/>
            <w:vAlign w:val="bottom"/>
            <w:gridSpan w:val="5"/>
          </w:tcPr>
          <w:p>
            <w:pPr>
              <w:ind w:left="440"/>
              <w:spacing w:after="0" w:line="158" w:lineRule="exact"/>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4"/>
              </w:rPr>
              <w:t>Non -</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Paid-in</w:t>
            </w:r>
          </w:p>
        </w:tc>
        <w:tc>
          <w:tcPr>
            <w:tcW w:w="100" w:type="dxa"/>
            <w:vAlign w:val="bottom"/>
          </w:tcPr>
          <w:p>
            <w:pPr>
              <w:spacing w:after="0"/>
              <w:rPr>
                <w:sz w:val="4"/>
                <w:szCs w:val="4"/>
                <w:color w:val="auto"/>
              </w:rPr>
            </w:pPr>
          </w:p>
        </w:tc>
        <w:tc>
          <w:tcPr>
            <w:tcW w:w="780" w:type="dxa"/>
            <w:vAlign w:val="bottom"/>
            <w:gridSpan w:val="2"/>
            <w:vMerge w:val="restart"/>
          </w:tcPr>
          <w:p>
            <w:pPr>
              <w:spacing w:after="0" w:line="139" w:lineRule="exact"/>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Comprehensive</w:t>
            </w: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Controlling</w:t>
            </w: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0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10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5"/>
                <w:szCs w:val="5"/>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Income/(Loss)</w:t>
            </w:r>
          </w:p>
        </w:tc>
        <w:tc>
          <w:tcPr>
            <w:tcW w:w="10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Interest</w:t>
            </w:r>
          </w:p>
        </w:tc>
        <w:tc>
          <w:tcPr>
            <w:tcW w:w="2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32,540,082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195,248</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188,882</w:t>
            </w:r>
          </w:p>
        </w:tc>
        <w:tc>
          <w:tcPr>
            <w:tcW w:w="10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(36,647)</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(336,262)</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(3,024)</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344,517</w:t>
            </w:r>
          </w:p>
        </w:tc>
        <w:tc>
          <w:tcPr>
            <w:tcW w:w="0" w:type="dxa"/>
            <w:vAlign w:val="bottom"/>
          </w:tcPr>
          <w:p>
            <w:pPr>
              <w:spacing w:after="0"/>
              <w:rPr>
                <w:sz w:val="1"/>
                <w:szCs w:val="1"/>
                <w:color w:val="auto"/>
              </w:rPr>
            </w:pPr>
          </w:p>
        </w:tc>
      </w:tr>
      <w:tr>
        <w:trPr>
          <w:trHeight w:val="351"/>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802,230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5,489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5,489</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11,832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11,832</w:t>
            </w:r>
          </w:p>
        </w:tc>
        <w:tc>
          <w:tcPr>
            <w:tcW w:w="0" w:type="dxa"/>
            <w:vAlign w:val="bottom"/>
          </w:tcPr>
          <w:p>
            <w:pPr>
              <w:spacing w:after="0"/>
              <w:rPr>
                <w:sz w:val="1"/>
                <w:szCs w:val="1"/>
                <w:color w:val="auto"/>
              </w:rPr>
            </w:pPr>
          </w:p>
        </w:tc>
      </w:tr>
      <w:tr>
        <w:trPr>
          <w:trHeight w:val="351"/>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1,953</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(833,867)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(21,618)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(21,618)</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(24,071)</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(24,071)</w:t>
            </w: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48,097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48,097</w:t>
            </w:r>
          </w:p>
        </w:tc>
        <w:tc>
          <w:tcPr>
            <w:tcW w:w="0" w:type="dxa"/>
            <w:vAlign w:val="bottom"/>
          </w:tcPr>
          <w:p>
            <w:pPr>
              <w:spacing w:after="0"/>
              <w:rPr>
                <w:sz w:val="1"/>
                <w:szCs w:val="1"/>
                <w:color w:val="auto"/>
              </w:rPr>
            </w:pPr>
          </w:p>
        </w:tc>
      </w:tr>
      <w:tr>
        <w:trPr>
          <w:trHeight w:val="244"/>
        </w:trPr>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33,342,312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214,522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236,979</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(60,718)</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(1,170,129)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(24,642)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366,174</w:t>
            </w:r>
          </w:p>
        </w:tc>
        <w:tc>
          <w:tcPr>
            <w:tcW w:w="0" w:type="dxa"/>
            <w:vAlign w:val="bottom"/>
          </w:tcPr>
          <w:p>
            <w:pPr>
              <w:spacing w:after="0"/>
              <w:rPr>
                <w:sz w:val="1"/>
                <w:szCs w:val="1"/>
                <w:color w:val="auto"/>
              </w:rPr>
            </w:pPr>
          </w:p>
        </w:tc>
      </w:tr>
      <w:tr>
        <w:trPr>
          <w:trHeight w:val="351"/>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861,040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6,459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11,011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11,011</w:t>
            </w:r>
          </w:p>
        </w:tc>
        <w:tc>
          <w:tcPr>
            <w:tcW w:w="0" w:type="dxa"/>
            <w:vAlign w:val="bottom"/>
          </w:tcPr>
          <w:p>
            <w:pPr>
              <w:spacing w:after="0"/>
              <w:rPr>
                <w:sz w:val="1"/>
                <w:szCs w:val="1"/>
                <w:color w:val="auto"/>
              </w:rPr>
            </w:pPr>
          </w:p>
        </w:tc>
      </w:tr>
      <w:tr>
        <w:trPr>
          <w:trHeight w:val="351"/>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70"/>
        </w:trPr>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(127,756)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(3,322)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(3,322)</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5,209</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5,209</w:t>
            </w: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32,445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32,445</w:t>
            </w:r>
          </w:p>
        </w:tc>
        <w:tc>
          <w:tcPr>
            <w:tcW w:w="0" w:type="dxa"/>
            <w:vAlign w:val="bottom"/>
          </w:tcPr>
          <w:p>
            <w:pPr>
              <w:spacing w:after="0"/>
              <w:rPr>
                <w:sz w:val="1"/>
                <w:szCs w:val="1"/>
                <w:color w:val="auto"/>
              </w:rPr>
            </w:pPr>
          </w:p>
        </w:tc>
      </w:tr>
      <w:tr>
        <w:trPr>
          <w:trHeight w:val="244"/>
        </w:trPr>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34,203,352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233,173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b w:val="1"/>
                <w:bCs w:val="1"/>
                <w:color w:val="auto"/>
              </w:rPr>
              <w:t>269,424</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(55,509)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(1,297,885)</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(27,964)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419,158</w:t>
            </w:r>
          </w:p>
        </w:tc>
        <w:tc>
          <w:tcPr>
            <w:tcW w:w="0" w:type="dxa"/>
            <w:vAlign w:val="bottom"/>
          </w:tcPr>
          <w:p>
            <w:pPr>
              <w:spacing w:after="0"/>
              <w:rPr>
                <w:sz w:val="1"/>
                <w:szCs w:val="1"/>
                <w:color w:val="auto"/>
              </w:rPr>
            </w:pPr>
          </w:p>
        </w:tc>
      </w:tr>
      <w:tr>
        <w:trPr>
          <w:trHeight w:val="351"/>
        </w:trPr>
        <w:tc>
          <w:tcPr>
            <w:tcW w:w="900" w:type="dxa"/>
            <w:vAlign w:val="bottom"/>
          </w:tcPr>
          <w:p>
            <w:pPr>
              <w:jc w:val="right"/>
              <w:ind w:right="48"/>
              <w:spacing w:after="0"/>
              <w:rPr>
                <w:sz w:val="20"/>
                <w:szCs w:val="20"/>
                <w:color w:val="auto"/>
              </w:rPr>
            </w:pPr>
            <w:r>
              <w:rPr>
                <w:rFonts w:ascii="Arial" w:cs="Arial" w:eastAsia="Arial" w:hAnsi="Arial"/>
                <w:sz w:val="14"/>
                <w:szCs w:val="14"/>
                <w:color w:val="auto"/>
              </w:rPr>
              <w:t>577,849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16,047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16,047</w:t>
            </w:r>
          </w:p>
        </w:tc>
        <w:tc>
          <w:tcPr>
            <w:tcW w:w="0" w:type="dxa"/>
            <w:vAlign w:val="bottom"/>
          </w:tcPr>
          <w:p>
            <w:pPr>
              <w:spacing w:after="0"/>
              <w:rPr>
                <w:sz w:val="1"/>
                <w:szCs w:val="1"/>
                <w:color w:val="auto"/>
              </w:rPr>
            </w:pPr>
          </w:p>
        </w:tc>
      </w:tr>
      <w:tr>
        <w:trPr>
          <w:trHeight w:val="351"/>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(392,093)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(14,195)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(14,195)</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70"/>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(11,816)</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(11,816)</w:t>
            </w:r>
          </w:p>
        </w:tc>
        <w:tc>
          <w:tcPr>
            <w:tcW w:w="0" w:type="dxa"/>
            <w:vAlign w:val="bottom"/>
          </w:tcPr>
          <w:p>
            <w:pPr>
              <w:spacing w:after="0"/>
              <w:rPr>
                <w:sz w:val="1"/>
                <w:szCs w:val="1"/>
                <w:color w:val="auto"/>
              </w:rPr>
            </w:pPr>
          </w:p>
        </w:tc>
      </w:tr>
      <w:tr>
        <w:trPr>
          <w:trHeight w:val="276"/>
        </w:trPr>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51,565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51,565</w:t>
            </w:r>
          </w:p>
        </w:tc>
        <w:tc>
          <w:tcPr>
            <w:tcW w:w="0" w:type="dxa"/>
            <w:vAlign w:val="bottom"/>
          </w:tcPr>
          <w:p>
            <w:pPr>
              <w:spacing w:after="0"/>
              <w:rPr>
                <w:sz w:val="1"/>
                <w:szCs w:val="1"/>
                <w:color w:val="auto"/>
              </w:rPr>
            </w:pPr>
          </w:p>
        </w:tc>
      </w:tr>
      <w:tr>
        <w:trPr>
          <w:trHeight w:val="237"/>
        </w:trPr>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34,781,201</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254,052</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320,989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(67,325)</w:t>
            </w: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(1,689,978)</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(42,159)</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179</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465,771</w:t>
            </w:r>
          </w:p>
        </w:tc>
        <w:tc>
          <w:tcPr>
            <w:tcW w:w="0" w:type="dxa"/>
            <w:vAlign w:val="bottom"/>
          </w:tcPr>
          <w:p>
            <w:pPr>
              <w:spacing w:after="0"/>
              <w:rPr>
                <w:sz w:val="1"/>
                <w:szCs w:val="1"/>
                <w:color w:val="auto"/>
              </w:rPr>
            </w:pP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-1649095</wp:posOffset>
            </wp:positionH>
            <wp:positionV relativeFrom="paragraph">
              <wp:posOffset>-4441825</wp:posOffset>
            </wp:positionV>
            <wp:extent cx="7237730"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-4046855</wp:posOffset>
            </wp:positionV>
            <wp:extent cx="7237730" cy="222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-3652520</wp:posOffset>
            </wp:positionV>
            <wp:extent cx="723773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-3309620</wp:posOffset>
            </wp:positionV>
            <wp:extent cx="723773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-2966720</wp:posOffset>
            </wp:positionV>
            <wp:extent cx="7237730"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-2572385</wp:posOffset>
            </wp:positionV>
            <wp:extent cx="723773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-2177415</wp:posOffset>
            </wp:positionV>
            <wp:extent cx="723773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-1834515</wp:posOffset>
            </wp:positionV>
            <wp:extent cx="723773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-1491615</wp:posOffset>
            </wp:positionV>
            <wp:extent cx="7237730"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-1097280</wp:posOffset>
            </wp:positionV>
            <wp:extent cx="7237730" cy="2228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-702310</wp:posOffset>
            </wp:positionV>
            <wp:extent cx="723773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-1649095</wp:posOffset>
            </wp:positionH>
            <wp:positionV relativeFrom="paragraph">
              <wp:posOffset>-359410</wp:posOffset>
            </wp:positionV>
            <wp:extent cx="723773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160"/>
            <w:col w:w="880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37" w:right="239"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07"/>
        </w:trPr>
        <w:tc>
          <w:tcPr>
            <w:tcW w:w="6280" w:type="dxa"/>
            <w:vAlign w:val="bottom"/>
            <w:gridSpan w:val="3"/>
          </w:tcPr>
          <w:p>
            <w:pPr>
              <w:spacing w:after="0"/>
              <w:rPr>
                <w:rFonts w:ascii="Arial" w:cs="Arial" w:eastAsia="Arial" w:hAnsi="Arial"/>
                <w:sz w:val="18"/>
                <w:szCs w:val="18"/>
                <w:b w:val="1"/>
                <w:bCs w:val="1"/>
                <w:color w:val="0000EE"/>
              </w:rPr>
            </w:pPr>
            <w:hyperlink w:anchor="page1">
              <w:r>
                <w:rPr>
                  <w:rFonts w:ascii="Arial" w:cs="Arial" w:eastAsia="Arial" w:hAnsi="Arial"/>
                  <w:sz w:val="18"/>
                  <w:szCs w:val="18"/>
                  <w:b w:val="1"/>
                  <w:bCs w:val="1"/>
                  <w:color w:val="0000EE"/>
                </w:rPr>
                <w:t>Table of Contents</w:t>
              </w:r>
            </w:hyperlink>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80"/>
        </w:trPr>
        <w:tc>
          <w:tcPr>
            <w:tcW w:w="10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6320" w:type="dxa"/>
            <w:vAlign w:val="bottom"/>
            <w:gridSpan w:val="4"/>
          </w:tcPr>
          <w:p>
            <w:pPr>
              <w:jc w:val="center"/>
              <w:ind w:left="2310"/>
              <w:spacing w:after="0"/>
              <w:rPr>
                <w:sz w:val="20"/>
                <w:szCs w:val="20"/>
                <w:color w:val="auto"/>
              </w:rPr>
            </w:pPr>
            <w:r>
              <w:rPr>
                <w:rFonts w:ascii="Arial" w:cs="Arial" w:eastAsia="Arial" w:hAnsi="Arial"/>
                <w:sz w:val="18"/>
                <w:szCs w:val="18"/>
                <w:b w:val="1"/>
                <w:bCs w:val="1"/>
                <w:color w:val="auto"/>
              </w:rPr>
              <w:t>EXLSERVICE HOLDINGS, INC.</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06"/>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5"/>
          </w:tcPr>
          <w:p>
            <w:pPr>
              <w:jc w:val="center"/>
              <w:ind w:left="19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tcPr>
          <w:p>
            <w:pPr>
              <w:jc w:val="center"/>
              <w:ind w:left="3710"/>
              <w:spacing w:after="0"/>
              <w:rPr>
                <w:sz w:val="20"/>
                <w:szCs w:val="20"/>
                <w:color w:val="auto"/>
              </w:rPr>
            </w:pPr>
            <w:r>
              <w:rPr>
                <w:rFonts w:ascii="Arial" w:cs="Arial" w:eastAsia="Arial" w:hAnsi="Arial"/>
                <w:sz w:val="18"/>
                <w:szCs w:val="18"/>
                <w:b w:val="1"/>
                <w:bCs w:val="1"/>
                <w:color w:val="auto"/>
                <w:w w:val="90"/>
              </w:rPr>
              <w:t>(In thousands)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78"/>
        </w:trPr>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Pr>
          <w:p>
            <w:pPr>
              <w:spacing w:after="0"/>
              <w:rPr>
                <w:sz w:val="24"/>
                <w:szCs w:val="24"/>
                <w:color w:val="auto"/>
              </w:rPr>
            </w:pP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2013</w:t>
            </w:r>
          </w:p>
        </w:tc>
      </w:tr>
      <w:tr>
        <w:trPr>
          <w:trHeight w:val="27"/>
        </w:trPr>
        <w:tc>
          <w:tcPr>
            <w:tcW w:w="104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51,565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32,445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48,097</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040" w:type="dxa"/>
            <w:vAlign w:val="bottom"/>
          </w:tcPr>
          <w:p>
            <w:pPr>
              <w:spacing w:after="0"/>
              <w:rPr>
                <w:sz w:val="19"/>
                <w:szCs w:val="19"/>
                <w:color w:val="auto"/>
              </w:rPr>
            </w:pPr>
          </w:p>
        </w:tc>
        <w:tc>
          <w:tcPr>
            <w:tcW w:w="5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2"/>
              </w:rPr>
              <w:t>Adjustments to reconcile net income to net cash provided by operating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1040" w:type="dxa"/>
            <w:vAlign w:val="bottom"/>
          </w:tcPr>
          <w:p>
            <w:pPr>
              <w:spacing w:after="0"/>
              <w:rPr>
                <w:sz w:val="20"/>
                <w:szCs w:val="20"/>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31,465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28,028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24,917</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Write-off of 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w:t>
            </w: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16,047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11,011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11,832</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Unrealized foreign exchange gain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(7,782)</w:t>
            </w: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2,484</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Excess tax benefit from 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Others, net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343</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2"/>
              </w:rPr>
              <w:t>Change in operating assets and liabilities (net of effect of acquisitions):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Accounts receivable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(3,418)</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Accrued employee costs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5,565</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Advance income tax, net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2,106</w:t>
            </w:r>
          </w:p>
        </w:tc>
      </w:tr>
      <w:tr>
        <w:trPr>
          <w:trHeight w:val="243"/>
        </w:trPr>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920" w:type="dxa"/>
            <w:vAlign w:val="bottom"/>
          </w:tcPr>
          <w:p>
            <w:pPr>
              <w:ind w:left="6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685</w:t>
            </w:r>
          </w:p>
        </w:tc>
      </w:tr>
      <w:tr>
        <w:trPr>
          <w:trHeight w:val="27"/>
        </w:trPr>
        <w:tc>
          <w:tcPr>
            <w:tcW w:w="104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1040" w:type="dxa"/>
            <w:vAlign w:val="bottom"/>
          </w:tcPr>
          <w:p>
            <w:pPr>
              <w:spacing w:after="0"/>
              <w:rPr>
                <w:sz w:val="22"/>
                <w:szCs w:val="22"/>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82,792</w:t>
            </w:r>
          </w:p>
        </w:tc>
      </w:tr>
      <w:tr>
        <w:trPr>
          <w:trHeight w:val="264"/>
        </w:trPr>
        <w:tc>
          <w:tcPr>
            <w:tcW w:w="1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r>
      <w:tr>
        <w:trPr>
          <w:trHeight w:val="250"/>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10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Purchase of fixed assets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(25,585)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(15,916)</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acquisition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43"/>
        </w:trPr>
        <w:tc>
          <w:tcPr>
            <w:tcW w:w="10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Purchase of short-term investments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(1,927)</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40" w:type="dxa"/>
            <w:vAlign w:val="bottom"/>
          </w:tcPr>
          <w:p>
            <w:pPr>
              <w:spacing w:after="0"/>
              <w:rPr>
                <w:sz w:val="23"/>
                <w:szCs w:val="23"/>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redemption of short-term investments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125,365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r>
      <w:tr>
        <w:trPr>
          <w:trHeight w:val="237"/>
        </w:trPr>
        <w:tc>
          <w:tcPr>
            <w:tcW w:w="1040" w:type="dxa"/>
            <w:vAlign w:val="bottom"/>
          </w:tcPr>
          <w:p>
            <w:pPr>
              <w:spacing w:after="0"/>
              <w:rPr>
                <w:sz w:val="20"/>
                <w:szCs w:val="20"/>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Net cash used for investing activities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(88,262)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r>
      <w:tr>
        <w:trPr>
          <w:trHeight w:val="27"/>
        </w:trPr>
        <w:tc>
          <w:tcPr>
            <w:tcW w:w="104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1040" w:type="dxa"/>
            <w:vAlign w:val="bottom"/>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49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43"/>
        </w:trPr>
        <w:tc>
          <w:tcPr>
            <w:tcW w:w="10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Principal payments on capital lease obligations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r>
      <w:tr>
        <w:trPr>
          <w:trHeight w:val="243"/>
        </w:trPr>
        <w:tc>
          <w:tcPr>
            <w:tcW w:w="10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Proceeds from borrowings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Repayments of borrowings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Payment for purchase of non-controlling interest</w:t>
            </w:r>
          </w:p>
        </w:tc>
        <w:tc>
          <w:tcPr>
            <w:tcW w:w="28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Proceeds from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10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Payment of debt issuance costs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 of treasury stock</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(21,618)</w:t>
            </w:r>
          </w:p>
        </w:tc>
      </w:tr>
      <w:tr>
        <w:trPr>
          <w:trHeight w:val="243"/>
        </w:trPr>
        <w:tc>
          <w:tcPr>
            <w:tcW w:w="1040" w:type="dxa"/>
            <w:vAlign w:val="bottom"/>
          </w:tcPr>
          <w:p>
            <w:pPr>
              <w:spacing w:after="0"/>
              <w:rPr>
                <w:sz w:val="21"/>
                <w:szCs w:val="21"/>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3,375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5,489</w:t>
            </w:r>
          </w:p>
        </w:tc>
      </w:tr>
      <w:tr>
        <w:trPr>
          <w:trHeight w:val="27"/>
        </w:trPr>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040" w:type="dxa"/>
            <w:vAlign w:val="bottom"/>
          </w:tcPr>
          <w:p>
            <w:pPr>
              <w:spacing w:after="0"/>
              <w:rPr>
                <w:sz w:val="23"/>
                <w:szCs w:val="23"/>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Excess tax benefit from stock-based compensation</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r>
      <w:tr>
        <w:trPr>
          <w:trHeight w:val="237"/>
        </w:trPr>
        <w:tc>
          <w:tcPr>
            <w:tcW w:w="1040" w:type="dxa"/>
            <w:vAlign w:val="bottom"/>
          </w:tcPr>
          <w:p>
            <w:pPr>
              <w:spacing w:after="0"/>
              <w:rPr>
                <w:sz w:val="20"/>
                <w:szCs w:val="20"/>
                <w:color w:val="auto"/>
              </w:rPr>
            </w:pPr>
          </w:p>
        </w:tc>
        <w:tc>
          <w:tcPr>
            <w:tcW w:w="5240" w:type="dxa"/>
            <w:vAlign w:val="bottom"/>
            <w:gridSpan w:val="2"/>
          </w:tcPr>
          <w:p>
            <w:pPr>
              <w:ind w:left="40"/>
              <w:spacing w:after="0"/>
              <w:rPr>
                <w:sz w:val="20"/>
                <w:szCs w:val="20"/>
                <w:color w:val="auto"/>
              </w:rPr>
            </w:pPr>
            <w:r>
              <w:rPr>
                <w:rFonts w:ascii="Arial" w:cs="Arial" w:eastAsia="Arial" w:hAnsi="Arial"/>
                <w:sz w:val="18"/>
                <w:szCs w:val="18"/>
                <w:color w:val="auto"/>
              </w:rPr>
              <w:t>Net cash (used for)/provided by financing activities</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10,020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52,946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(15,714)</w:t>
            </w:r>
          </w:p>
        </w:tc>
      </w:tr>
      <w:tr>
        <w:trPr>
          <w:trHeight w:val="27"/>
        </w:trPr>
        <w:tc>
          <w:tcPr>
            <w:tcW w:w="1040" w:type="dxa"/>
            <w:vAlign w:val="bottom"/>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040" w:type="dxa"/>
            <w:vAlign w:val="bottom"/>
          </w:tcPr>
          <w:p>
            <w:pPr>
              <w:spacing w:after="0"/>
              <w:rPr>
                <w:sz w:val="21"/>
                <w:szCs w:val="21"/>
                <w:color w:val="auto"/>
              </w:rPr>
            </w:pPr>
          </w:p>
        </w:tc>
        <w:tc>
          <w:tcPr>
            <w:tcW w:w="5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380"/>
          </w:cols>
          <w:pgMar w:left="240" w:top="324" w:right="1279" w:bottom="15" w:gutter="0" w:footer="0" w:header="0"/>
        </w:sectPr>
      </w:pPr>
    </w:p>
    <w:p>
      <w:pPr>
        <w:ind w:left="1080"/>
        <w:spacing w:after="0"/>
        <w:rPr>
          <w:sz w:val="20"/>
          <w:szCs w:val="20"/>
          <w:color w:val="auto"/>
        </w:rPr>
      </w:pPr>
      <w:r>
        <w:rPr>
          <w:rFonts w:ascii="Arial" w:cs="Arial" w:eastAsia="Arial" w:hAnsi="Arial"/>
          <w:sz w:val="18"/>
          <w:szCs w:val="18"/>
          <w:color w:val="auto"/>
        </w:rPr>
        <w:t>Net increase in cash and cash equivalents</w:t>
      </w:r>
    </w:p>
    <w:p>
      <w:pPr>
        <w:spacing w:after="0" w:line="76" w:lineRule="exact"/>
        <w:rPr>
          <w:sz w:val="20"/>
          <w:szCs w:val="20"/>
          <w:color w:val="auto"/>
        </w:rPr>
      </w:pPr>
    </w:p>
    <w:p>
      <w:pPr>
        <w:ind w:left="1080" w:right="1240"/>
        <w:spacing w:after="0" w:line="412" w:lineRule="auto"/>
        <w:rPr>
          <w:sz w:val="20"/>
          <w:szCs w:val="20"/>
          <w:color w:val="auto"/>
        </w:rPr>
      </w:pPr>
      <w:r>
        <w:rPr>
          <w:rFonts w:ascii="Arial" w:cs="Arial" w:eastAsia="Arial" w:hAnsi="Arial"/>
          <w:sz w:val="16"/>
          <w:szCs w:val="16"/>
          <w:color w:val="auto"/>
        </w:rPr>
        <w:t>Cash and cash equivalents, beginning of year Cash and cash equivalents, end of year</w:t>
      </w:r>
    </w:p>
    <w:p>
      <w:pPr>
        <w:spacing w:after="0" w:line="233"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Supplemental disclosure of cash flow information:</w:t>
      </w:r>
    </w:p>
    <w:p>
      <w:pPr>
        <w:spacing w:after="0" w:line="86"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Cash paid for interest</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Cash paid for taxes, net of refund</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Assets acquired under capital lease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28,824</w:t>
            </w:r>
          </w:p>
        </w:tc>
        <w:tc>
          <w:tcPr>
            <w:tcW w:w="4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28,434</w:t>
            </w:r>
          </w:p>
        </w:tc>
        <w:tc>
          <w:tcPr>
            <w:tcW w:w="4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45,028</w:t>
            </w:r>
          </w:p>
        </w:tc>
      </w:tr>
      <w:tr>
        <w:trPr>
          <w:trHeight w:val="270"/>
        </w:trPr>
        <w:tc>
          <w:tcPr>
            <w:tcW w:w="3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176,499</w:t>
            </w:r>
          </w:p>
        </w:tc>
        <w:tc>
          <w:tcPr>
            <w:tcW w:w="44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148,065</w:t>
            </w:r>
          </w:p>
        </w:tc>
        <w:tc>
          <w:tcPr>
            <w:tcW w:w="46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103,037</w:t>
            </w:r>
          </w:p>
        </w:tc>
      </w:tr>
      <w:tr>
        <w:trPr>
          <w:trHeight w:val="27"/>
        </w:trPr>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205,323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176,499</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148,065</w:t>
            </w:r>
          </w:p>
        </w:tc>
      </w:tr>
      <w:tr>
        <w:trPr>
          <w:trHeight w:val="27"/>
        </w:trPr>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64"/>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1,188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592</w:t>
            </w:r>
          </w:p>
        </w:tc>
      </w:tr>
      <w:tr>
        <w:trPr>
          <w:trHeight w:val="270"/>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11,505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11,204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8,585</w:t>
            </w:r>
          </w:p>
        </w:tc>
      </w:tr>
      <w:tr>
        <w:trPr>
          <w:trHeight w:val="270"/>
        </w:trPr>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-1217295</wp:posOffset>
            </wp:positionV>
            <wp:extent cx="59258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25820" cy="1714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-857250</wp:posOffset>
            </wp:positionV>
            <wp:extent cx="59258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25820" cy="18859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-496570</wp:posOffset>
            </wp:positionV>
            <wp:extent cx="59258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25820" cy="171450"/>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-153670</wp:posOffset>
            </wp:positionV>
            <wp:extent cx="59258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258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0" w:space="720"/>
            <w:col w:w="4100"/>
          </w:cols>
          <w:pgMar w:left="240" w:top="324" w:right="1279" w:bottom="15" w:gutter="0" w:footer="0" w:header="0"/>
          <w:type w:val="continuous"/>
        </w:sectPr>
      </w:pPr>
    </w:p>
    <w:p>
      <w:pPr>
        <w:spacing w:after="0" w:line="29" w:lineRule="exact"/>
        <w:rPr>
          <w:sz w:val="20"/>
          <w:szCs w:val="20"/>
          <w:color w:val="auto"/>
        </w:rPr>
      </w:pPr>
    </w:p>
    <w:p>
      <w:pPr>
        <w:ind w:left="3520"/>
        <w:spacing w:after="0"/>
        <w:rPr>
          <w:sz w:val="20"/>
          <w:szCs w:val="20"/>
          <w:color w:val="auto"/>
        </w:rPr>
      </w:pPr>
      <w:r>
        <w:rPr>
          <w:rFonts w:ascii="Arial" w:cs="Arial" w:eastAsia="Arial" w:hAnsi="Arial"/>
          <w:sz w:val="16"/>
          <w:szCs w:val="16"/>
          <w:i w:val="1"/>
          <w:iCs w:val="1"/>
          <w:color w:val="auto"/>
        </w:rPr>
        <w:t>See accompanying notes to consolidated financial statement.</w:t>
      </w:r>
    </w:p>
    <w:p>
      <w:pPr>
        <w:sectPr>
          <w:pgSz w:w="11900" w:h="16838" w:orient="portrait"/>
          <w:cols w:equalWidth="0" w:num="1">
            <w:col w:w="10380"/>
          </w:cols>
          <w:pgMar w:left="240" w:top="324" w:right="1279" w:bottom="15"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9019"/>
          </w:cols>
          <w:pgMar w:left="1440" w:top="125" w:right="1440"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ExlService Holdings, Inc. (“ExlService Holdings”) is organized as a corporation under the laws of the state of Delaware. ExlService Holdings, together with its subsidiaries (collectively, the “Company”), is a leading Operations Management and Analytics company that helps businesses enhance growth and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U.S. and the U.K.</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The accompanying financial statements have been prepared on a consolidated basis and reflect the financial statements of ExlService Holdings and all of its subsidiaries. All intercompany balances and transactions have been eliminated in consolidation.</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non-controlling interest at December 31, 2015 represented the minority partner’s interest in the operations of ExlService Colombia S.A.S. and the profits associated with the minority partner’s interest in those operations, in the consolidated balance sheets and consolidated statements of income, respectively. The minority partner’s interest in the operations for the years ended December 31, 2015 was insignificant and is included under general and administrative expenses in the consolidated statements of income.</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other operating segments have been aggregated into the Operations Management reportable segment. The March 2015 acquisition of RPM Direct LLC and RPM Data Solutions, LLC (collectively, "RPM") is included in the Analytics operating segment.</w:t>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reportable segments are as follows:</w:t>
      </w:r>
    </w:p>
    <w:p>
      <w:pPr>
        <w:spacing w:after="0" w:line="90" w:lineRule="exact"/>
        <w:rPr>
          <w:sz w:val="20"/>
          <w:szCs w:val="20"/>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Operations Management, and</w:t>
      </w:r>
    </w:p>
    <w:p>
      <w:pPr>
        <w:spacing w:after="0" w:line="23" w:lineRule="exact"/>
        <w:rPr>
          <w:rFonts w:ascii="Arial" w:cs="Arial" w:eastAsia="Arial" w:hAnsi="Arial"/>
          <w:sz w:val="18"/>
          <w:szCs w:val="18"/>
          <w:color w:val="auto"/>
        </w:rPr>
      </w:pPr>
    </w:p>
    <w:p>
      <w:pPr>
        <w:ind w:left="820" w:hanging="326"/>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segment information for all prior years presented herein has been restated to conform to the current presentation. This change in segment presentation does not affect the Company’s consolidated statements of income, balance sheets or statements of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fixed price contracts.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337"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accordance with its policy, the Company reviews the estimated useful lives of its fixed assets on an ongoing basis. During the year ended December 31, 2015, the review indicated that the actual lives of certain fixed assets were longer than the estimated useful lives used for depreciation purposes in the Company’s financial statements. As a result, effective January 1, 2015, the Company changed its estimates of the useful lives of its certain fixed assets to better reflect the estimated periods during which these assets will remain in service. The effect of change in estimated useful life of assets reduced depreciation expense by $1,690, increased net income by $1,016 and increased basic and diluted earnings per share by $0.03 each, during the year ended December 31, 2015.</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Foreign Currency Translation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Monetary assets and liabilities in foreign currencies are re-measured into functional currency at the rates of exchange prevailing at the balance sheet dates. Transactions in foreign currencies are re-measured into functional currency at the rates of exchange prevailing on the date of the transaction. All transaction foreign exchange gains and losses are recorded in the accompanying consolidated statements of income.</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dates. Revenues and expenses are translated into U.S. dollars at the exchange rates prevailing on the last business day of each month, which approximates the average monthly exchange rate. Resulting translation adjustments are included in accumulated other comprehensive loss in the consolidated balance sheets.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derives its revenues from Operations Management and Analytics services. Revenues from Operations Management are recognized primarily on a time-and-material based, transaction based, outcome-based, cost-plus and fixed-price basis; revenues from Analytics services are recognized primarily on a time-and-material and fixed price basis. The services provided by the Company under its contracts with the customer generally contain one unit of accounting except the software and related services contracts involving implementation services and post contract maintenance services. In such multiple element arrangements, revenue is allocated to maintenance based on the price charged when that element is sold separately (vendor specific objective evidence or “VSOE”). Revenues are recognized under our contracts generally when four basic criteria are met; persuasive evidence of an arrangement exists, the sales price is fixed or determinable, services have been performed and collection of amounts billed is reasonably assured.</w:t>
      </w:r>
    </w:p>
    <w:p>
      <w:pPr>
        <w:spacing w:after="0" w:line="167"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Revenues under time-and-material, transaction and outcome-based contracts are recognized as the services are performed. Revenues are recognized on cost-plus contracts on the basis of contractually agreed direct and indirect costs incurred on a client contract plus an agreed upon profit mark-up. Such revenues are recognized as the related services are provided in accordance with the client contract. When the terms of the client contract specify service level parameters that must be met (such as turnaround time or accuracy), the Company monitors such service level parameters to determine if any service credits or penalties have been incurred. Revenues are recognized net of any service credits that are due to a client.</w:t>
      </w:r>
    </w:p>
    <w:p>
      <w:pPr>
        <w:spacing w:after="0" w:line="1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from Analytics services including modeling, targeting and designing of campaigns and mail marketing including email marketing and other digital solutions is typically recognized on delivery of such campaigns. In respect of arrangements involving subcontracting of part or whole of the assigned work, the Company evaluates revenues to be recognized under Accounting Standard Codification ("ASC") topic 605-45, “Revenue recognition - Principal agent considerations”.</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Revenues for Company’s fixed-price contracts are recognized using the proportional performance method when the pattern of performance under the contracts can be reasonably determined. The Company estimates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The Company regularly monitors its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Company’s software and related services contracts generally contain software license, related services and maintenance elements. In such multiple element arrangements, revenue is allocated to maintenance based on the price charged when that element is sold separately (vendor specific objective evidence or “VSOE”). Maintenance revenues are generally recognized on a straight-line basis over the contract term. Services related to software licenses are evaluated to determine whether those services are significant or essential to the functionality of the software. When services are significant or considered essential, revenues related to license fee and services are recognized as the services are performed using the percentage of completion method of accounting, under which the total value of revenue is recognized on the basis of the percentage that each contract’s total labor hours to date bears to the total expected labor hours (input method).</w:t>
      </w:r>
    </w:p>
    <w:p>
      <w:pPr>
        <w:spacing w:after="0" w:line="1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accrues revenues for services rendered between the last billing date and the balance sheet date. Accordingly, its accounts receivable include amounts for services that the Company has performed and for which an invoice has not yet been issued to the client.</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defers the revenues and costs attributable to certain process transition activities with respect to its certain customer contracts where the earnings process of such contracts is not complete. Such revenues and costs are subsequently recognized ratably over the period in which the related services are performed. The deferred costs are limited to the amounts of the deferred revenues.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reimbursing the Travelers Indemnity Company (“Travelers”) for certain of their transition related expenses (the “disentanglement costs”), the Company recognized $26,347 of such reimbursements as a reduction of its revenues during the year ended December 31, 2014. The Company did not incur any reimbursements of disentanglement costs during the year ended December 31, 2015, and does not anticipate incurring any additional reimbursements of disentanglement costs related to Travelers going forward.</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Reimbursements of out-of-pocket expenses received from clients are included as part of revenues. Reimbursements of out-of-pocket expenses included in revenues were $18,848, $19,606 and $18,621 for the years ended December 31, 2015, 2014 and 2013,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 and Restricted Cash</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ninety days or less to be cash equivalents. Pursuant to the Company’s investment policy, its surplus funds are kept as cash or cash equivalents and are invested in highly-rated mutual funds, money market accounts and time deposits to reduce its exposure to market risk with regard to these funds.</w:t>
      </w:r>
    </w:p>
    <w:p>
      <w:pPr>
        <w:spacing w:after="0" w:line="18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Current restricted cash represents amounts on deposit with banks against bank guarantees issued through banks for equipment imports that will mature on various dates before December 31, 2016, as well as client funds held in dedicated bank accounts.</w:t>
      </w:r>
    </w:p>
    <w:p>
      <w:pPr>
        <w:spacing w:after="0" w:line="17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Non-current restricted cash represents amounts on deposit with banks against bank guarantees issued through banks for equipment imports and for demands against pending income tax assessments (see Note 16 for details), that will mature on various dates after December 31, 2016.</w:t>
      </w:r>
    </w:p>
    <w:p>
      <w:pPr>
        <w:spacing w:after="0" w:line="25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Investments</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3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mutual fund investments are in debt and money market funds which invest in instruments of various maturities in India. The Company accounts for these investments in accordance with the fair value option under ASC topic 825-10 and change in fair value is included in interest and other income. The fair value represents original cost (on the acquisition date) and the net asset value (“NAV”) as quoted, at each reporting period. Gain or loss on the disposal of these investments is calculated using the weighted average cost of the investments sold or disposed and is included in interest and other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Accounts Receivable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the accounts receivable aging and prior collection experience to estimate the ultimate collectability of these receivables. As of December 31, 2015 and 2014, the Company had $154 and $120 of allowance for doubtful accounts, respectively.</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Accounts receivable include unbilled accounts receivable which represent revenues on contracts to be billed, in subsequent periods, as per the terms of the related contracts. As of December 31, 2015 and 2014, the Company had $29,589 and $16,735 of unbilled accounts receivable,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Fixed Assets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Fixed assets are stated at cost less accumulated depreciation. Equipment held under capital leases are stated at the lower of present value of minimum lease payments at the inception of the leases or its fair value. Advances paid towards acquisition of fixed assets and the cost of fixed assets not yet placed in service before the end of the period are classified as construction in progress.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Fixed assets are reviewed for impairment whenever events or changes in circumstances indicate that the carrying amount may not be recoverable through an assessment of the estimated future undiscounted cash flows related to such assets. In the event that assets are found to be carried at amounts that are in excess of estimated undiscounted future cash flows, the carrying value of the related asset or group of assets is reduced to a level commensurate with fair value based on a discounted cash flow analysis.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The estimated lives used in determining depreciation are as follows:</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38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3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340" w:type="dxa"/>
            <w:vAlign w:val="bottom"/>
            <w:vMerge w:val="restart"/>
          </w:tcPr>
          <w:p>
            <w:pPr>
              <w:ind w:left="20"/>
              <w:spacing w:after="0"/>
              <w:rPr>
                <w:sz w:val="20"/>
                <w:szCs w:val="20"/>
                <w:color w:val="auto"/>
              </w:rPr>
            </w:pPr>
            <w:r>
              <w:rPr>
                <w:rFonts w:ascii="Arial" w:cs="Arial" w:eastAsia="Arial" w:hAnsi="Arial"/>
                <w:sz w:val="18"/>
                <w:szCs w:val="18"/>
                <w:color w:val="auto"/>
              </w:rPr>
              <w:t>Network equipment, computers and software</w:t>
            </w: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8340" w:type="dxa"/>
            <w:vAlign w:val="bottom"/>
            <w:vMerge w:val="continue"/>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8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8340" w:type="dxa"/>
            <w:vAlign w:val="bottom"/>
          </w:tcPr>
          <w:p>
            <w:pPr>
              <w:ind w:left="20"/>
              <w:spacing w:after="0"/>
              <w:rPr>
                <w:sz w:val="20"/>
                <w:szCs w:val="20"/>
                <w:color w:val="auto"/>
              </w:rPr>
            </w:pPr>
            <w:r>
              <w:rPr>
                <w:rFonts w:ascii="Arial" w:cs="Arial" w:eastAsia="Arial" w:hAnsi="Arial"/>
                <w:sz w:val="18"/>
                <w:szCs w:val="18"/>
                <w:color w:val="auto"/>
              </w:rPr>
              <w:t>Motor vehicles</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Software Development Costs</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Costs incurred for developing software or enhancements to the existing software products to be sold are capitalized, including the salaries and benefits of employees that are directly involved in the installation and development, once technological feasibility has been established upon completion of a detailed design program or, in its absence, completion of a working model. The capitalized costs are amortized on a straight-line basis over the estimated useful life. Costs associated with preliminary project stage activities, training, maintenance and all post-implementation stage activities are expensed as incurred.</w:t>
      </w:r>
    </w:p>
    <w:p>
      <w:pPr>
        <w:spacing w:after="0" w:line="26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Business Combinations, Goodwill and Other Intangible Assets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ASC topic 805, “Business Combinations”, requires that the purchase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Changes in fair value are recognized in earnings. These fair value measurements represent Level 3 measurements as they are based on significant inputs not observable in the market.Under ASC topic 350, “Intangibles-Goodwill and Other”, all assets and liabilities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the acquired businesses, including goodwill, are assigned to reporting units. Acquisition related costs are expensed as incurred under general and administrative expenses.</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estimated future cash flows of the reporting units to which it is assigned. Recoverability of goodwill is evaluated using a two-step process.</w:t>
      </w:r>
    </w:p>
    <w:p>
      <w:pPr>
        <w:spacing w:after="0" w:line="166"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process involves a comparison of the fair value and carrying value of the goodwill of that reporting unit. If the carrying value of the goodwill of a reporting unit exceeds the fair value of that goodwill, an impairment loss is recognized in an amount equal to the excess. Goodwill of a reporting unit is tested for impairment annually or if an event occurs or circumstances change that would more likely than not reduce the fair value of the reporting unit below its carrying amount.</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definite lived intangible assets are amortized over their estimated useful lives as listed below using a straight-line method:</w:t>
      </w: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27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years</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4180" w:type="dxa"/>
            <w:vAlign w:val="bottom"/>
          </w:tcPr>
          <w:p>
            <w:pPr>
              <w:jc w:val="right"/>
              <w:spacing w:after="0"/>
              <w:rPr>
                <w:sz w:val="20"/>
                <w:szCs w:val="20"/>
                <w:color w:val="auto"/>
              </w:rPr>
            </w:pPr>
            <w:r>
              <w:rPr>
                <w:rFonts w:ascii="Arial" w:cs="Arial" w:eastAsia="Arial" w:hAnsi="Arial"/>
                <w:sz w:val="18"/>
                <w:szCs w:val="18"/>
                <w:color w:val="auto"/>
              </w:rPr>
              <w:t>3-8 years</w:t>
            </w:r>
          </w:p>
        </w:tc>
      </w:tr>
      <w:tr>
        <w:trPr>
          <w:trHeight w:val="27"/>
        </w:trPr>
        <w:tc>
          <w:tcPr>
            <w:tcW w:w="550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 years</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4180" w:type="dxa"/>
            <w:vAlign w:val="bottom"/>
          </w:tcPr>
          <w:p>
            <w:pPr>
              <w:jc w:val="right"/>
              <w:spacing w:after="0"/>
              <w:rPr>
                <w:sz w:val="20"/>
                <w:szCs w:val="20"/>
                <w:color w:val="auto"/>
              </w:rPr>
            </w:pPr>
            <w:r>
              <w:rPr>
                <w:rFonts w:ascii="Arial" w:cs="Arial" w:eastAsia="Arial" w:hAnsi="Arial"/>
                <w:sz w:val="18"/>
                <w:szCs w:val="18"/>
                <w:color w:val="auto"/>
              </w:rPr>
              <w:t>1-2 years</w:t>
            </w:r>
          </w:p>
        </w:tc>
      </w:tr>
      <w:tr>
        <w:trPr>
          <w:trHeight w:val="27"/>
        </w:trPr>
        <w:tc>
          <w:tcPr>
            <w:tcW w:w="550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years</w:t>
            </w:r>
          </w:p>
        </w:tc>
      </w:tr>
      <w:tr>
        <w:trPr>
          <w:trHeight w:val="27"/>
        </w:trPr>
        <w:tc>
          <w:tcPr>
            <w:tcW w:w="550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Derivative Financial Instruments.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normal course of business, the Company uses derivative instruments for the purpose of mitigating the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contracts are purchased within the Company’s policy and are with counterparties that are highly rated financial institutions.</w:t>
      </w:r>
    </w:p>
    <w:p>
      <w:pPr>
        <w:spacing w:after="0" w:line="18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currency exchange contracts that qualify as cash flow hedges. Changes in the fair value of these cash flow hedges which are deemed effective, are recorded in accumulated other comprehensive income/(loss) (AOCI) until the hedged transactions occur and at that time are recognized in the foreign exchange gain/(loss) in consolidated statements of income. Changes in the fair value of cash flow hedges deemed ineffective are recognized in the consolidated statement of income and are included in foreign exchange gain/(loss). The Company also uses derivatives instruments consisting of foreign currency exchange contracts to economically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6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evaluates hedge effectiveness of cash flow hedges at the time a contract is entered into as well as on an ongoing basis. If during this time, a contract is deemed ineffective, the change in the fair value is recorded in the consolidated statements of income and is included in foreign exchange gain/(loss). For hedge relationships that are discontinued because the forecasted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is not expected to occur by the end of the originally specified period, any related derivative amounts recorded in equity are reclassified to earnings.</w:t>
      </w:r>
    </w:p>
    <w:p>
      <w:pPr>
        <w:spacing w:after="0" w:line="27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5"/>
          <w:szCs w:val="15"/>
          <w:b w:val="1"/>
          <w:bCs w:val="1"/>
          <w:i w:val="1"/>
          <w:iCs w:val="1"/>
          <w:color w:val="auto"/>
        </w:rPr>
        <w:t>Employee Benefits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 The Company recognizes its liabilities for compensated absences dependent on whether the obligation is attributable to employee services already rendered, relates to rights that vest or accumulate and payment is probable and estimable.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Share-Based Compensation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stock-based compensation expense in the consolidated financial statements for awards of equity instruments to employees and non-employee directors based on the grant-date fair value of those awards. The Company recognizes these compensation costs, net of an estimated forfeiture rate, over the requisite service period of the award. Forfeitures are estimated at the time of grant and revised, if necessary, in subsequent periods if actual forfeiture differs from those estimates.</w:t>
      </w:r>
    </w:p>
    <w:p>
      <w:pPr>
        <w:spacing w:after="0" w:line="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Under the Company’s Amendment and Restatement of the 2006 Omnibus Award Plan (“2015 Plan”), the Company grants performance-based restricted stock units (“PRSUs”) to executive officers and other specified employees. 50% of the PRSUs will cliff vest based on a revenue target ("PU") at the end of a three-year period. The other 50% shall be based on a market condition (“MUs”) that is contingent on meeting or exceeding the total shareholder return relative to a group of peer companies specified under the program, measured over a three-year performance period. The award recipient may earn up to two hundred percent (200%) of the PRSUs granted based on the actual performance for both kinds of PRSUs.</w:t>
      </w:r>
    </w:p>
    <w:p>
      <w:pPr>
        <w:spacing w:after="0" w:line="6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PU was determined based on the market price of one common share of the Company on the date of grant, and the associated compensation expense was calculated on the basis that performance targets to receive 100% of the PUs is probable of being achieved. The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 The expense related to the unvested PUs as of December 31, 2015 was based on the Company's assessment that the performance criteria for these grants would be met at the 100% performance target level during the respective years of vesting.</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the related compensation expense is expensed on a straight-line basis over the vesting period. All compensation expense related to the MUs will be recognized if the requisite performance period is fulfilled, even if the market condition is not achieved.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Income Taxes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Financial Instruments and Concentration of Credit Risk</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certain financial instruments including cash and cash equivalents, short-term investments, accounts receivable,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accrued expenses, and other current liabilities, recorded amounts approximate fair value due to the relatively short maturity periods of such instruments.</w:t>
      </w:r>
    </w:p>
    <w:p>
      <w:pPr>
        <w:spacing w:after="0" w:line="18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i w:val="1"/>
          <w:iCs w:val="1"/>
          <w:color w:val="auto"/>
        </w:rPr>
        <w:t>Concentration of Credit Risk</w:t>
      </w:r>
      <w:r>
        <w:rPr>
          <w:rFonts w:ascii="Arial" w:cs="Arial" w:eastAsia="Arial" w:hAnsi="Arial"/>
          <w:sz w:val="17"/>
          <w:szCs w:val="17"/>
          <w:color w:val="auto"/>
        </w:rPr>
        <w:t>. Financial instruments that potentially subject the Company to concentrations of credit risk consist principally of cash and</w:t>
      </w:r>
      <w:r>
        <w:rPr>
          <w:rFonts w:ascii="Arial" w:cs="Arial" w:eastAsia="Arial" w:hAnsi="Arial"/>
          <w:sz w:val="17"/>
          <w:szCs w:val="17"/>
          <w:i w:val="1"/>
          <w:iCs w:val="1"/>
          <w:color w:val="auto"/>
        </w:rPr>
        <w:t xml:space="preserve"> </w:t>
      </w:r>
      <w:r>
        <w:rPr>
          <w:rFonts w:ascii="Arial" w:cs="Arial" w:eastAsia="Arial" w:hAnsi="Arial"/>
          <w:sz w:val="17"/>
          <w:szCs w:val="17"/>
          <w:color w:val="auto"/>
        </w:rPr>
        <w:t>cash equivalents, time deposits,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placed with highly rated financial institutions to reduce its exposure to market risk with regard to these funds. Credit losses on accounts receivable have not been material because of a large concentration of revenues with a small number of large, established companies. The Company evaluates the creditworthiness of its clients in conjunction with its revenue recognition processes as well as through its ongoing collectability assessment processes for accounts receivable.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Earnings Per Share</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51,565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32,445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48,097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33,298,104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32,804,606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32,750,178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880,236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831,987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1,092,760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34,178,340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33,636,593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33,842,938</w:t>
            </w:r>
          </w:p>
        </w:tc>
      </w:tr>
      <w:tr>
        <w:trPr>
          <w:trHeight w:val="67"/>
        </w:trPr>
        <w:tc>
          <w:tcPr>
            <w:tcW w:w="67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1.55</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1.47</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4"/>
              </w:rPr>
              <w:t>Weighted average common shares considered anti-dilutive in computing diluted earnings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per share</w:t>
            </w:r>
          </w:p>
        </w:tc>
        <w:tc>
          <w:tcPr>
            <w:tcW w:w="3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73,896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114,395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268,219</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Accumulated Other Comprehensive Loss</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For the Company, 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that are deemed effective are recorded as a component of accumulated other comprehensive loss until the settlement of those contracts. The balances as of December 31, 2015 and 2014 are as follows: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2015</w:t>
            </w:r>
          </w:p>
        </w:tc>
        <w:tc>
          <w:tcPr>
            <w:tcW w:w="140" w:type="dxa"/>
            <w:vAlign w:val="bottom"/>
          </w:tcPr>
          <w:p>
            <w:pPr>
              <w:spacing w:after="0"/>
              <w:rPr>
                <w:sz w:val="16"/>
                <w:szCs w:val="16"/>
                <w:color w:val="auto"/>
              </w:rPr>
            </w:pPr>
          </w:p>
        </w:tc>
        <w:tc>
          <w:tcPr>
            <w:tcW w:w="1340" w:type="dxa"/>
            <w:vAlign w:val="bottom"/>
          </w:tcPr>
          <w:p>
            <w:pPr>
              <w:jc w:val="right"/>
              <w:ind w:right="74"/>
              <w:spacing w:after="0"/>
              <w:rPr>
                <w:sz w:val="20"/>
                <w:szCs w:val="20"/>
                <w:color w:val="auto"/>
              </w:rPr>
            </w:pPr>
            <w:r>
              <w:rPr>
                <w:rFonts w:ascii="Arial" w:cs="Arial" w:eastAsia="Arial" w:hAnsi="Arial"/>
                <w:sz w:val="14"/>
                <w:szCs w:val="14"/>
                <w:b w:val="1"/>
                <w:bCs w:val="1"/>
                <w:color w:val="auto"/>
                <w:w w:val="91"/>
              </w:rPr>
              <w:t>December 31, 2014</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currency translation adjustments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(55,553)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Unrealized gain on cash flow hedges, net of taxes of $662 and $603</w:t>
            </w:r>
          </w:p>
        </w:tc>
        <w:tc>
          <w:tcPr>
            <w:tcW w:w="1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872</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benefits, net of taxes of ($201) and ($277)</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(55,509)</w:t>
            </w:r>
          </w:p>
        </w:tc>
      </w:tr>
      <w:tr>
        <w:trPr>
          <w:trHeight w:val="27"/>
        </w:trPr>
        <w:tc>
          <w:tcPr>
            <w:tcW w:w="83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r>
              <w:rPr>
                <w:rFonts w:ascii="Arial" w:cs="Arial" w:eastAsia="Arial" w:hAnsi="Arial"/>
                <w:sz w:val="18"/>
                <w:szCs w:val="18"/>
                <w:b w:val="1"/>
                <w:bCs w:val="1"/>
                <w:i w:val="1"/>
                <w:iCs w:val="1"/>
                <w:color w:val="auto"/>
              </w:rPr>
              <w:t>(r)</w:t>
            </w:r>
          </w:p>
        </w:tc>
        <w:tc>
          <w:tcPr>
            <w:tcW w:w="748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60" w:type="dxa"/>
            <w:vAlign w:val="bottom"/>
          </w:tcPr>
          <w:p>
            <w:pPr>
              <w:spacing w:after="0"/>
              <w:rPr>
                <w:sz w:val="24"/>
                <w:szCs w:val="24"/>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Accrued expenses and other current liabilities consists of the following:</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24,451</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2,385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 liability account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9,241</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4,129</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34,250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40,206</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9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40" w:type="dxa"/>
            <w:vAlign w:val="bottom"/>
            <w:gridSpan w:val="3"/>
            <w:vMerge w:val="restart"/>
          </w:tcPr>
          <w:p>
            <w:pPr>
              <w:ind w:left="80"/>
              <w:spacing w:after="0"/>
              <w:rPr>
                <w:sz w:val="20"/>
                <w:szCs w:val="20"/>
                <w:color w:val="auto"/>
              </w:rPr>
            </w:pPr>
            <w:r>
              <w:rPr>
                <w:rFonts w:ascii="Arial" w:cs="Arial" w:eastAsia="Arial" w:hAnsi="Arial"/>
                <w:sz w:val="18"/>
                <w:szCs w:val="18"/>
                <w:b w:val="1"/>
                <w:bCs w:val="1"/>
                <w:i w:val="1"/>
                <w:iCs w:val="1"/>
                <w:color w:val="auto"/>
              </w:rPr>
              <w:t>(s)  Non-current liabilities</w:t>
            </w: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74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Non-current liabilities consists of the following:</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3,066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2,878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92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4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17,655</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12,870</w:t>
            </w:r>
          </w:p>
        </w:tc>
        <w:tc>
          <w:tcPr>
            <w:tcW w:w="0" w:type="dxa"/>
            <w:vAlign w:val="bottom"/>
          </w:tcPr>
          <w:p>
            <w:pPr>
              <w:spacing w:after="0"/>
              <w:rPr>
                <w:sz w:val="1"/>
                <w:szCs w:val="1"/>
                <w:color w:val="auto"/>
              </w:rPr>
            </w:pPr>
          </w:p>
        </w:tc>
      </w:tr>
      <w:tr>
        <w:trPr>
          <w:trHeight w:val="27"/>
        </w:trPr>
        <w:tc>
          <w:tcPr>
            <w:tcW w:w="2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(t)</w:t>
            </w:r>
          </w:p>
        </w:tc>
        <w:tc>
          <w:tcPr>
            <w:tcW w:w="7480" w:type="dxa"/>
            <w:vAlign w:val="bottom"/>
            <w:gridSpan w:val="2"/>
            <w:vMerge w:val="restart"/>
          </w:tcPr>
          <w:p>
            <w:pPr>
              <w:ind w:left="80"/>
              <w:spacing w:after="0"/>
              <w:rPr>
                <w:sz w:val="20"/>
                <w:szCs w:val="20"/>
                <w:color w:val="auto"/>
              </w:rPr>
            </w:pPr>
            <w:r>
              <w:rPr>
                <w:rFonts w:ascii="Arial" w:cs="Arial" w:eastAsia="Arial" w:hAnsi="Arial"/>
                <w:sz w:val="18"/>
                <w:szCs w:val="18"/>
                <w:b w:val="1"/>
                <w:bCs w:val="1"/>
                <w:i w:val="1"/>
                <w:iCs w:val="1"/>
                <w:color w:val="auto"/>
              </w:rPr>
              <w:t>Other Income, net</w:t>
            </w: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60" w:type="dxa"/>
            <w:vAlign w:val="bottom"/>
            <w:vMerge w:val="continue"/>
          </w:tcPr>
          <w:p>
            <w:pPr>
              <w:spacing w:after="0" w:line="20" w:lineRule="exact"/>
              <w:rPr>
                <w:sz w:val="1"/>
                <w:szCs w:val="1"/>
                <w:color w:val="auto"/>
              </w:rPr>
            </w:pPr>
          </w:p>
        </w:tc>
        <w:tc>
          <w:tcPr>
            <w:tcW w:w="7480" w:type="dxa"/>
            <w:vAlign w:val="bottom"/>
            <w:gridSpan w:val="2"/>
            <w:vMerge w:val="continue"/>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260" w:type="dxa"/>
            <w:vAlign w:val="bottom"/>
            <w:vMerge w:val="continue"/>
          </w:tcPr>
          <w:p>
            <w:pPr>
              <w:spacing w:after="0"/>
              <w:rPr>
                <w:sz w:val="24"/>
                <w:szCs w:val="24"/>
                <w:color w:val="auto"/>
              </w:rPr>
            </w:pPr>
          </w:p>
        </w:tc>
        <w:tc>
          <w:tcPr>
            <w:tcW w:w="748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0" w:type="dxa"/>
            <w:vAlign w:val="bottom"/>
          </w:tcPr>
          <w:p>
            <w:pPr>
              <w:spacing w:after="0"/>
              <w:rPr>
                <w:sz w:val="24"/>
                <w:szCs w:val="24"/>
                <w:color w:val="auto"/>
              </w:rPr>
            </w:pPr>
          </w:p>
        </w:tc>
        <w:tc>
          <w:tcPr>
            <w:tcW w:w="7480" w:type="dxa"/>
            <w:vAlign w:val="bottom"/>
            <w:gridSpan w:val="2"/>
          </w:tcPr>
          <w:p>
            <w:pPr>
              <w:ind w:left="180"/>
              <w:spacing w:after="0"/>
              <w:rPr>
                <w:sz w:val="20"/>
                <w:szCs w:val="20"/>
                <w:color w:val="auto"/>
              </w:rPr>
            </w:pPr>
            <w:r>
              <w:rPr>
                <w:rFonts w:ascii="Arial" w:cs="Arial" w:eastAsia="Arial" w:hAnsi="Arial"/>
                <w:sz w:val="18"/>
                <w:szCs w:val="18"/>
                <w:color w:val="auto"/>
              </w:rPr>
              <w:t>Other Income, net consists of the following:</w:t>
            </w: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ind w:left="606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1840" w:type="dxa"/>
        <w:tblCellMar>
          <w:top w:w="0" w:type="dxa"/>
          <w:left w:w="0" w:type="dxa"/>
          <w:bottom w:w="0" w:type="dxa"/>
          <w:right w:w="0" w:type="dxa"/>
        </w:tblCellMar>
      </w:tblPr>
      <w:tr>
        <w:trPr>
          <w:trHeight w:val="256"/>
        </w:trPr>
        <w:tc>
          <w:tcPr>
            <w:tcW w:w="2240" w:type="dxa"/>
            <w:vAlign w:val="bottom"/>
            <w:tcBorders>
              <w:top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top w:val="single" w:sz="8" w:color="auto"/>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2"/>
                <w:szCs w:val="22"/>
                <w:color w:val="auto"/>
              </w:rPr>
            </w:pPr>
          </w:p>
        </w:tc>
        <w:tc>
          <w:tcPr>
            <w:tcW w:w="1380" w:type="dxa"/>
            <w:vAlign w:val="bottom"/>
            <w:tcBorders>
              <w:top w:val="single" w:sz="8" w:color="auto"/>
              <w:bottom w:val="single" w:sz="8" w:color="auto"/>
            </w:tcBorders>
            <w:shd w:val="clear" w:color="auto" w:fill="CCEEFF"/>
          </w:tcPr>
          <w:p>
            <w:pPr>
              <w:jc w:val="right"/>
              <w:ind w:right="674"/>
              <w:spacing w:after="0"/>
              <w:rPr>
                <w:sz w:val="20"/>
                <w:szCs w:val="20"/>
                <w:color w:val="auto"/>
              </w:rPr>
            </w:pPr>
            <w:r>
              <w:rPr>
                <w:rFonts w:ascii="Arial" w:cs="Arial" w:eastAsia="Arial" w:hAnsi="Arial"/>
                <w:sz w:val="14"/>
                <w:szCs w:val="14"/>
                <w:b w:val="1"/>
                <w:bCs w:val="1"/>
                <w:color w:val="auto"/>
              </w:rPr>
              <w:t>2013</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w w:val="95"/>
              </w:rPr>
              <w:t>Interest and dividend income</w:t>
            </w:r>
          </w:p>
        </w:tc>
        <w:tc>
          <w:tcPr>
            <w:tcW w:w="1120" w:type="dxa"/>
            <w:vAlign w:val="bottom"/>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6,806</w:t>
            </w:r>
          </w:p>
        </w:tc>
        <w:tc>
          <w:tcPr>
            <w:tcW w:w="8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3,709</w:t>
            </w:r>
          </w:p>
        </w:tc>
        <w:tc>
          <w:tcPr>
            <w:tcW w:w="6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3,169</w:t>
            </w:r>
          </w:p>
        </w:tc>
      </w:tr>
      <w:tr>
        <w:trPr>
          <w:trHeight w:val="27"/>
        </w:trPr>
        <w:tc>
          <w:tcPr>
            <w:tcW w:w="2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Other, net</w:t>
            </w: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263</w:t>
            </w: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2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5,689</w:t>
            </w:r>
          </w:p>
        </w:tc>
        <w:tc>
          <w:tcPr>
            <w:tcW w:w="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3,603</w:t>
            </w:r>
          </w:p>
        </w:tc>
        <w:tc>
          <w:tcPr>
            <w:tcW w:w="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2,547</w:t>
            </w:r>
          </w:p>
        </w:tc>
      </w:tr>
      <w:tr>
        <w:trPr>
          <w:trHeight w:val="20"/>
        </w:trPr>
        <w:tc>
          <w:tcPr>
            <w:tcW w:w="2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May 2014, the Financial Accounting Standard Board ("FASB") issued ASU No. 2014-09, “Revenue from Contracts with Customers” (“ASU No. 2014-09”).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No. 2014-09 is effective for the Company in the first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quarter of fiscal 2018 using either one of two methods: (i) retrospectively to each prior reporting period presented with the option to elect certain practical expedients as defined within ASU No. 2014-09; or (ii) retrospectively with the cumulative effect of initially applying ASU No. 2014-09 recognized at the date of initial application and providing certain additional disclosures as defined per ASU No. 2014-09. The Company is currently evaluating the impact of adoption and the implementation approach to be used.</w:t>
      </w:r>
    </w:p>
    <w:p>
      <w:pPr>
        <w:spacing w:after="0" w:line="7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2015, FASB issued ASU No. 2015-05, “Intangibles - Goodwill and Other - Internal-Use Software (Subtopic 350-40): Customer’s Accounting for Fees Paid in a Cloud Computing Arrangement”. The amendments add guidance to Subtopic 350-40, Intangibles - Goodwill and Other - Internal-Use Software, which will help entities evaluate the accounting for fees paid by a customer in a cloud computing arrangement. The amendments will be effective for fiscal years beginning after December 15, 2015. The Company is currently evaluating the method of adoption and impact this standard will have on its consolidated financial statements and related disclosures.</w:t>
      </w:r>
    </w:p>
    <w:p>
      <w:pPr>
        <w:spacing w:after="0" w:line="8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April 2015, FASB issued ASU No. 2015-03, “Interest-Imputation of Interest” (“ASU No. 2015-03”), which requires that debt issuance costs related to a recognized debt liability be presented in the balance sheet as a direct deduction from the carrying amount of that debt liability, consistent with debt discounts. The recognition and measurement guidance of debt issuance costs are not affected by the amendments in that update. The standard will be effective for the Company beginning in the first quarter of fiscal year 2016 and requires the Company to apply the new guidance on a retrospective basis on adoption. The Company is currently evaluating the impact of this standard on its consolidated financial statements and related disclosures.</w:t>
      </w:r>
    </w:p>
    <w:p>
      <w:pPr>
        <w:spacing w:after="0" w:line="5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May 2015, FASB issued ASU No. 2015-08, “Business Combinations (Topic 805): Pushdown Accounting-Amendments to SEC Paragraphs Pursuant to Staff Accounting Bulletin No. 115” (“ASU No. 2015-08”). The amendments in ASU No. 2015-08 amend various SEC paragraphs included in FASB’s Accounting Standards Codification to reflect the issuance of Staff Accounting Bulletin No. 115 (“SAB 115”). SAB 115 rescinds portions of the interpretive guidance included in the SEC’s Staff Accounting Bulletins series and brings existing guidance into conformity with ASU No. 2014-17, “Business Combinations (Topic 805): Pushdown Accounting,” which provides an acquired entity with an option to apply pushdown accounting in its separate financial statements upon occurrence of an event in which an acquirer obtains control of the acquired entity. The adoption of this guidance does not have a material impact on the Company’s consolidated financial statements.</w:t>
      </w:r>
    </w:p>
    <w:p>
      <w:pPr>
        <w:spacing w:after="0" w:line="8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August 2015, FASB issued ASU No. 2015-15, “Presentation and Subsequent Measurement of Debt Issuance Costs Associated with Line of Credit Arrangements” (“ASU No. 2015-15”). This ASU indicates that the guidance in ASU No. 2015-03 did not address presentation or subsequent measurement of debt issuance costs related to line of credit arrangements. Given the absence of authoritative guidance within ASU No. 2015-03, the SEC staff has indicated that they would not object to an entity deferring and presenting debt issuance costs as an asset and subsequently amortizing the costs ratably over the term of the line of credit arrangement, regardless of whether there are any outstanding borrowings on the line of credit arrangement. The Company does not expect the adoption of ASU No. 2015-15 to have any effect on the Company’s financial position or results of operations.</w:t>
      </w:r>
    </w:p>
    <w:p>
      <w:pPr>
        <w:spacing w:after="0" w:line="5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September 2015, FASB issued ASU No. 2015-16, “Simplifying the Accounting for Measurement Period Adjustments” (“ASU No. 2015-16”). ASU No. 2015-16 require that an acquirer recognize adjustments to provisional amounts that are identified during the measurement period in the reporting period in which the adjustment amounts are determined. The amendments in ASU No. 2015-16 require that the acquirer record, in the same period’s financial statements, the effect on earnings of changes in depreciation, amortization, or other income effects, if any, as a result of the change to the provisional amounts, calculated as if the accounting had been completed at the acquisition date. The amendments in ASU No. 2015-16 require an entity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amendments in ASU No. 2015-16 are effective for fiscal years beginning after December 15, 2015, including interim periods within those fiscal years. The amendments in ASU No. 2015-16 should be applied prospectively to adjustments to provisional amounts that occur after the effective date of this update with earlier application permitted for financial statements that have not been issued. The Company is currently evaluating the impact of adoption of ASU No. 2015-16 on its consolidated financial position or results of operations.</w:t>
      </w:r>
    </w:p>
    <w:p>
      <w:pPr>
        <w:spacing w:after="0" w:line="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November 2015, FASB issued ASU No. 2015-17, "Income Taxes (Topic 740): Balance Sheet Classification of Deferred Taxes". This guidance requires entities to classify deferred tax liabilities and assets as noncurrent in a classified statement of financial position. The guidance is effective for interim and annual periods beginning after December 15, 2016, and may be applied either prospectively to all deferred tax liabilities and assets or retrospectively to all periods presented. As permitted, the Company elected to early adopt this guidance on a retrospective basis effective October 1, 2015 resulting in the reclassification of $4,738 of deferred tax assets from current assets to long-term assets. Deferred tax assets as of December 31, 2014 have been retroactively restated to reclassify $4,455 of deferred tax assets from current assets to long-term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January 2016, FASB issued ASU No. 2016-01, "Financial Instruments - Overall (Subtopic 825-10): Recognition and Measurement of Financial Assets and Financial Liabilities". This guidance makes targeted improvements to existing U.S. GAAP for financial instruments, including requiring equity investments (except those accounted for under the equity method of accounting, or those that result in consolidation of the investee) to be measured at fair value with changes in fair value recognized in net income; requiring entities to use the exit price notion when measuring the fair value of financial instruments for disclosure purposes; requiring separate presentation of financial assets and financial liabilities by measurement category and form of financial asset and requiring entities to present separately in other comprehensive income the portion of the total change in the fair value of a liability resulting from a change in the instrument-specific credit risk (also referred to as “own credit”) when the organization has elected to measure the liability at fair value in accordance with the fair value option. The new guidance is effective for public companies for fiscal years beginning after December 15, 2017. Early adoption of the own credit provision is permitted. The Company is currently evaluating the impact that the adoption of this guidance will have on its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Information</w:t>
      </w:r>
    </w:p>
    <w:p>
      <w:pPr>
        <w:spacing w:after="0" w:line="12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Company's operating segments are significant strategic business units that align its products and services with how it manages its business, approach the key markets and interacts with its clients. Effective for the quarter and year ended December 31, 2015, the Company merged two of its operating segments (Operations Consulting and Finance Transformation, previously part of the Analytics and Business Transformation reportable segment) into the Consulting operating segment to reflect recent organizational changes. The Company has also revised its reportable segments to reflect management’s focus on the Analytics operating segment. All the other operating segments have been aggregated into the Operations Management reportable segment. The March 2015 acquisition of RPM is included in the Analytics operating segment.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new reportable segments are as follows:</w:t>
      </w:r>
    </w:p>
    <w:p>
      <w:pPr>
        <w:spacing w:after="0" w:line="23" w:lineRule="exact"/>
        <w:rPr>
          <w:sz w:val="20"/>
          <w:szCs w:val="20"/>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Operations Management</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Analytics</w:t>
      </w:r>
    </w:p>
    <w:p>
      <w:pPr>
        <w:spacing w:after="0" w:line="10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Company has restated the segment information for the all the prior years presented herein to conform to the current presentation. This change in segment presentation does not affect the Company's consolidated statements of income, balance sheets or statements of cash flows.</w:t>
      </w:r>
    </w:p>
    <w:p>
      <w:pPr>
        <w:spacing w:after="0" w:line="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chief operating decision maker (“CODM”) generally reviews operating segment revenues and cost of revenues. The Company does not allocate and therefore the CODM does not evaluate operating expenses, interest expense or income taxes by segment. The Company’s operating assets are shared by multiple segments. The Company manages assets on a total company basis, not by operating segment, and therefore asset information and capital expenditures by operating segment are not presented.</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Revenues and cost of revenues for each of the years ended December 31, 2015, 2014 and 2013, for Operations Management and Analytics segments, respectively, are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4"/>
                <w:szCs w:val="14"/>
                <w:b w:val="1"/>
                <w:bCs w:val="1"/>
                <w:color w:val="auto"/>
              </w:rPr>
              <w:t>Year ended December 31, 2015</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 2014</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Operations</w:t>
            </w:r>
          </w:p>
        </w:tc>
        <w:tc>
          <w:tcPr>
            <w:tcW w:w="260" w:type="dxa"/>
            <w:vAlign w:val="bottom"/>
          </w:tcPr>
          <w:p>
            <w:pPr>
              <w:spacing w:after="0"/>
              <w:rPr>
                <w:sz w:val="19"/>
                <w:szCs w:val="19"/>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Analytics</w:t>
            </w:r>
          </w:p>
        </w:tc>
        <w:tc>
          <w:tcPr>
            <w:tcW w:w="1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Operations</w:t>
            </w:r>
          </w:p>
        </w:tc>
        <w:tc>
          <w:tcPr>
            <w:tcW w:w="240" w:type="dxa"/>
            <w:vAlign w:val="bottom"/>
          </w:tcPr>
          <w:p>
            <w:pPr>
              <w:spacing w:after="0"/>
              <w:rPr>
                <w:sz w:val="19"/>
                <w:szCs w:val="19"/>
                <w:color w:val="auto"/>
              </w:rPr>
            </w:pPr>
          </w:p>
        </w:tc>
        <w:tc>
          <w:tcPr>
            <w:tcW w:w="112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Analytics</w:t>
            </w:r>
          </w:p>
        </w:tc>
        <w:tc>
          <w:tcPr>
            <w:tcW w:w="100" w:type="dxa"/>
            <w:vAlign w:val="bottom"/>
            <w:vMerge w:val="restart"/>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Management</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Management</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Revenues,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506,341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122,151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628,492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433,663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65,615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499,278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324,079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78,838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402,917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286,493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46,042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332,535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182,262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43,313</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225,575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147,170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19,573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166,743</w:t>
            </w:r>
          </w:p>
        </w:tc>
        <w:tc>
          <w:tcPr>
            <w:tcW w:w="0" w:type="dxa"/>
            <w:vAlign w:val="bottom"/>
          </w:tcPr>
          <w:p>
            <w:pPr>
              <w:spacing w:after="0"/>
              <w:rPr>
                <w:sz w:val="1"/>
                <w:szCs w:val="1"/>
                <w:color w:val="auto"/>
              </w:rPr>
            </w:pPr>
          </w:p>
        </w:tc>
      </w:tr>
      <w:tr>
        <w:trPr>
          <w:trHeight w:val="67"/>
        </w:trPr>
        <w:tc>
          <w:tcPr>
            <w:tcW w:w="28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158,232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132,703</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Foreign exchange gain/(loss) and</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8,433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3,598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24,211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51,565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32,445</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3"/>
          </w:tcPr>
          <w:p>
            <w:pPr>
              <w:ind w:left="900"/>
              <w:spacing w:after="0"/>
              <w:rPr>
                <w:sz w:val="20"/>
                <w:szCs w:val="20"/>
                <w:color w:val="auto"/>
              </w:rPr>
            </w:pPr>
            <w:r>
              <w:rPr>
                <w:rFonts w:ascii="Arial" w:cs="Arial" w:eastAsia="Arial" w:hAnsi="Arial"/>
                <w:sz w:val="18"/>
                <w:szCs w:val="18"/>
                <w:color w:val="auto"/>
                <w:w w:val="86"/>
              </w:rPr>
              <w:t>F-18</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jc w:val="right"/>
        <w:ind w:righ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color w:val="auto"/>
        </w:rPr>
        <w:t>Revenues,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40640</wp:posOffset>
            </wp:positionV>
            <wp:extent cx="721233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57" w:lineRule="exact"/>
        <w:rPr>
          <w:sz w:val="20"/>
          <w:szCs w:val="20"/>
          <w:color w:val="auto"/>
        </w:rPr>
      </w:pPr>
    </w:p>
    <w:p>
      <w:pPr>
        <w:ind w:left="80"/>
        <w:spacing w:after="0"/>
        <w:rPr>
          <w:sz w:val="20"/>
          <w:szCs w:val="20"/>
          <w:color w:val="auto"/>
        </w:rPr>
      </w:pPr>
      <w:r>
        <w:rPr>
          <w:rFonts w:ascii="Arial" w:cs="Arial" w:eastAsia="Arial" w:hAnsi="Arial"/>
          <w:sz w:val="16"/>
          <w:szCs w:val="16"/>
          <w:color w:val="auto"/>
        </w:rPr>
        <w:t>Cost of revenues (exclusive of depreciation and amortization)</w:t>
      </w:r>
    </w:p>
    <w:p>
      <w:pPr>
        <w:spacing w:after="0" w:line="86" w:lineRule="exact"/>
        <w:rPr>
          <w:sz w:val="20"/>
          <w:szCs w:val="20"/>
          <w:color w:val="auto"/>
        </w:rPr>
      </w:pPr>
    </w:p>
    <w:p>
      <w:pPr>
        <w:ind w:left="8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48895</wp:posOffset>
            </wp:positionV>
            <wp:extent cx="7212330" cy="1885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70" w:lineRule="exact"/>
        <w:rPr>
          <w:sz w:val="20"/>
          <w:szCs w:val="20"/>
          <w:color w:val="auto"/>
        </w:rPr>
      </w:pPr>
    </w:p>
    <w:p>
      <w:pPr>
        <w:ind w:left="80"/>
        <w:spacing w:after="0"/>
        <w:rPr>
          <w:sz w:val="20"/>
          <w:szCs w:val="20"/>
          <w:color w:val="auto"/>
        </w:rPr>
      </w:pPr>
      <w:r>
        <w:rPr>
          <w:rFonts w:ascii="Arial" w:cs="Arial" w:eastAsia="Arial" w:hAnsi="Arial"/>
          <w:sz w:val="18"/>
          <w:szCs w:val="18"/>
          <w:color w:val="auto"/>
        </w:rPr>
        <w:t>Operating expenses</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Foreign exchange gain/(loss)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21233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43" w:lineRule="exact"/>
        <w:rPr>
          <w:sz w:val="20"/>
          <w:szCs w:val="20"/>
          <w:color w:val="auto"/>
        </w:rPr>
      </w:pPr>
    </w:p>
    <w:p>
      <w:pPr>
        <w:ind w:left="80"/>
        <w:spacing w:after="0"/>
        <w:rPr>
          <w:sz w:val="20"/>
          <w:szCs w:val="20"/>
          <w:color w:val="auto"/>
        </w:rPr>
      </w:pPr>
      <w:r>
        <w:rPr>
          <w:rFonts w:ascii="Arial" w:cs="Arial" w:eastAsia="Arial" w:hAnsi="Arial"/>
          <w:sz w:val="18"/>
          <w:szCs w:val="18"/>
          <w:color w:val="auto"/>
        </w:rPr>
        <w:t>Income tax expense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Year ended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26670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Operations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Analytics</w:t>
            </w:r>
          </w:p>
        </w:tc>
        <w:tc>
          <w:tcPr>
            <w:tcW w:w="300" w:type="dxa"/>
            <w:vAlign w:val="bottom"/>
          </w:tcPr>
          <w:p>
            <w:pPr>
              <w:spacing w:after="0"/>
              <w:rPr>
                <w:sz w:val="14"/>
                <w:szCs w:val="14"/>
                <w:color w:val="auto"/>
              </w:rPr>
            </w:pPr>
          </w:p>
        </w:tc>
        <w:tc>
          <w:tcPr>
            <w:tcW w:w="9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Management</w:t>
            </w: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432,916</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45,536</w:t>
            </w:r>
          </w:p>
        </w:tc>
        <w:tc>
          <w:tcPr>
            <w:tcW w:w="100" w:type="dxa"/>
            <w:vAlign w:val="bottom"/>
          </w:tcPr>
          <w:p>
            <w:pPr>
              <w:spacing w:after="0"/>
              <w:rPr>
                <w:sz w:val="21"/>
                <w:szCs w:val="21"/>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478,452</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260,241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30,701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290,942</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172,675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14,835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187,510</w:t>
            </w:r>
          </w:p>
        </w:tc>
        <w:tc>
          <w:tcPr>
            <w:tcW w:w="0" w:type="dxa"/>
            <w:vAlign w:val="bottom"/>
          </w:tcPr>
          <w:p>
            <w:pPr>
              <w:spacing w:after="0"/>
              <w:rPr>
                <w:sz w:val="1"/>
                <w:szCs w:val="1"/>
                <w:color w:val="auto"/>
              </w:rPr>
            </w:pPr>
          </w:p>
        </w:tc>
      </w:tr>
      <w:tr>
        <w:trPr>
          <w:trHeight w:val="27"/>
        </w:trPr>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120,090</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(2,443)</w:t>
            </w: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48,097</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500" w:space="720"/>
            <w:col w:w="4200"/>
          </w:cols>
          <w:pgMar w:left="240" w:top="121"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Quarterly Financial Data (Unaudited)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quarterly results for the years ended December 31, 2015 and 2014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Three months ended 2015</w:t>
            </w: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2"/>
                <w:szCs w:val="22"/>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2"/>
                <w:szCs w:val="22"/>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250"/>
        </w:trPr>
        <w:tc>
          <w:tcPr>
            <w:tcW w:w="3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Operations Management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123,853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125,048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128,043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129,397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506,341</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Analytics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122,151</w:t>
            </w:r>
          </w:p>
        </w:tc>
        <w:tc>
          <w:tcPr>
            <w:tcW w:w="0" w:type="dxa"/>
            <w:vAlign w:val="bottom"/>
          </w:tcPr>
          <w:p>
            <w:pPr>
              <w:spacing w:after="0"/>
              <w:rPr>
                <w:sz w:val="1"/>
                <w:szCs w:val="1"/>
                <w:color w:val="auto"/>
              </w:rPr>
            </w:pPr>
          </w:p>
        </w:tc>
      </w:tr>
      <w:tr>
        <w:trPr>
          <w:trHeight w:val="297"/>
        </w:trPr>
        <w:tc>
          <w:tcPr>
            <w:tcW w:w="3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Revenues, net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143,510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155,621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163,503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165,858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628,492</w:t>
            </w: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Operations Management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44,124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44,239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46,566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47,333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182,262</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Analytics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43,313</w:t>
            </w:r>
          </w:p>
        </w:tc>
        <w:tc>
          <w:tcPr>
            <w:tcW w:w="0" w:type="dxa"/>
            <w:vAlign w:val="bottom"/>
          </w:tcPr>
          <w:p>
            <w:pPr>
              <w:spacing w:after="0"/>
              <w:rPr>
                <w:sz w:val="1"/>
                <w:szCs w:val="1"/>
                <w:color w:val="auto"/>
              </w:rPr>
            </w:pPr>
          </w:p>
        </w:tc>
      </w:tr>
      <w:tr>
        <w:trPr>
          <w:trHeight w:val="237"/>
        </w:trPr>
        <w:tc>
          <w:tcPr>
            <w:tcW w:w="3960" w:type="dxa"/>
            <w:vAlign w:val="bottom"/>
          </w:tcPr>
          <w:p>
            <w:pPr>
              <w:ind w:left="40"/>
              <w:spacing w:after="0"/>
              <w:rPr>
                <w:sz w:val="20"/>
                <w:szCs w:val="20"/>
                <w:color w:val="auto"/>
              </w:rPr>
            </w:pPr>
            <w:r>
              <w:rPr>
                <w:rFonts w:ascii="Arial" w:cs="Arial" w:eastAsia="Arial" w:hAnsi="Arial"/>
                <w:sz w:val="18"/>
                <w:szCs w:val="18"/>
                <w:color w:val="auto"/>
              </w:rPr>
              <w:t>Total Gross profit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50,385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55,143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60,305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59,742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225,575</w:t>
            </w:r>
          </w:p>
        </w:tc>
        <w:tc>
          <w:tcPr>
            <w:tcW w:w="0" w:type="dxa"/>
            <w:vAlign w:val="bottom"/>
          </w:tcPr>
          <w:p>
            <w:pPr>
              <w:spacing w:after="0"/>
              <w:rPr>
                <w:sz w:val="1"/>
                <w:szCs w:val="1"/>
                <w:color w:val="auto"/>
              </w:rPr>
            </w:pPr>
          </w:p>
        </w:tc>
      </w:tr>
      <w:tr>
        <w:trPr>
          <w:trHeight w:val="67"/>
        </w:trPr>
        <w:tc>
          <w:tcPr>
            <w:tcW w:w="39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39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9,567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12,074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15,162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14,762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51,565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9"/>
        </w:trPr>
        <w:tc>
          <w:tcPr>
            <w:tcW w:w="3960" w:type="dxa"/>
            <w:vAlign w:val="bottom"/>
          </w:tcPr>
          <w:p>
            <w:pPr>
              <w:ind w:left="40"/>
              <w:spacing w:after="0"/>
              <w:rPr>
                <w:sz w:val="20"/>
                <w:szCs w:val="20"/>
                <w:color w:val="auto"/>
              </w:rPr>
            </w:pPr>
            <w:r>
              <w:rPr>
                <w:rFonts w:ascii="Arial" w:cs="Arial" w:eastAsia="Arial" w:hAnsi="Arial"/>
                <w:sz w:val="18"/>
                <w:szCs w:val="18"/>
                <w:color w:val="auto"/>
              </w:rPr>
              <w:t>Weighted-average number of shares used in</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computing earnings per share:</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33,236,259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33,417,079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33,307,312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33,231,716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33,298,104</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34,051,971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34,207,973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34,180,635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34,272,731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34,178,340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4,255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4,471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3,768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16,047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Three months ended 2014</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2"/>
                <w:szCs w:val="22"/>
                <w:color w:val="auto"/>
              </w:rPr>
            </w:pPr>
          </w:p>
        </w:tc>
        <w:tc>
          <w:tcPr>
            <w:tcW w:w="1300" w:type="dxa"/>
            <w:vAlign w:val="bottom"/>
            <w:gridSpan w:val="2"/>
          </w:tcPr>
          <w:p>
            <w:pPr>
              <w:ind w:left="30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2"/>
                <w:szCs w:val="22"/>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2"/>
                <w:szCs w:val="22"/>
                <w:color w:val="auto"/>
              </w:rPr>
            </w:pPr>
          </w:p>
        </w:tc>
        <w:tc>
          <w:tcPr>
            <w:tcW w:w="1080" w:type="dxa"/>
            <w:vAlign w:val="bottom"/>
          </w:tcPr>
          <w:p>
            <w:pPr>
              <w:jc w:val="right"/>
              <w:ind w:right="291"/>
              <w:spacing w:after="0"/>
              <w:rPr>
                <w:sz w:val="20"/>
                <w:szCs w:val="20"/>
                <w:color w:val="auto"/>
              </w:rPr>
            </w:pPr>
            <w:r>
              <w:rPr>
                <w:rFonts w:ascii="Arial" w:cs="Arial" w:eastAsia="Arial" w:hAnsi="Arial"/>
                <w:sz w:val="14"/>
                <w:szCs w:val="14"/>
                <w:b w:val="1"/>
                <w:bCs w:val="1"/>
                <w:color w:val="auto"/>
              </w:rPr>
              <w:t>Full Year</w:t>
            </w:r>
          </w:p>
        </w:tc>
        <w:tc>
          <w:tcPr>
            <w:tcW w:w="0" w:type="dxa"/>
            <w:vAlign w:val="bottom"/>
          </w:tcPr>
          <w:p>
            <w:pPr>
              <w:spacing w:after="0"/>
              <w:rPr>
                <w:sz w:val="1"/>
                <w:szCs w:val="1"/>
                <w:color w:val="auto"/>
              </w:rPr>
            </w:pPr>
          </w:p>
        </w:tc>
      </w:tr>
      <w:tr>
        <w:trPr>
          <w:trHeight w:val="230"/>
        </w:trPr>
        <w:tc>
          <w:tcPr>
            <w:tcW w:w="396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 Management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104,511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116,292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433,663</w:t>
            </w: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Analytics</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13,551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15,124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17,946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18,994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65,615</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121,797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119,738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122,457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499,278</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Operations Management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147,170</w:t>
            </w:r>
          </w:p>
        </w:tc>
        <w:tc>
          <w:tcPr>
            <w:tcW w:w="0" w:type="dxa"/>
            <w:vAlign w:val="bottom"/>
          </w:tcPr>
          <w:p>
            <w:pPr>
              <w:spacing w:after="0"/>
              <w:rPr>
                <w:sz w:val="1"/>
                <w:szCs w:val="1"/>
                <w:color w:val="auto"/>
              </w:rPr>
            </w:pP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Analytics</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19,573</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46,875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38,479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166,743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32,445</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 used in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computing earnings per share:</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32,523,490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32,812,155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32,890,475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32,986,276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32,804,606</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33,428,544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33,673,669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33,676,665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33,761,462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33,636,593</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Note:</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11,011</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2,157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6,623</w:t>
            </w:r>
          </w:p>
        </w:tc>
        <w:tc>
          <w:tcPr>
            <w:tcW w:w="0" w:type="dxa"/>
            <w:vAlign w:val="bottom"/>
          </w:tcPr>
          <w:p>
            <w:pPr>
              <w:spacing w:after="0"/>
              <w:rPr>
                <w:sz w:val="1"/>
                <w:szCs w:val="1"/>
                <w:color w:val="auto"/>
              </w:rPr>
            </w:pPr>
          </w:p>
        </w:tc>
      </w:tr>
      <w:tr>
        <w:trPr>
          <w:trHeight w:val="486"/>
        </w:trPr>
        <w:tc>
          <w:tcPr>
            <w:tcW w:w="3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F-20</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121" w:right="6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6960" w:firstLine="8"/>
        <w:spacing w:after="0" w:line="400" w:lineRule="auto"/>
        <w:tabs>
          <w:tab w:leader="none" w:pos="180" w:val="left"/>
        </w:tabs>
        <w:numPr>
          <w:ilvl w:val="0"/>
          <w:numId w:val="42"/>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Combinations, Goodwill and Intangible Assets RPM Direct LLC and RPM Data Solutions, LLC.</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20, 2015 the Company completed its acquisition of RPM Direct LLC and RPM Data Solutions, LLC (each a “Target Company” and together the “Target Companies” or “RPM”), pursuant to a Securities Purchase Agreement dated February 23, 2015 (the “Purchase Agreement”). Under the terms of the Purchase Agreement, the Company acquired all of the issued and outstanding limited liability company membership interests of the Target Companies (the “Securities”) from the security holders of each of the Target Companies.</w:t>
      </w:r>
    </w:p>
    <w:p>
      <w:pPr>
        <w:spacing w:after="0" w:line="7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initial purchase consideration consisted of $46,925 in cash including working capital adjustments of $75, contingent cash consideration of up to $23,000, as described below, and 122,131 restricted shares of common stock of the Company and certain adjustments related to the financial performance of the Target Companies for 2014. There are no adjustments to the purchase price related to the financial performance of the Target Companies for 2014.</w:t>
      </w:r>
    </w:p>
    <w:p>
      <w:pPr>
        <w:spacing w:after="0" w:line="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purchase agreement allows sellers the ability to earn up to an additional $23,000 (the “earn-out”) based on the achievement of certain performance goals by the Target Companies during the 2015 and 2016 calendar years. The earn-out has an estimated fair value of $4,060. As noted above, the Company issued 122,131 restricted shares of common stock with an aggregate fair value of $4,150 to certain key members of the Target Companies, each of whom have accepted employment positions with the Company upon consummation of the combination. The Company also granted 113,302 restricted stock units with an aggregate fair value of $3,850 to certain employees of Target Companies, who have also accepted employment with the Company. The fair value of these grants will be recognized as compensation expense over the vesting period.</w:t>
      </w:r>
    </w:p>
    <w:p>
      <w:pPr>
        <w:spacing w:after="0" w:line="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RPM specializes in analyzing large consumer data sets to segment populations, predict response rates, forecast customer lifetime value and design targeted, multi-channel marketing campaigns. RPM has focused on the insurance industry, including Property &amp; Casualty ("P&amp;C"), life and health, since its inception in 2001. The quantity and combination of data attributes managed by RPM drives optimal, data-driven decision-making and enables it to build models that analyze prospects individually. RPM employs proprietary predictive analytics and domain-specific pattern recognition algorithms to deliver results through a flexible, on-demand service model. Accordingly, the Company paid a premium for the acquisition which is being reflected in the goodwill recognized from the purchase price allocation of the total consideration paid by the Company.</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three months ended December 31, 2015, the Company finalized its purchase price allocation for the acquisition, which is as follows:</w:t>
      </w:r>
    </w:p>
    <w:p>
      <w:pPr>
        <w:spacing w:after="0" w:line="390"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r>
      <w:tr>
        <w:trPr>
          <w:trHeight w:val="196"/>
        </w:trPr>
        <w:tc>
          <w:tcPr>
            <w:tcW w:w="68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tangible assets</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Identifiable intangible assets: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13,260</w:t>
            </w: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Trade Names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7"/>
        </w:trPr>
        <w:tc>
          <w:tcPr>
            <w:tcW w:w="6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33,155</w:t>
            </w: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50,985</w:t>
            </w:r>
          </w:p>
        </w:tc>
      </w:tr>
      <w:tr>
        <w:trPr>
          <w:trHeight w:val="27"/>
        </w:trPr>
        <w:tc>
          <w:tcPr>
            <w:tcW w:w="6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147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Includes amount of $4,125 deposited in escrow accounts in connection with the acquisition.</w:t>
      </w:r>
    </w:p>
    <w:p>
      <w:pPr>
        <w:spacing w:after="0" w:line="10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customer relationships from the RPM acquisition are being amortized over the weighted average useful life of 5.7 years. Similarly, trade-names are being amortized over a useful life of 3 years, developed technology are being amortized over a useful life of 5 years and non-compete agreements are being amortized over a useful life of 4.6 years.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year ended December 31, 2015, the Company recognized $303 of acquisition related costs. Such amounts are included in general and administrative expenses in the consolidated statements of income. The Company’s results of operations for the year ended December 31, 2015 includes revenues of $32,818 for RPM since March 20, 2015, the date on which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acquisition was consummated. It is not practicable to disclose the net earnings since management does not allocate or evaluate operating expenses and income taxes to its domestic entities.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 of goodwill recognized from the RPM acquisition is deductible for tax purposes.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details of the Company’s goodwill balance as of December 31, 2015:</w:t>
      </w:r>
    </w:p>
    <w:p>
      <w:pPr>
        <w:spacing w:after="0" w:line="338"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Operations Management</w:t>
            </w:r>
          </w:p>
        </w:tc>
        <w:tc>
          <w:tcPr>
            <w:tcW w:w="360" w:type="dxa"/>
            <w:vAlign w:val="bottom"/>
          </w:tcPr>
          <w:p>
            <w:pPr>
              <w:spacing w:after="0"/>
              <w:rPr>
                <w:sz w:val="16"/>
                <w:szCs w:val="16"/>
                <w:color w:val="auto"/>
              </w:rPr>
            </w:pPr>
          </w:p>
        </w:tc>
        <w:tc>
          <w:tcPr>
            <w:tcW w:w="1000" w:type="dxa"/>
            <w:vAlign w:val="bottom"/>
            <w:gridSpan w:val="2"/>
          </w:tcPr>
          <w:p>
            <w:pPr>
              <w:ind w:left="260"/>
              <w:spacing w:after="0"/>
              <w:rPr>
                <w:sz w:val="20"/>
                <w:szCs w:val="20"/>
                <w:color w:val="auto"/>
              </w:rPr>
            </w:pPr>
            <w:r>
              <w:rPr>
                <w:rFonts w:ascii="Arial" w:cs="Arial" w:eastAsia="Arial" w:hAnsi="Arial"/>
                <w:sz w:val="14"/>
                <w:szCs w:val="14"/>
                <w:b w:val="1"/>
                <w:bCs w:val="1"/>
                <w:color w:val="auto"/>
              </w:rPr>
              <w:t>Analytics</w:t>
            </w:r>
          </w:p>
        </w:tc>
        <w:tc>
          <w:tcPr>
            <w:tcW w:w="560" w:type="dxa"/>
            <w:vAlign w:val="bottom"/>
          </w:tcPr>
          <w:p>
            <w:pPr>
              <w:spacing w:after="0"/>
              <w:rPr>
                <w:sz w:val="16"/>
                <w:szCs w:val="16"/>
                <w:color w:val="auto"/>
              </w:rPr>
            </w:pPr>
          </w:p>
        </w:tc>
        <w:tc>
          <w:tcPr>
            <w:tcW w:w="1140" w:type="dxa"/>
            <w:vAlign w:val="bottom"/>
          </w:tcPr>
          <w:p>
            <w:pPr>
              <w:jc w:val="right"/>
              <w:ind w:right="12"/>
              <w:spacing w:after="0"/>
              <w:rPr>
                <w:sz w:val="20"/>
                <w:szCs w:val="20"/>
                <w:color w:val="auto"/>
              </w:rPr>
            </w:pPr>
            <w:r>
              <w:rPr>
                <w:rFonts w:ascii="Arial" w:cs="Arial" w:eastAsia="Arial" w:hAnsi="Arial"/>
                <w:sz w:val="14"/>
                <w:szCs w:val="14"/>
                <w:b w:val="1"/>
                <w:bCs w:val="1"/>
                <w:color w:val="auto"/>
              </w:rPr>
              <w:t>Total</w:t>
            </w:r>
          </w:p>
        </w:tc>
      </w:tr>
      <w:tr>
        <w:trPr>
          <w:trHeight w:val="250"/>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2014</w:t>
            </w:r>
          </w:p>
        </w:tc>
        <w:tc>
          <w:tcPr>
            <w:tcW w:w="560" w:type="dxa"/>
            <w:vAlign w:val="bottom"/>
            <w:tcBorders>
              <w:top w:val="single" w:sz="8" w:color="auto"/>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107,407</w:t>
            </w:r>
          </w:p>
        </w:tc>
      </w:tr>
      <w:tr>
        <w:trPr>
          <w:trHeight w:val="270"/>
        </w:trPr>
        <w:tc>
          <w:tcPr>
            <w:tcW w:w="3900" w:type="dxa"/>
            <w:vAlign w:val="bottom"/>
          </w:tcPr>
          <w:p>
            <w:pPr>
              <w:ind w:left="380"/>
              <w:spacing w:after="0" w:line="270" w:lineRule="exact"/>
              <w:rPr>
                <w:sz w:val="20"/>
                <w:szCs w:val="20"/>
                <w:color w:val="auto"/>
              </w:rPr>
            </w:pPr>
            <w:r>
              <w:rPr>
                <w:rFonts w:ascii="Arial" w:cs="Arial" w:eastAsia="Arial" w:hAnsi="Arial"/>
                <w:sz w:val="18"/>
                <w:szCs w:val="18"/>
                <w:color w:val="auto"/>
                <w:w w:val="94"/>
              </w:rPr>
              <w:t xml:space="preserve">Goodwill arising from Blue Slate acquisition </w:t>
            </w:r>
            <w:r>
              <w:rPr>
                <w:rFonts w:ascii="Arial" w:cs="Arial" w:eastAsia="Arial" w:hAnsi="Arial"/>
                <w:sz w:val="25"/>
                <w:szCs w:val="25"/>
                <w:color w:val="auto"/>
                <w:w w:val="94"/>
                <w:vertAlign w:val="superscript"/>
              </w:rPr>
              <w:t>(1)</w:t>
            </w:r>
          </w:p>
        </w:tc>
        <w:tc>
          <w:tcPr>
            <w:tcW w:w="56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4,554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4,554</w:t>
            </w: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arising from Overland acquisition</w:t>
            </w: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28,667</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Currency translation adjustments</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w:t>
            </w:r>
          </w:p>
        </w:tc>
      </w:tr>
      <w:tr>
        <w:trPr>
          <w:trHeight w:val="27"/>
        </w:trPr>
        <w:tc>
          <w:tcPr>
            <w:tcW w:w="3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Allocation on sale of a business unit </w:t>
            </w:r>
            <w:r>
              <w:rPr>
                <w:rFonts w:ascii="Arial" w:cs="Arial" w:eastAsia="Arial" w:hAnsi="Arial"/>
                <w:sz w:val="21"/>
                <w:szCs w:val="21"/>
                <w:color w:val="auto"/>
                <w:vertAlign w:val="superscript"/>
              </w:rPr>
              <w:t>(2)</w:t>
            </w:r>
          </w:p>
        </w:tc>
        <w:tc>
          <w:tcPr>
            <w:tcW w:w="5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3900" w:type="dxa"/>
            <w:vAlign w:val="bottom"/>
          </w:tcPr>
          <w:p>
            <w:pPr>
              <w:ind w:left="20"/>
              <w:spacing w:after="0"/>
              <w:rPr>
                <w:sz w:val="20"/>
                <w:szCs w:val="20"/>
                <w:color w:val="auto"/>
              </w:rPr>
            </w:pPr>
            <w:r>
              <w:rPr>
                <w:rFonts w:ascii="Arial" w:cs="Arial" w:eastAsia="Arial" w:hAnsi="Arial"/>
                <w:sz w:val="18"/>
                <w:szCs w:val="18"/>
                <w:color w:val="auto"/>
              </w:rPr>
              <w:t>Balance at December 31, 2014</w:t>
            </w:r>
          </w:p>
        </w:tc>
        <w:tc>
          <w:tcPr>
            <w:tcW w:w="56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122,814</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139,599</w:t>
            </w:r>
          </w:p>
        </w:tc>
      </w:tr>
      <w:tr>
        <w:trPr>
          <w:trHeight w:val="27"/>
        </w:trPr>
        <w:tc>
          <w:tcPr>
            <w:tcW w:w="3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arising from RPM acquisition</w:t>
            </w:r>
          </w:p>
        </w:tc>
        <w:tc>
          <w:tcPr>
            <w:tcW w:w="5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33,155</w:t>
            </w:r>
          </w:p>
        </w:tc>
      </w:tr>
      <w:tr>
        <w:trPr>
          <w:trHeight w:val="243"/>
        </w:trPr>
        <w:tc>
          <w:tcPr>
            <w:tcW w:w="3900" w:type="dxa"/>
            <w:vAlign w:val="bottom"/>
          </w:tcPr>
          <w:p>
            <w:pPr>
              <w:ind w:left="380"/>
              <w:spacing w:after="0"/>
              <w:rPr>
                <w:sz w:val="20"/>
                <w:szCs w:val="20"/>
                <w:color w:val="auto"/>
              </w:rPr>
            </w:pPr>
            <w:r>
              <w:rPr>
                <w:rFonts w:ascii="Arial" w:cs="Arial" w:eastAsia="Arial" w:hAnsi="Arial"/>
                <w:sz w:val="18"/>
                <w:szCs w:val="18"/>
                <w:color w:val="auto"/>
              </w:rPr>
              <w:t>Currency translation adjustments</w:t>
            </w: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w:t>
            </w:r>
          </w:p>
        </w:tc>
      </w:tr>
      <w:tr>
        <w:trPr>
          <w:trHeight w:val="27"/>
        </w:trPr>
        <w:tc>
          <w:tcPr>
            <w:tcW w:w="39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121,595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171,535</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660" w:hanging="652"/>
        <w:spacing w:after="0" w:line="255" w:lineRule="auto"/>
        <w:tabs>
          <w:tab w:leader="none" w:pos="66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Goodwill arising from the Company's acquisition of Blue Slate Solutions, LLC (“Blue Slate”) in 2014 was reclassified into Operations Management segment because of Company's change in segment reporting.</w:t>
      </w:r>
    </w:p>
    <w:p>
      <w:pPr>
        <w:spacing w:after="0" w:line="1" w:lineRule="exact"/>
        <w:rPr>
          <w:rFonts w:ascii="Arial" w:cs="Arial" w:eastAsia="Arial" w:hAnsi="Arial"/>
          <w:sz w:val="16"/>
          <w:szCs w:val="16"/>
          <w:i w:val="1"/>
          <w:iCs w:val="1"/>
          <w:color w:val="auto"/>
        </w:rPr>
      </w:pPr>
    </w:p>
    <w:p>
      <w:pPr>
        <w:ind w:left="660" w:right="120" w:hanging="652"/>
        <w:spacing w:after="0" w:line="257" w:lineRule="auto"/>
        <w:tabs>
          <w:tab w:leader="none" w:pos="66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Relates to the sale of a business unit (acquired with the acquisition of Business Process Outsourcing Inc.). The net loss recognized from the sale of this business unit is $149 and is included under “other income, net” in the consolidated statements of income for the year ended December 31, 2014.</w:t>
      </w:r>
    </w:p>
    <w:p>
      <w:pPr>
        <w:spacing w:after="0" w:line="18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on the results of the impairment testing performed during the year ended December 31, 2015, the Company’s goodwill was not impaired. The Company makes every reasonable effort to ensure that it accurately estimates the fair value of the reporting units. However, future changes in the assumptions used to make these estimates could result in the recording of an impairment loss.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As of December 31, 2015</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3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Carrying</w:t>
            </w:r>
          </w:p>
        </w:tc>
      </w:tr>
      <w:tr>
        <w:trPr>
          <w:trHeight w:val="192"/>
        </w:trPr>
        <w:tc>
          <w:tcPr>
            <w:tcW w:w="3400" w:type="dxa"/>
            <w:vAlign w:val="bottom"/>
            <w:tcBorders>
              <w:bottom w:val="single" w:sz="8" w:color="CCEEFF"/>
            </w:tcBorders>
          </w:tcPr>
          <w:p>
            <w:pPr>
              <w:spacing w:after="0"/>
              <w:rPr>
                <w:sz w:val="16"/>
                <w:szCs w:val="16"/>
                <w:color w:val="auto"/>
              </w:rPr>
            </w:pPr>
          </w:p>
        </w:tc>
        <w:tc>
          <w:tcPr>
            <w:tcW w:w="1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Carrying Amount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64,816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40,601</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2,789</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680</w:t>
            </w:r>
          </w:p>
        </w:tc>
      </w:tr>
      <w:tr>
        <w:trPr>
          <w:trHeight w:val="27"/>
        </w:trPr>
        <w:tc>
          <w:tcPr>
            <w:tcW w:w="3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7,871</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2,045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594</w:t>
            </w:r>
          </w:p>
        </w:tc>
      </w:tr>
      <w:tr>
        <w:trPr>
          <w:trHeight w:val="27"/>
        </w:trPr>
        <w:tc>
          <w:tcPr>
            <w:tcW w:w="3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8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2,987</w:t>
            </w:r>
          </w:p>
        </w:tc>
      </w:tr>
      <w:tr>
        <w:trPr>
          <w:trHeight w:val="237"/>
        </w:trPr>
        <w:tc>
          <w:tcPr>
            <w:tcW w:w="34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87,554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(34,821)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52,733</w:t>
            </w:r>
          </w:p>
        </w:tc>
      </w:tr>
      <w:tr>
        <w:trPr>
          <w:trHeight w:val="27"/>
        </w:trPr>
        <w:tc>
          <w:tcPr>
            <w:tcW w:w="3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3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96"/>
        </w:trPr>
        <w:tc>
          <w:tcPr>
            <w:tcW w:w="3400" w:type="dxa"/>
            <w:vAlign w:val="bottom"/>
          </w:tcPr>
          <w:p>
            <w:pPr>
              <w:spacing w:after="0"/>
              <w:rPr>
                <w:sz w:val="24"/>
                <w:szCs w:val="24"/>
                <w:color w:val="auto"/>
              </w:rPr>
            </w:pPr>
          </w:p>
        </w:tc>
        <w:tc>
          <w:tcPr>
            <w:tcW w:w="2000" w:type="dxa"/>
            <w:vAlign w:val="bottom"/>
            <w:gridSpan w:val="2"/>
          </w:tcPr>
          <w:p>
            <w:pPr>
              <w:jc w:val="right"/>
              <w:ind w:right="250"/>
              <w:spacing w:after="0"/>
              <w:rPr>
                <w:sz w:val="20"/>
                <w:szCs w:val="20"/>
                <w:color w:val="auto"/>
              </w:rPr>
            </w:pPr>
            <w:r>
              <w:rPr>
                <w:rFonts w:ascii="Arial" w:cs="Arial" w:eastAsia="Arial" w:hAnsi="Arial"/>
                <w:sz w:val="18"/>
                <w:szCs w:val="18"/>
                <w:color w:val="auto"/>
              </w:rPr>
              <w:t>F-22</w:t>
            </w: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As of December 31, 2014</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5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474"/>
              <w:spacing w:after="0" w:line="153" w:lineRule="exact"/>
              <w:rPr>
                <w:sz w:val="20"/>
                <w:szCs w:val="20"/>
                <w:color w:val="auto"/>
              </w:rPr>
            </w:pPr>
            <w:r>
              <w:rPr>
                <w:rFonts w:ascii="Arial" w:cs="Arial" w:eastAsia="Arial" w:hAnsi="Arial"/>
                <w:sz w:val="14"/>
                <w:szCs w:val="14"/>
                <w:b w:val="1"/>
                <w:bCs w:val="1"/>
                <w:color w:val="auto"/>
              </w:rPr>
              <w:t>Gross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3"/>
                <w:szCs w:val="13"/>
                <w:color w:val="auto"/>
              </w:rPr>
            </w:pPr>
          </w:p>
        </w:tc>
        <w:tc>
          <w:tcPr>
            <w:tcW w:w="120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Net Carrying</w:t>
            </w:r>
          </w:p>
        </w:tc>
      </w:tr>
      <w:tr>
        <w:trPr>
          <w:trHeight w:val="192"/>
        </w:trPr>
        <w:tc>
          <w:tcPr>
            <w:tcW w:w="5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Carrying Amount</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51,598</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34,762</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923</w:t>
            </w:r>
          </w:p>
        </w:tc>
      </w:tr>
      <w:tr>
        <w:trPr>
          <w:trHeight w:val="27"/>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8,412</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w:t>
            </w:r>
          </w:p>
        </w:tc>
      </w:tr>
      <w:tr>
        <w:trPr>
          <w:trHeight w:val="27"/>
        </w:trPr>
        <w:tc>
          <w:tcPr>
            <w:tcW w:w="5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2,840</w:t>
            </w:r>
          </w:p>
        </w:tc>
      </w:tr>
      <w:tr>
        <w:trPr>
          <w:trHeight w:val="237"/>
        </w:trPr>
        <w:tc>
          <w:tcPr>
            <w:tcW w:w="52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71,694</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46,979</w:t>
            </w:r>
          </w:p>
        </w:tc>
      </w:tr>
      <w:tr>
        <w:trPr>
          <w:trHeight w:val="27"/>
        </w:trPr>
        <w:tc>
          <w:tcPr>
            <w:tcW w:w="5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Amortization expense for the years ended December 31, 2015, 2014 and 2013 was $10,226, $6,623 and $6,300, respectively. The remaining weighted average life of intangible assets was 6.3 years for customer relationships, 3.4 years for leasehold benefits, 4.5 years for developed technology, 3.5 years for non-compete agreements and 6.0 years for trade names and trademarks excluding indefinite life trade names and trademarks. The Company had $900 of indefinite lived trade names and trademarks as of December 31, 2015 and 2014.</w:t>
      </w:r>
    </w:p>
    <w:p>
      <w:pPr>
        <w:spacing w:after="0" w:line="125"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Estimated amortization of intangible assets during the year ending December 31,</w:t>
            </w:r>
          </w:p>
        </w:tc>
        <w:tc>
          <w:tcPr>
            <w:tcW w:w="17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7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2017</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10,792</w:t>
            </w:r>
          </w:p>
        </w:tc>
      </w:tr>
      <w:tr>
        <w:trPr>
          <w:trHeight w:val="27"/>
        </w:trPr>
        <w:tc>
          <w:tcPr>
            <w:tcW w:w="6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176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2019</w:t>
            </w:r>
          </w:p>
        </w:tc>
        <w:tc>
          <w:tcPr>
            <w:tcW w:w="17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9,707</w:t>
            </w:r>
          </w:p>
        </w:tc>
      </w:tr>
      <w:tr>
        <w:trPr>
          <w:trHeight w:val="27"/>
        </w:trPr>
        <w:tc>
          <w:tcPr>
            <w:tcW w:w="6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7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9,996</w:t>
            </w:r>
          </w:p>
        </w:tc>
      </w:tr>
      <w:tr>
        <w:trPr>
          <w:trHeight w:val="27"/>
        </w:trPr>
        <w:tc>
          <w:tcPr>
            <w:tcW w:w="63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57" w:lineRule="exact"/>
        <w:rPr>
          <w:sz w:val="20"/>
          <w:szCs w:val="20"/>
          <w:color w:val="auto"/>
        </w:rPr>
      </w:pPr>
    </w:p>
    <w:p>
      <w:pPr>
        <w:ind w:left="640" w:hanging="321"/>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63"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are unobservable.</w:t>
      </w:r>
    </w:p>
    <w:p>
      <w:pPr>
        <w:spacing w:after="0" w:line="225"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December 31, 2015 and 2014. The table excludes short-term investments, accounts receivable, accounts payable and accrued expenses for which fair values approximate their carrying amounts.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assets and liabilities measured at fair value on recurring basis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169545</wp:posOffset>
            </wp:positionV>
            <wp:extent cx="346456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18" w:lineRule="exact"/>
        <w:rPr>
          <w:sz w:val="20"/>
          <w:szCs w:val="20"/>
          <w:color w:val="auto"/>
        </w:rPr>
      </w:pPr>
    </w:p>
    <w:tbl>
      <w:tblPr>
        <w:tblLayout w:type="fixed"/>
        <w:tblInd w:w="1500" w:type="dxa"/>
        <w:tblCellMar>
          <w:top w:w="0" w:type="dxa"/>
          <w:left w:w="0" w:type="dxa"/>
          <w:bottom w:w="0" w:type="dxa"/>
          <w:right w:w="0" w:type="dxa"/>
        </w:tblCellMar>
      </w:tblPr>
      <w:tr>
        <w:trPr>
          <w:trHeight w:val="192"/>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28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5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Money market and mutual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118,478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118,478</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r>
      <w:tr>
        <w:trPr>
          <w:trHeight w:val="237"/>
        </w:trPr>
        <w:tc>
          <w:tcPr>
            <w:tcW w:w="29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118,478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122,662</w:t>
            </w:r>
          </w:p>
        </w:tc>
      </w:tr>
      <w:tr>
        <w:trPr>
          <w:trHeight w:val="67"/>
        </w:trPr>
        <w:tc>
          <w:tcPr>
            <w:tcW w:w="29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2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2,358</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earn-out consideration</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37"/>
        </w:trPr>
        <w:tc>
          <w:tcPr>
            <w:tcW w:w="29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6,418</w:t>
            </w:r>
          </w:p>
        </w:tc>
      </w:tr>
      <w:tr>
        <w:trPr>
          <w:trHeight w:val="67"/>
        </w:trPr>
        <w:tc>
          <w:tcPr>
            <w:tcW w:w="29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1"/>
        </w:trPr>
        <w:tc>
          <w:tcPr>
            <w:tcW w:w="296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r>
      <w:tr>
        <w:trPr>
          <w:trHeight w:val="244"/>
        </w:trPr>
        <w:tc>
          <w:tcPr>
            <w:tcW w:w="296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2014</w:t>
            </w:r>
          </w:p>
        </w:tc>
        <w:tc>
          <w:tcPr>
            <w:tcW w:w="28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1"/>
                <w:szCs w:val="21"/>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1"/>
                <w:szCs w:val="21"/>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21"/>
                <w:szCs w:val="21"/>
                <w:color w:val="auto"/>
              </w:rPr>
            </w:pPr>
          </w:p>
        </w:tc>
        <w:tc>
          <w:tcPr>
            <w:tcW w:w="980" w:type="dxa"/>
            <w:vAlign w:val="bottom"/>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50"/>
        </w:trPr>
        <w:tc>
          <w:tcPr>
            <w:tcW w:w="2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Money market and mutual funds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127,347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127,347</w:t>
            </w:r>
          </w:p>
        </w:tc>
      </w:tr>
      <w:tr>
        <w:trPr>
          <w:trHeight w:val="27"/>
        </w:trPr>
        <w:tc>
          <w:tcPr>
            <w:tcW w:w="2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4,579</w:t>
            </w:r>
          </w:p>
        </w:tc>
      </w:tr>
      <w:tr>
        <w:trPr>
          <w:trHeight w:val="237"/>
        </w:trPr>
        <w:tc>
          <w:tcPr>
            <w:tcW w:w="296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127,347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131,926</w:t>
            </w:r>
          </w:p>
        </w:tc>
      </w:tr>
      <w:tr>
        <w:trPr>
          <w:trHeight w:val="67"/>
        </w:trPr>
        <w:tc>
          <w:tcPr>
            <w:tcW w:w="29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29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296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2,961</w:t>
            </w:r>
          </w:p>
        </w:tc>
      </w:tr>
      <w:tr>
        <w:trPr>
          <w:trHeight w:val="27"/>
        </w:trPr>
        <w:tc>
          <w:tcPr>
            <w:tcW w:w="2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2,961</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See Note 7 for further details.</w:t>
      </w:r>
    </w:p>
    <w:p>
      <w:pPr>
        <w:spacing w:after="0" w:line="188"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7"/>
          <w:szCs w:val="17"/>
          <w:i w:val="1"/>
          <w:iCs w:val="1"/>
          <w:color w:val="auto"/>
        </w:rPr>
        <w:t xml:space="preserve">Fair value of earn-out consideration: </w:t>
      </w:r>
      <w:r>
        <w:rPr>
          <w:rFonts w:ascii="Arial" w:cs="Arial" w:eastAsia="Arial" w:hAnsi="Arial"/>
          <w:sz w:val="20"/>
          <w:szCs w:val="20"/>
          <w:color w:val="auto"/>
        </w:rPr>
        <w:t>T</w:t>
      </w:r>
      <w:r>
        <w:rPr>
          <w:rFonts w:ascii="Arial" w:cs="Arial" w:eastAsia="Arial" w:hAnsi="Arial"/>
          <w:sz w:val="17"/>
          <w:szCs w:val="17"/>
          <w:color w:val="auto"/>
        </w:rPr>
        <w:t>he fair value measurement of earn-out consideration is determined using Level 3 inputs. The Company’s earn-out consideration represents a component of the total purchase consideration for its acquisition of RPM. The measurement is calculated using unobservable inputs based on the Company’s own assessment of achievement of certain performance goals by RPM during the 2015 and 2016 calendar years. The Company estimated the fair value of the earn out consideration to be $4,060, utilizing a Monte Carlo simulation. The Monte-Carlo simulation model simulates a range of possible performance levels and estimates the probabilities of the potential payouts. This model also incorporates a range of assumptions like discount rate, risk-free rate, assumed cost of debt, etc. See Note 5 for further details.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exchanges rates. The Company’s derivative financial instruments are largely forward foreign exchange contracts that are designated effective and that qualify as cash flow hedges under ASC No. 815. The Company had outstanding cash flow hedges totaling $230,894 as of December 31, 2015 and $218,036 as of December 31, 2014. The fair value of these cash flow hedges is included in the other comprehensive loss on the Company's consolidated balance sheet.</w:t>
      </w:r>
    </w:p>
    <w:p>
      <w:pPr>
        <w:spacing w:after="0" w:line="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No. 815. Changes in the fair value of these derivatives are recognized in the consolidated statements of income and are included in foreign exchange gain/loss. The Company’s primary exchange rate exposure is with the Indian Rupee, the U.K. pound sterling and the Philippine peso. The Company also has exposure to Colombian pesos, Czech Koruna,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Euro, South African ZAR and other local currencies in which it operates. Outstanding foreign currency forward contracts amounted to $61,641 and GBP 13,256 as of December 31, 2015 and amounted to $57,982 and GBP 10,889 as of December 31, 2014.</w:t>
      </w:r>
    </w:p>
    <w:p>
      <w:pPr>
        <w:spacing w:after="0" w:line="170"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estimates that approximately $1,438 of net derivative losses included in accumulated other comprehensive loss (“AOCI”) could be reclassified into earnings within the next twelve months based on exchange rates prevailing as of December 31, 2015. At December 31, 2015, the maximum outstanding term of the cash flow hedges was forty-five months.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hedging positions that are discontinued because the forecasted transaction is not expected to occur by the end of the originally specified period, any related derivative amounts recorded in equity are reclassified to earnings. There were no such significant amounts of gains or losses were reclassified from AOCI into earnings during the years ended December 31, 2015 and 2014.</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the fair value of the foreign currency exchange contracts and their location on the consolidated financial statements: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0" w:lineRule="exact"/>
        <w:rPr>
          <w:sz w:val="20"/>
          <w:szCs w:val="20"/>
          <w:color w:val="auto"/>
        </w:rPr>
      </w:pPr>
    </w:p>
    <w:p>
      <w:pPr>
        <w:spacing w:after="0" w:line="246"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2015</w:t>
            </w:r>
          </w:p>
        </w:tc>
        <w:tc>
          <w:tcPr>
            <w:tcW w:w="13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8"/>
              </w:rPr>
              <w:t>December 31, 2014</w:t>
            </w:r>
          </w:p>
        </w:tc>
      </w:tr>
      <w:tr>
        <w:trPr>
          <w:trHeight w:val="250"/>
        </w:trPr>
        <w:tc>
          <w:tcPr>
            <w:tcW w:w="6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w:t>
            </w:r>
          </w:p>
        </w:tc>
        <w:tc>
          <w:tcPr>
            <w:tcW w:w="5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500" w:type="dxa"/>
            <w:vAlign w:val="bottom"/>
          </w:tcPr>
          <w:p>
            <w:pPr>
              <w:jc w:val="right"/>
              <w:ind w:right="3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1"/>
                <w:szCs w:val="21"/>
                <w:color w:val="auto"/>
              </w:rPr>
            </w:pP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1,243</w:t>
            </w:r>
          </w:p>
        </w:tc>
      </w:tr>
      <w:tr>
        <w:trPr>
          <w:trHeight w:val="27"/>
        </w:trPr>
        <w:tc>
          <w:tcPr>
            <w:tcW w:w="6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500" w:type="dxa"/>
            <w:vAlign w:val="bottom"/>
          </w:tcPr>
          <w:p>
            <w:pPr>
              <w:jc w:val="right"/>
              <w:ind w:right="3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1"/>
                <w:szCs w:val="21"/>
                <w:color w:val="auto"/>
              </w:rPr>
            </w:pP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3,193</w:t>
            </w:r>
          </w:p>
        </w:tc>
      </w:tr>
      <w:tr>
        <w:trPr>
          <w:trHeight w:val="27"/>
        </w:trPr>
        <w:tc>
          <w:tcPr>
            <w:tcW w:w="6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500" w:type="dxa"/>
            <w:vAlign w:val="bottom"/>
          </w:tcPr>
          <w:p>
            <w:pPr>
              <w:jc w:val="right"/>
              <w:ind w:right="3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2,385</w:t>
            </w:r>
          </w:p>
        </w:tc>
      </w:tr>
      <w:tr>
        <w:trPr>
          <w:trHeight w:val="27"/>
        </w:trPr>
        <w:tc>
          <w:tcPr>
            <w:tcW w:w="6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 current liabilities:</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500" w:type="dxa"/>
            <w:vAlign w:val="bottom"/>
          </w:tcPr>
          <w:p>
            <w:pPr>
              <w:jc w:val="right"/>
              <w:ind w:right="314"/>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21"/>
                <w:szCs w:val="21"/>
                <w:color w:val="auto"/>
              </w:rPr>
            </w:pPr>
          </w:p>
        </w:tc>
        <w:tc>
          <w:tcPr>
            <w:tcW w:w="480" w:type="dxa"/>
            <w:vAlign w:val="bottom"/>
          </w:tcPr>
          <w:p>
            <w:pPr>
              <w:jc w:val="right"/>
              <w:ind w:right="29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576</w:t>
            </w:r>
          </w:p>
        </w:tc>
      </w:tr>
    </w:tbl>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00" w:lineRule="exact"/>
        <w:rPr>
          <w:sz w:val="20"/>
          <w:szCs w:val="20"/>
          <w:color w:val="auto"/>
        </w:rPr>
      </w:pPr>
    </w:p>
    <w:p>
      <w:pPr>
        <w:spacing w:after="0" w:line="246" w:lineRule="exact"/>
        <w:rPr>
          <w:sz w:val="20"/>
          <w:szCs w:val="20"/>
          <w:color w:val="auto"/>
        </w:rPr>
      </w:pPr>
    </w:p>
    <w:p>
      <w:pPr>
        <w:ind w:left="7840"/>
        <w:spacing w:after="0"/>
        <w:tabs>
          <w:tab w:leader="none" w:pos="9320" w:val="left"/>
        </w:tabs>
        <w:rPr>
          <w:sz w:val="20"/>
          <w:szCs w:val="20"/>
          <w:color w:val="auto"/>
        </w:rPr>
      </w:pPr>
      <w:r>
        <w:rPr>
          <w:rFonts w:ascii="Arial" w:cs="Arial" w:eastAsia="Arial" w:hAnsi="Arial"/>
          <w:sz w:val="14"/>
          <w:szCs w:val="14"/>
          <w:b w:val="1"/>
          <w:bCs w:val="1"/>
          <w:color w:val="auto"/>
        </w:rPr>
        <w:t>December 31, 2015</w:t>
      </w:r>
      <w:r>
        <w:rPr>
          <w:sz w:val="20"/>
          <w:szCs w:val="20"/>
          <w:color w:val="auto"/>
        </w:rPr>
        <w:tab/>
      </w:r>
      <w:r>
        <w:rPr>
          <w:rFonts w:ascii="Arial" w:cs="Arial" w:eastAsia="Arial" w:hAnsi="Arial"/>
          <w:sz w:val="12"/>
          <w:szCs w:val="12"/>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23495</wp:posOffset>
            </wp:positionV>
            <wp:extent cx="622617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26175" cy="180340"/>
                    </a:xfrm>
                    <a:prstGeom prst="rect">
                      <a:avLst/>
                    </a:prstGeom>
                    <a:noFill/>
                  </pic:spPr>
                </pic:pic>
              </a:graphicData>
            </a:graphic>
          </wp:anchor>
        </w:drawing>
      </w:r>
    </w:p>
    <w:p>
      <w:pPr>
        <w:spacing w:after="0" w:line="2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Other current assets:</w:t>
      </w:r>
    </w:p>
    <w:p>
      <w:pPr>
        <w:spacing w:after="0" w:line="81" w:lineRule="exact"/>
        <w:rPr>
          <w:sz w:val="20"/>
          <w:szCs w:val="20"/>
          <w:color w:val="auto"/>
        </w:rPr>
      </w:pPr>
    </w:p>
    <w:p>
      <w:pPr>
        <w:ind w:left="1180"/>
        <w:spacing w:after="0"/>
        <w:tabs>
          <w:tab w:leader="none" w:pos="7740" w:val="left"/>
          <w:tab w:leader="none" w:pos="8740" w:val="left"/>
          <w:tab w:leader="none" w:pos="9240" w:val="left"/>
          <w:tab w:leader="none" w:pos="1024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345</w:t>
        <w:tab/>
        <w:t>$</w:t>
      </w:r>
      <w:r>
        <w:rPr>
          <w:sz w:val="20"/>
          <w:szCs w:val="20"/>
          <w:color w:val="auto"/>
        </w:rPr>
        <w:tab/>
      </w:r>
      <w:r>
        <w:rPr>
          <w:rFonts w:ascii="Arial" w:cs="Arial" w:eastAsia="Arial" w:hAnsi="Arial"/>
          <w:sz w:val="15"/>
          <w:szCs w:val="15"/>
          <w:color w:val="auto"/>
        </w:rPr>
        <w:t>143</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the effect of foreign currency exchange contracts on the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and 2014:</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vMerge w:val="restart"/>
          </w:tcPr>
          <w:p>
            <w:pPr>
              <w:jc w:val="center"/>
              <w:ind w:left="305"/>
              <w:spacing w:after="0"/>
              <w:rPr>
                <w:sz w:val="20"/>
                <w:szCs w:val="20"/>
                <w:color w:val="auto"/>
              </w:rPr>
            </w:pPr>
            <w:r>
              <w:rPr>
                <w:rFonts w:ascii="Arial" w:cs="Arial" w:eastAsia="Arial" w:hAnsi="Arial"/>
                <w:sz w:val="14"/>
                <w:szCs w:val="14"/>
                <w:b w:val="1"/>
                <w:bCs w:val="1"/>
                <w:color w:val="auto"/>
                <w:w w:val="92"/>
              </w:rPr>
              <w:t>Location of</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Gain/(Loss)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vMerge w:val="continue"/>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ind w:left="8"/>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center"/>
              <w:ind w:left="285"/>
              <w:spacing w:after="0" w:line="149" w:lineRule="exact"/>
              <w:rPr>
                <w:sz w:val="20"/>
                <w:szCs w:val="20"/>
                <w:color w:val="auto"/>
              </w:rPr>
            </w:pPr>
            <w:r>
              <w:rPr>
                <w:rFonts w:ascii="Arial" w:cs="Arial" w:eastAsia="Arial" w:hAnsi="Arial"/>
                <w:sz w:val="14"/>
                <w:szCs w:val="14"/>
                <w:b w:val="1"/>
                <w:bCs w:val="1"/>
                <w:color w:val="auto"/>
                <w:w w:val="93"/>
              </w:rPr>
              <w:t>Gain/(Loss)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91"/>
              </w:rPr>
              <w:t>Income on</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center"/>
              <w:ind w:left="305"/>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Derivative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gridSpan w:val="3"/>
            <w:vMerge w:val="restart"/>
          </w:tcPr>
          <w:p>
            <w:pPr>
              <w:jc w:val="center"/>
              <w:ind w:left="535"/>
              <w:spacing w:after="0"/>
              <w:rPr>
                <w:sz w:val="20"/>
                <w:szCs w:val="20"/>
                <w:color w:val="auto"/>
              </w:rPr>
            </w:pPr>
            <w:r>
              <w:rPr>
                <w:rFonts w:ascii="Arial" w:cs="Arial" w:eastAsia="Arial" w:hAnsi="Arial"/>
                <w:sz w:val="14"/>
                <w:szCs w:val="14"/>
                <w:b w:val="1"/>
                <w:bCs w:val="1"/>
                <w:color w:val="auto"/>
                <w:w w:val="94"/>
              </w:rPr>
              <w:t>Amount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center"/>
              <w:ind w:left="285"/>
              <w:spacing w:after="0" w:line="149" w:lineRule="exact"/>
              <w:rPr>
                <w:sz w:val="20"/>
                <w:szCs w:val="20"/>
                <w:color w:val="auto"/>
              </w:rPr>
            </w:pPr>
            <w:r>
              <w:rPr>
                <w:rFonts w:ascii="Arial" w:cs="Arial" w:eastAsia="Arial" w:hAnsi="Arial"/>
                <w:sz w:val="14"/>
                <w:szCs w:val="14"/>
                <w:b w:val="1"/>
                <w:bCs w:val="1"/>
                <w:color w:val="auto"/>
                <w:w w:val="91"/>
              </w:rPr>
              <w:t>Income 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(Ineffective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restart"/>
          </w:tcPr>
          <w:p>
            <w:pPr>
              <w:jc w:val="center"/>
              <w:ind w:left="62"/>
              <w:spacing w:after="0"/>
              <w:rPr>
                <w:sz w:val="20"/>
                <w:szCs w:val="20"/>
                <w:color w:val="auto"/>
              </w:rPr>
            </w:pPr>
            <w:r>
              <w:rPr>
                <w:rFonts w:ascii="Arial" w:cs="Arial" w:eastAsia="Arial" w:hAnsi="Arial"/>
                <w:sz w:val="14"/>
                <w:szCs w:val="14"/>
                <w:b w:val="1"/>
                <w:bCs w:val="1"/>
                <w:color w:val="auto"/>
                <w:w w:val="92"/>
              </w:rPr>
              <w:t>Location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restart"/>
          </w:tcPr>
          <w:p>
            <w:pPr>
              <w:jc w:val="center"/>
              <w:ind w:left="365"/>
              <w:spacing w:after="0"/>
              <w:rPr>
                <w:sz w:val="20"/>
                <w:szCs w:val="20"/>
                <w:color w:val="auto"/>
              </w:rPr>
            </w:pPr>
            <w:r>
              <w:rPr>
                <w:rFonts w:ascii="Arial" w:cs="Arial" w:eastAsia="Arial" w:hAnsi="Arial"/>
                <w:sz w:val="14"/>
                <w:szCs w:val="14"/>
                <w:b w:val="1"/>
                <w:bCs w:val="1"/>
                <w:color w:val="auto"/>
                <w:w w:val="94"/>
              </w:rPr>
              <w:t>Amount of</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center"/>
              <w:ind w:left="285"/>
              <w:spacing w:after="0" w:line="149" w:lineRule="exact"/>
              <w:rPr>
                <w:sz w:val="20"/>
                <w:szCs w:val="20"/>
                <w:color w:val="auto"/>
              </w:rPr>
            </w:pPr>
            <w:r>
              <w:rPr>
                <w:rFonts w:ascii="Arial" w:cs="Arial" w:eastAsia="Arial" w:hAnsi="Arial"/>
                <w:sz w:val="14"/>
                <w:szCs w:val="14"/>
                <w:b w:val="1"/>
                <w:bCs w:val="1"/>
                <w:color w:val="auto"/>
                <w:w w:val="95"/>
              </w:rPr>
              <w:t>Derivative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Portion and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gridSpan w:val="3"/>
          </w:tcPr>
          <w:p>
            <w:pPr>
              <w:jc w:val="center"/>
              <w:ind w:left="555"/>
              <w:spacing w:after="0" w:line="149" w:lineRule="exact"/>
              <w:rPr>
                <w:sz w:val="20"/>
                <w:szCs w:val="20"/>
                <w:color w:val="auto"/>
              </w:rPr>
            </w:pPr>
            <w:r>
              <w:rPr>
                <w:rFonts w:ascii="Arial" w:cs="Arial" w:eastAsia="Arial" w:hAnsi="Arial"/>
                <w:sz w:val="14"/>
                <w:szCs w:val="14"/>
                <w:b w:val="1"/>
                <w:bCs w:val="1"/>
                <w:color w:val="auto"/>
                <w:w w:val="93"/>
              </w:rPr>
              <w:t>Gain/(Loss)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9"/>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Cash Flow</w:t>
            </w:r>
          </w:p>
        </w:tc>
        <w:tc>
          <w:tcPr>
            <w:tcW w:w="1360" w:type="dxa"/>
            <w:vAlign w:val="bottom"/>
            <w:gridSpan w:val="3"/>
          </w:tcPr>
          <w:p>
            <w:pPr>
              <w:jc w:val="center"/>
              <w:ind w:left="535"/>
              <w:spacing w:after="0" w:line="149" w:lineRule="exact"/>
              <w:rPr>
                <w:sz w:val="20"/>
                <w:szCs w:val="20"/>
                <w:color w:val="auto"/>
              </w:rPr>
            </w:pPr>
            <w:r>
              <w:rPr>
                <w:rFonts w:ascii="Arial" w:cs="Arial" w:eastAsia="Arial" w:hAnsi="Arial"/>
                <w:sz w:val="14"/>
                <w:szCs w:val="14"/>
                <w:b w:val="1"/>
                <w:bCs w:val="1"/>
                <w:color w:val="auto"/>
                <w:w w:val="89"/>
              </w:rPr>
              <w:t>Recognized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3"/>
              </w:rPr>
              <w:t>Gain/(Loss)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5"/>
          </w:tcPr>
          <w:p>
            <w:pPr>
              <w:jc w:val="center"/>
              <w:ind w:right="119"/>
              <w:spacing w:after="0" w:line="149" w:lineRule="exact"/>
              <w:rPr>
                <w:sz w:val="20"/>
                <w:szCs w:val="20"/>
                <w:color w:val="auto"/>
              </w:rPr>
            </w:pPr>
            <w:r>
              <w:rPr>
                <w:rFonts w:ascii="Arial" w:cs="Arial" w:eastAsia="Arial" w:hAnsi="Arial"/>
                <w:sz w:val="14"/>
                <w:szCs w:val="14"/>
                <w:b w:val="1"/>
                <w:bCs w:val="1"/>
                <w:color w:val="auto"/>
                <w:w w:val="87"/>
              </w:rPr>
              <w:t>Loss Reclassified</w:t>
            </w:r>
          </w:p>
        </w:tc>
        <w:tc>
          <w:tcPr>
            <w:tcW w:w="100" w:type="dxa"/>
            <w:vAlign w:val="bottom"/>
          </w:tcPr>
          <w:p>
            <w:pPr>
              <w:spacing w:after="0"/>
              <w:rPr>
                <w:sz w:val="12"/>
                <w:szCs w:val="12"/>
                <w:color w:val="auto"/>
              </w:rPr>
            </w:pPr>
          </w:p>
        </w:tc>
        <w:tc>
          <w:tcPr>
            <w:tcW w:w="1320" w:type="dxa"/>
            <w:vAlign w:val="bottom"/>
            <w:gridSpan w:val="5"/>
          </w:tcPr>
          <w:p>
            <w:pPr>
              <w:jc w:val="center"/>
              <w:ind w:left="285"/>
              <w:spacing w:after="0" w:line="149" w:lineRule="exact"/>
              <w:rPr>
                <w:sz w:val="20"/>
                <w:szCs w:val="20"/>
                <w:color w:val="auto"/>
              </w:rPr>
            </w:pPr>
            <w:r>
              <w:rPr>
                <w:rFonts w:ascii="Arial" w:cs="Arial" w:eastAsia="Arial" w:hAnsi="Arial"/>
                <w:sz w:val="14"/>
                <w:szCs w:val="14"/>
                <w:b w:val="1"/>
                <w:bCs w:val="1"/>
                <w:color w:val="auto"/>
                <w:w w:val="93"/>
              </w:rPr>
              <w:t>and Amount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Excluded</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1360" w:type="dxa"/>
            <w:vAlign w:val="bottom"/>
            <w:gridSpan w:val="3"/>
          </w:tcPr>
          <w:p>
            <w:pPr>
              <w:jc w:val="center"/>
              <w:ind w:left="555"/>
              <w:spacing w:after="0" w:line="149" w:lineRule="exact"/>
              <w:rPr>
                <w:sz w:val="20"/>
                <w:szCs w:val="20"/>
                <w:color w:val="auto"/>
              </w:rPr>
            </w:pPr>
            <w:r>
              <w:rPr>
                <w:rFonts w:ascii="Arial" w:cs="Arial" w:eastAsia="Arial" w:hAnsi="Arial"/>
                <w:sz w:val="14"/>
                <w:szCs w:val="14"/>
                <w:b w:val="1"/>
                <w:bCs w:val="1"/>
                <w:color w:val="auto"/>
                <w:w w:val="99"/>
              </w:rPr>
              <w:t>in AOCI 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5"/>
          </w:tcPr>
          <w:p>
            <w:pPr>
              <w:jc w:val="center"/>
              <w:ind w:right="99"/>
              <w:spacing w:after="0" w:line="149" w:lineRule="exact"/>
              <w:rPr>
                <w:sz w:val="20"/>
                <w:szCs w:val="20"/>
                <w:color w:val="auto"/>
              </w:rPr>
            </w:pPr>
            <w:r>
              <w:rPr>
                <w:rFonts w:ascii="Arial" w:cs="Arial" w:eastAsia="Arial" w:hAnsi="Arial"/>
                <w:sz w:val="14"/>
                <w:szCs w:val="14"/>
                <w:b w:val="1"/>
                <w:bCs w:val="1"/>
                <w:color w:val="auto"/>
                <w:w w:val="98"/>
              </w:rPr>
              <w:t>from AOCI into</w:t>
            </w:r>
          </w:p>
        </w:tc>
        <w:tc>
          <w:tcPr>
            <w:tcW w:w="100" w:type="dxa"/>
            <w:vAlign w:val="bottom"/>
          </w:tcPr>
          <w:p>
            <w:pPr>
              <w:spacing w:after="0"/>
              <w:rPr>
                <w:sz w:val="12"/>
                <w:szCs w:val="12"/>
                <w:color w:val="auto"/>
              </w:rPr>
            </w:pPr>
          </w:p>
        </w:tc>
        <w:tc>
          <w:tcPr>
            <w:tcW w:w="1320" w:type="dxa"/>
            <w:vAlign w:val="bottom"/>
            <w:gridSpan w:val="5"/>
          </w:tcPr>
          <w:p>
            <w:pPr>
              <w:jc w:val="center"/>
              <w:ind w:left="285"/>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from</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Hedging</w:t>
            </w:r>
          </w:p>
        </w:tc>
        <w:tc>
          <w:tcPr>
            <w:tcW w:w="1360" w:type="dxa"/>
            <w:vAlign w:val="bottom"/>
            <w:gridSpan w:val="3"/>
          </w:tcPr>
          <w:p>
            <w:pPr>
              <w:jc w:val="center"/>
              <w:ind w:left="555"/>
              <w:spacing w:after="0" w:line="149" w:lineRule="exact"/>
              <w:rPr>
                <w:sz w:val="20"/>
                <w:szCs w:val="20"/>
                <w:color w:val="auto"/>
              </w:rPr>
            </w:pPr>
            <w:r>
              <w:rPr>
                <w:rFonts w:ascii="Arial" w:cs="Arial" w:eastAsia="Arial" w:hAnsi="Arial"/>
                <w:sz w:val="14"/>
                <w:szCs w:val="14"/>
                <w:b w:val="1"/>
                <w:bCs w:val="1"/>
                <w:color w:val="auto"/>
                <w:w w:val="95"/>
              </w:rPr>
              <w:t>Derivative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ind w:left="42"/>
              <w:spacing w:after="0" w:line="149" w:lineRule="exact"/>
              <w:rPr>
                <w:sz w:val="20"/>
                <w:szCs w:val="20"/>
                <w:color w:val="auto"/>
              </w:rPr>
            </w:pPr>
            <w:r>
              <w:rPr>
                <w:rFonts w:ascii="Arial" w:cs="Arial" w:eastAsia="Arial" w:hAnsi="Arial"/>
                <w:sz w:val="14"/>
                <w:szCs w:val="14"/>
                <w:b w:val="1"/>
                <w:bCs w:val="1"/>
                <w:color w:val="auto"/>
                <w:w w:val="98"/>
              </w:rPr>
              <w:t>AOCI into Income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5"/>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100" w:type="dxa"/>
            <w:vAlign w:val="bottom"/>
          </w:tcPr>
          <w:p>
            <w:pPr>
              <w:spacing w:after="0"/>
              <w:rPr>
                <w:sz w:val="12"/>
                <w:szCs w:val="12"/>
                <w:color w:val="auto"/>
              </w:rPr>
            </w:pPr>
          </w:p>
        </w:tc>
        <w:tc>
          <w:tcPr>
            <w:tcW w:w="1320" w:type="dxa"/>
            <w:vAlign w:val="bottom"/>
            <w:gridSpan w:val="5"/>
          </w:tcPr>
          <w:p>
            <w:pPr>
              <w:jc w:val="center"/>
              <w:ind w:left="285"/>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19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45"/>
              <w:spacing w:after="0"/>
              <w:rPr>
                <w:sz w:val="20"/>
                <w:szCs w:val="20"/>
                <w:color w:val="auto"/>
              </w:rPr>
            </w:pPr>
            <w:r>
              <w:rPr>
                <w:rFonts w:ascii="Arial" w:cs="Arial" w:eastAsia="Arial" w:hAnsi="Arial"/>
                <w:sz w:val="14"/>
                <w:szCs w:val="14"/>
                <w:b w:val="1"/>
                <w:bCs w:val="1"/>
                <w:color w:val="auto"/>
                <w:w w:val="96"/>
              </w:rPr>
              <w:t>Portion)</w:t>
            </w: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4"/>
          </w:tcPr>
          <w:p>
            <w:pPr>
              <w:jc w:val="center"/>
              <w:ind w:right="137"/>
              <w:spacing w:after="0"/>
              <w:rPr>
                <w:sz w:val="20"/>
                <w:szCs w:val="20"/>
                <w:color w:val="auto"/>
              </w:rPr>
            </w:pPr>
            <w:r>
              <w:rPr>
                <w:rFonts w:ascii="Arial" w:cs="Arial" w:eastAsia="Arial" w:hAnsi="Arial"/>
                <w:sz w:val="14"/>
                <w:szCs w:val="14"/>
                <w:b w:val="1"/>
                <w:bCs w:val="1"/>
                <w:color w:val="auto"/>
                <w:w w:val="88"/>
              </w:rPr>
              <w:t>Testing)</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Testing)</w:t>
            </w:r>
          </w:p>
        </w:tc>
        <w:tc>
          <w:tcPr>
            <w:tcW w:w="5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2015</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(1,111)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6,770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(7,140)</w:t>
            </w:r>
          </w:p>
        </w:tc>
        <w:tc>
          <w:tcPr>
            <w:tcW w:w="10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90"/>
              </w:rPr>
              <w:t>Foreign exchange</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9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gain/(loss)</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1"/>
              </w:rPr>
              <w:t>gain/(loss)</w:t>
            </w:r>
          </w:p>
        </w:tc>
        <w:tc>
          <w:tcPr>
            <w:tcW w:w="5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80" w:type="dxa"/>
            <w:vAlign w:val="bottom"/>
            <w:gridSpan w:val="10"/>
          </w:tcPr>
          <w:p>
            <w:pPr>
              <w:jc w:val="center"/>
              <w:ind w:right="28"/>
              <w:spacing w:after="0"/>
              <w:rPr>
                <w:sz w:val="20"/>
                <w:szCs w:val="20"/>
                <w:color w:val="auto"/>
              </w:rPr>
            </w:pPr>
            <w:r>
              <w:rPr>
                <w:rFonts w:ascii="Arial" w:cs="Arial" w:eastAsia="Arial" w:hAnsi="Arial"/>
                <w:sz w:val="14"/>
                <w:szCs w:val="14"/>
                <w:b w:val="1"/>
                <w:bCs w:val="1"/>
                <w:color w:val="auto"/>
                <w:w w:val="94"/>
              </w:rPr>
              <w:t>Amount of Gain/(Loss)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80" w:type="dxa"/>
            <w:vAlign w:val="bottom"/>
            <w:gridSpan w:val="10"/>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9"/>
          </w:tcPr>
          <w:p>
            <w:pPr>
              <w:jc w:val="center"/>
              <w:ind w:right="388"/>
              <w:spacing w:after="0"/>
              <w:rPr>
                <w:sz w:val="20"/>
                <w:szCs w:val="20"/>
                <w:color w:val="auto"/>
              </w:rPr>
            </w:pPr>
            <w:r>
              <w:rPr>
                <w:rFonts w:ascii="Arial" w:cs="Arial" w:eastAsia="Arial" w:hAnsi="Arial"/>
                <w:sz w:val="14"/>
                <w:szCs w:val="14"/>
                <w:b w:val="1"/>
                <w:bCs w:val="1"/>
                <w:color w:val="auto"/>
                <w:w w:val="91"/>
              </w:rPr>
              <w:t>on Derivatives</w:t>
            </w: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1700" w:type="dxa"/>
            <w:vAlign w:val="bottom"/>
          </w:tcPr>
          <w:p>
            <w:pPr>
              <w:spacing w:after="0" w:line="139" w:lineRule="exact"/>
              <w:rPr>
                <w:sz w:val="20"/>
                <w:szCs w:val="20"/>
                <w:color w:val="auto"/>
              </w:rPr>
            </w:pPr>
            <w:r>
              <w:rPr>
                <w:rFonts w:ascii="Arial" w:cs="Arial" w:eastAsia="Arial" w:hAnsi="Arial"/>
                <w:sz w:val="14"/>
                <w:szCs w:val="14"/>
                <w:b w:val="1"/>
                <w:bCs w:val="1"/>
                <w:color w:val="auto"/>
                <w:w w:val="94"/>
              </w:rPr>
              <w:t>Derivatives not designated</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9"/>
          </w:tcPr>
          <w:p>
            <w:pPr>
              <w:jc w:val="center"/>
              <w:ind w:left="762"/>
              <w:spacing w:after="0" w:line="139" w:lineRule="exact"/>
              <w:rPr>
                <w:sz w:val="20"/>
                <w:szCs w:val="20"/>
                <w:color w:val="auto"/>
              </w:rPr>
            </w:pPr>
            <w:r>
              <w:rPr>
                <w:rFonts w:ascii="Arial" w:cs="Arial" w:eastAsia="Arial" w:hAnsi="Arial"/>
                <w:sz w:val="14"/>
                <w:szCs w:val="14"/>
                <w:b w:val="1"/>
                <w:bCs w:val="1"/>
                <w:color w:val="auto"/>
                <w:w w:val="92"/>
              </w:rPr>
              <w:t>Location of Gain or (Loss) Recognized in</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left="217"/>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Hedging Instruments</w:t>
            </w:r>
          </w:p>
        </w:tc>
        <w:tc>
          <w:tcPr>
            <w:tcW w:w="9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Income on Derivatives</w:t>
            </w: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2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6"/>
            <w:shd w:val="clear" w:color="auto" w:fill="CCEEFF"/>
          </w:tcPr>
          <w:p>
            <w:pPr>
              <w:ind w:left="220"/>
              <w:spacing w:after="0"/>
              <w:rPr>
                <w:sz w:val="20"/>
                <w:szCs w:val="20"/>
                <w:color w:val="auto"/>
              </w:rPr>
            </w:pPr>
            <w:r>
              <w:rPr>
                <w:rFonts w:ascii="Arial" w:cs="Arial" w:eastAsia="Arial" w:hAnsi="Arial"/>
                <w:sz w:val="18"/>
                <w:szCs w:val="18"/>
                <w:color w:val="auto"/>
              </w:rPr>
              <w:t>Foreign exchange gain/(loss)</w:t>
            </w: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3,685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8. Fixed Assets</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 w:type="dxa"/>
            <w:vAlign w:val="bottom"/>
          </w:tcPr>
          <w:p>
            <w:pPr>
              <w:spacing w:after="0"/>
              <w:rPr>
                <w:sz w:val="24"/>
                <w:szCs w:val="24"/>
                <w:color w:val="auto"/>
              </w:rPr>
            </w:pPr>
          </w:p>
        </w:tc>
        <w:tc>
          <w:tcPr>
            <w:tcW w:w="3060" w:type="dxa"/>
            <w:vAlign w:val="bottom"/>
            <w:gridSpan w:val="4"/>
          </w:tcPr>
          <w:p>
            <w:pPr>
              <w:ind w:left="380"/>
              <w:spacing w:after="0"/>
              <w:rPr>
                <w:sz w:val="20"/>
                <w:szCs w:val="20"/>
                <w:color w:val="auto"/>
              </w:rPr>
            </w:pPr>
            <w:r>
              <w:rPr>
                <w:rFonts w:ascii="Arial" w:cs="Arial" w:eastAsia="Arial" w:hAnsi="Arial"/>
                <w:sz w:val="18"/>
                <w:szCs w:val="18"/>
                <w:color w:val="auto"/>
                <w:w w:val="91"/>
              </w:rPr>
              <w:t>Fixed assets consist of the following:</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12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2"/>
          </w:tcPr>
          <w:p>
            <w:pPr>
              <w:jc w:val="center"/>
              <w:ind w:left="237"/>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40" w:type="dxa"/>
            <w:vAlign w:val="bottom"/>
            <w:gridSpan w:val="6"/>
          </w:tcPr>
          <w:p>
            <w:pPr>
              <w:ind w:left="380"/>
              <w:spacing w:after="0"/>
              <w:rPr>
                <w:sz w:val="20"/>
                <w:szCs w:val="20"/>
                <w:color w:val="auto"/>
              </w:rPr>
            </w:pPr>
            <w:r>
              <w:rPr>
                <w:rFonts w:ascii="Arial" w:cs="Arial" w:eastAsia="Arial" w:hAnsi="Arial"/>
                <w:sz w:val="18"/>
                <w:szCs w:val="18"/>
                <w:color w:val="auto"/>
                <w:w w:val="90"/>
              </w:rPr>
              <w:t>Network equipment, computers and software</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95,245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jc w:val="right"/>
              <w:ind w:right="297"/>
              <w:spacing w:after="0"/>
              <w:rPr>
                <w:sz w:val="20"/>
                <w:szCs w:val="20"/>
                <w:color w:val="auto"/>
              </w:rPr>
            </w:pPr>
            <w:r>
              <w:rPr>
                <w:rFonts w:ascii="Arial" w:cs="Arial" w:eastAsia="Arial" w:hAnsi="Arial"/>
                <w:sz w:val="18"/>
                <w:szCs w:val="18"/>
                <w:color w:val="auto"/>
                <w:w w:val="99"/>
              </w:rPr>
              <w:t>$</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83,140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40" w:type="dxa"/>
            <w:vAlign w:val="bottom"/>
            <w:gridSpan w:val="6"/>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4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28,603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26,416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40" w:type="dxa"/>
            <w:vAlign w:val="bottom"/>
            <w:gridSpan w:val="6"/>
          </w:tcPr>
          <w:p>
            <w:pPr>
              <w:ind w:left="38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14,000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12,218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640" w:type="dxa"/>
            <w:vAlign w:val="bottom"/>
            <w:gridSpan w:val="6"/>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4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rPr>
              <w:t>Capital work in progress</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3,029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gridSpan w:val="2"/>
          </w:tcPr>
          <w:p>
            <w:pPr>
              <w:ind w:left="380"/>
              <w:spacing w:after="0"/>
              <w:rPr>
                <w:sz w:val="20"/>
                <w:szCs w:val="20"/>
                <w:color w:val="auto"/>
              </w:rPr>
            </w:pPr>
            <w:r>
              <w:rPr>
                <w:rFonts w:ascii="Arial" w:cs="Arial" w:eastAsia="Arial" w:hAnsi="Arial"/>
                <w:sz w:val="18"/>
                <w:szCs w:val="18"/>
                <w:color w:val="auto"/>
                <w:w w:val="93"/>
              </w:rPr>
              <w:t>Buildings</w:t>
            </w: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1,262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980" w:type="dxa"/>
            <w:vAlign w:val="bottom"/>
            <w:gridSpan w:val="4"/>
          </w:tcPr>
          <w:p>
            <w:pPr>
              <w:ind w:left="380"/>
              <w:spacing w:after="0"/>
              <w:rPr>
                <w:sz w:val="20"/>
                <w:szCs w:val="20"/>
                <w:color w:val="auto"/>
              </w:rPr>
            </w:pPr>
            <w:r>
              <w:rPr>
                <w:rFonts w:ascii="Arial" w:cs="Arial" w:eastAsia="Arial" w:hAnsi="Arial"/>
                <w:sz w:val="18"/>
                <w:szCs w:val="18"/>
                <w:color w:val="auto"/>
              </w:rPr>
              <w:t>Motor vehicles</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540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542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143,517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127,433</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080" w:type="dxa"/>
            <w:vAlign w:val="bottom"/>
            <w:gridSpan w:val="9"/>
          </w:tcPr>
          <w:p>
            <w:pPr>
              <w:ind w:left="380"/>
              <w:spacing w:after="0"/>
              <w:rPr>
                <w:sz w:val="20"/>
                <w:szCs w:val="20"/>
                <w:color w:val="auto"/>
              </w:rPr>
            </w:pPr>
            <w:r>
              <w:rPr>
                <w:rFonts w:ascii="Arial" w:cs="Arial" w:eastAsia="Arial" w:hAnsi="Arial"/>
                <w:sz w:val="18"/>
                <w:szCs w:val="18"/>
                <w:color w:val="auto"/>
                <w:w w:val="93"/>
              </w:rPr>
              <w:t>Less: Accumulated depreciation and amortization</w:t>
            </w: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(96,079)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(82,947)</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47,438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44,486</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640" w:type="dxa"/>
            <w:vAlign w:val="bottom"/>
            <w:gridSpan w:val="6"/>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40" w:type="dxa"/>
            <w:vAlign w:val="bottom"/>
            <w:gridSpan w:val="6"/>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gridSpan w:val="3"/>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40" w:type="dxa"/>
            <w:vAlign w:val="bottom"/>
            <w:tcBorders>
              <w:bottom w:val="single" w:sz="8" w:color="CCEEFF"/>
            </w:tcBorders>
            <w:gridSpan w:val="6"/>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40" w:type="dxa"/>
            <w:vAlign w:val="bottom"/>
            <w:gridSpan w:val="6"/>
          </w:tcPr>
          <w:p>
            <w:pPr>
              <w:ind w:left="380"/>
              <w:spacing w:after="0"/>
              <w:rPr>
                <w:sz w:val="20"/>
                <w:szCs w:val="20"/>
                <w:color w:val="auto"/>
              </w:rPr>
            </w:pPr>
            <w:r>
              <w:rPr>
                <w:rFonts w:ascii="Arial" w:cs="Arial" w:eastAsia="Arial" w:hAnsi="Arial"/>
                <w:sz w:val="18"/>
                <w:szCs w:val="18"/>
                <w:color w:val="auto"/>
              </w:rPr>
              <w:t>Office furniture and equipment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9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Motor vehicles</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1,819</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2,028</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080" w:type="dxa"/>
            <w:vAlign w:val="bottom"/>
            <w:gridSpan w:val="9"/>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080" w:type="dxa"/>
            <w:vAlign w:val="bottom"/>
            <w:tcBorders>
              <w:bottom w:val="single" w:sz="8" w:color="CCEEFF"/>
            </w:tcBorders>
            <w:gridSpan w:val="9"/>
            <w:shd w:val="clear" w:color="auto" w:fill="CCEEFF"/>
          </w:tcPr>
          <w:p>
            <w:pPr>
              <w:ind w:left="380"/>
              <w:spacing w:after="0"/>
              <w:rPr>
                <w:sz w:val="20"/>
                <w:szCs w:val="20"/>
                <w:color w:val="auto"/>
              </w:rPr>
            </w:pPr>
            <w:r>
              <w:rPr>
                <w:rFonts w:ascii="Arial" w:cs="Arial" w:eastAsia="Arial" w:hAnsi="Arial"/>
                <w:sz w:val="18"/>
                <w:szCs w:val="18"/>
                <w:color w:val="auto"/>
                <w:w w:val="93"/>
              </w:rPr>
              <w:t>Less: Accumulated depreciation and amortization</w:t>
            </w: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(1,145)</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top w:val="single" w:sz="8" w:color="auto"/>
            </w:tcBorders>
          </w:tcPr>
          <w:p>
            <w:pPr>
              <w:jc w:val="center"/>
              <w:ind w:right="15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553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7"/>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883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980" w:type="dxa"/>
            <w:vAlign w:val="bottom"/>
            <w:tcBorders>
              <w:bottom w:val="single" w:sz="8" w:color="CCEEFF"/>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3"/>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980" w:type="dxa"/>
            <w:vAlign w:val="bottom"/>
            <w:tcBorders>
              <w:bottom w:val="single" w:sz="8" w:color="CCEEFF"/>
            </w:tcBorders>
            <w:gridSpan w:val="4"/>
            <w:shd w:val="clear" w:color="auto" w:fill="CCEEFF"/>
          </w:tcPr>
          <w:p>
            <w:pPr>
              <w:ind w:left="380"/>
              <w:spacing w:after="0"/>
              <w:rPr>
                <w:sz w:val="20"/>
                <w:szCs w:val="20"/>
                <w:color w:val="auto"/>
              </w:rPr>
            </w:pPr>
            <w:r>
              <w:rPr>
                <w:rFonts w:ascii="Arial" w:cs="Arial" w:eastAsia="Arial" w:hAnsi="Arial"/>
                <w:sz w:val="18"/>
                <w:szCs w:val="18"/>
                <w:color w:val="auto"/>
              </w:rPr>
              <w:t>Fixed assets, net</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47,991</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7"/>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45,369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Depreciation and amortization expense excluding amortization of acquisition related intangibles for the year ended December 31, 2015, 2014 and 2013 was $21,239, $21,405 and $18,617,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121"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fixed assets and cost of fixed assets and internally generated software costs not yet ready to be placed in service.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During the years ended December 31, 2015 and 2014, the Company acquired 15,078 and 18,256 shares of common stock, respectively from employees in connection with withholding tax payments related to the vesting of restricted stock for a total consideration of $484 and $459, respectively. The weighted average purchase price of $32.10 and $25.14,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On December 30, 2014, the Company’s Board of Directors authorized up to an annual $20,000 common stock repurchase program (the “2014 Repurchase Program”), under which shares may be purchased by the Company from time to time from the open market and through private transactions during each of the fiscal years 2015 to 2017. On November 7, 2013, the Company had announced a similar program, pursuant to which the Board of Directors authorized a $25,000 common stock repurchase program (the “2013 Repurchase Program”), under which shares may be purchased by the Company from time to time from the open market and through private transactions.</w:t>
      </w:r>
    </w:p>
    <w:p>
      <w:pPr>
        <w:spacing w:after="0" w:line="188" w:lineRule="exact"/>
        <w:rPr>
          <w:sz w:val="20"/>
          <w:szCs w:val="20"/>
          <w:color w:val="auto"/>
        </w:rPr>
      </w:pPr>
    </w:p>
    <w:p>
      <w:pPr>
        <w:jc w:val="both"/>
        <w:ind w:right="960" w:firstLine="432"/>
        <w:spacing w:after="0" w:line="342" w:lineRule="auto"/>
        <w:rPr>
          <w:sz w:val="20"/>
          <w:szCs w:val="20"/>
          <w:color w:val="auto"/>
        </w:rPr>
      </w:pPr>
      <w:r>
        <w:rPr>
          <w:rFonts w:ascii="Arial" w:cs="Arial" w:eastAsia="Arial" w:hAnsi="Arial"/>
          <w:sz w:val="16"/>
          <w:szCs w:val="16"/>
          <w:color w:val="auto"/>
        </w:rPr>
        <w:t>During the year ended December 31, 2015, the Company purchased 377,015 shares of its common stock for an aggregate purchase price of approximately $13,711 including commissions, representing an average purchase price per share of $36.37 under the 2014 Repurchase program.</w:t>
      </w:r>
    </w:p>
    <w:p>
      <w:pPr>
        <w:spacing w:after="0" w:line="124" w:lineRule="exact"/>
        <w:rPr>
          <w:sz w:val="20"/>
          <w:szCs w:val="20"/>
          <w:color w:val="auto"/>
        </w:rPr>
      </w:pPr>
    </w:p>
    <w:p>
      <w:pPr>
        <w:ind w:right="960" w:firstLine="432"/>
        <w:spacing w:after="0" w:line="342" w:lineRule="auto"/>
        <w:rPr>
          <w:sz w:val="20"/>
          <w:szCs w:val="20"/>
          <w:color w:val="auto"/>
        </w:rPr>
      </w:pPr>
      <w:r>
        <w:rPr>
          <w:rFonts w:ascii="Arial" w:cs="Arial" w:eastAsia="Arial" w:hAnsi="Arial"/>
          <w:sz w:val="16"/>
          <w:szCs w:val="16"/>
          <w:color w:val="auto"/>
        </w:rPr>
        <w:t>During the year ended December 31, 2014, the Company purchased 109,500 shares of its common stock for an aggregate purchase price of approximately $2,863 including commissions, representing an average purchase price per share of $26.14 under the 2013 Repurchase program.</w:t>
      </w:r>
    </w:p>
    <w:p>
      <w:pPr>
        <w:spacing w:after="0" w:line="124"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Borrowings</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On October 24, 2014, the Company entered into a credit agreement (as amended, the “Credit Agreement”) with certain lenders and JPMorgan Chase Bank, N.A., as Administrative Agent. The Credit Agreement provides for a $50,000 revolving credit facility (the “Credit Facility”), including a letter of credit sub-facility, for a period of five years. The Company had an option to increase the commitments under the Credit Facility by up to an additional $50,000, subject to certain approvals and conditions as set forth in the Credit Agreement. On February 23, 2015, via an amendment to the Credit Agreement the Company exercised its option to increase credit commitments by another $50,000 upon the same terms and conditions which were available in the Credit Agreement. The Credit Facility has a maturity date of October 24, 2019 and is voluntarily pre-payable from time to time without premium or penalty. The Company entered into a second amendment to the Credit Agreement effective as of September 28, 2015 to address a minor clarification to the definition of change of control.</w:t>
      </w:r>
    </w:p>
    <w:p>
      <w:pPr>
        <w:spacing w:after="0" w:line="19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Borrowings under the Credit Agreement bear interest at a rate equal to the specified prime rate (alternate base rate) or adjusted LIBO rate, plus, an applicable margin. The applicable margin is tied to the Company’s leverage ratio and ranges from 0.25% to 0.75% per annum with respect to loans pegged to the specified prime rate, and 1.25% to 1.75% per annum on loans pegged to the adjusted LIBO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an effective interest rate of 1.60% per annum during the year ended December 31, 2015.</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Borrowings under the Credit Facility may be used for working capital, general corporate purposes and for acquisitions. The Company has an outstanding debt of $70,000 of which $10,000 is expected to be repaid within next twelve months and is included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“short-term borrowings” in the consolidated balance sheet. In connection with the financing, the Company incurred certain debt issuance costs, which are deferred and amortized as an adjustment to interest expense over the term of the Credit Facility. The unamortized debt issuance costs as of December 31, 2015 and December 31, 2014 was $368 and $460, respectively and is included under "other current assets" and “other assets” in the consolidated balance sheets.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Credit Facility is guaranteed by our domestic subsidiaries and material foreign subsidiaries and are secured by all or substantially all of the assets of the Company and its material domestic subsidiaries. The Credit Agreement contains certain covenants including a restriction on indebtedness of the Company. At December 31, 2015, the Company was in compliance with all covenants.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21"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Company’s Gratuity Plans in India and the Philippines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80"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benefit obligation has been measured as of December 31, 2015. The following table sets forth the activity and the funded status of the Gratuity Plans and the amounts recognized in the Company’s consolidated financial statements at the end of the relevant periods:</w:t>
      </w:r>
    </w:p>
    <w:p>
      <w:pPr>
        <w:spacing w:after="0" w:line="108"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Benefit obligation at the beginning of the year</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7,563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6,567</w:t>
            </w:r>
          </w:p>
        </w:tc>
      </w:tr>
      <w:tr>
        <w:trPr>
          <w:trHeight w:val="27"/>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1,638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559</w:t>
            </w:r>
          </w:p>
        </w:tc>
      </w:tr>
      <w:tr>
        <w:trPr>
          <w:trHeight w:val="27"/>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Actuarial (gain)/loss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161</w:t>
            </w:r>
          </w:p>
        </w:tc>
      </w:tr>
      <w:tr>
        <w:trPr>
          <w:trHeight w:val="27"/>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Divestiture</w:t>
            </w:r>
          </w:p>
        </w:tc>
        <w:tc>
          <w:tcPr>
            <w:tcW w:w="8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2"/>
        </w:trPr>
        <w:tc>
          <w:tcPr>
            <w:tcW w:w="614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Projected benefit obligation at the end of the year</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7,909</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7,563</w:t>
            </w:r>
          </w:p>
        </w:tc>
      </w:tr>
      <w:tr>
        <w:trPr>
          <w:trHeight w:val="27"/>
        </w:trPr>
        <w:tc>
          <w:tcPr>
            <w:tcW w:w="6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amount–non-current</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Unfunded amount–current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1,545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1,267</w:t>
            </w:r>
          </w:p>
        </w:tc>
      </w:tr>
      <w:tr>
        <w:trPr>
          <w:trHeight w:val="27"/>
        </w:trPr>
        <w:tc>
          <w:tcPr>
            <w:tcW w:w="6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liability</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2,986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2,811</w:t>
            </w:r>
          </w:p>
        </w:tc>
      </w:tr>
      <w:tr>
        <w:trPr>
          <w:trHeight w:val="115"/>
        </w:trPr>
        <w:tc>
          <w:tcPr>
            <w:tcW w:w="614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spacing w:after="0"/>
              <w:rPr>
                <w:sz w:val="10"/>
                <w:szCs w:val="10"/>
                <w:color w:val="auto"/>
              </w:rPr>
            </w:pPr>
          </w:p>
        </w:tc>
      </w:tr>
      <w:tr>
        <w:trPr>
          <w:trHeight w:val="26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5,537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5,034</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gratuity cost includes the following components:</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3460" w:type="dxa"/>
            <w:vAlign w:val="bottom"/>
            <w:tcBorders>
              <w:bottom w:val="single" w:sz="8" w:color="CCEEFF"/>
            </w:tcBorders>
          </w:tcPr>
          <w:p>
            <w:pPr>
              <w:spacing w:after="0"/>
              <w:rPr>
                <w:sz w:val="22"/>
                <w:szCs w:val="22"/>
                <w:color w:val="auto"/>
              </w:rPr>
            </w:pPr>
          </w:p>
        </w:tc>
        <w:tc>
          <w:tcPr>
            <w:tcW w:w="196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82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1,638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1,341</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444</w:t>
            </w:r>
          </w:p>
        </w:tc>
      </w:tr>
      <w:tr>
        <w:trPr>
          <w:trHeight w:val="27"/>
        </w:trPr>
        <w:tc>
          <w:tcPr>
            <w:tcW w:w="3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9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346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19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139</w:t>
            </w:r>
          </w:p>
        </w:tc>
      </w:tr>
      <w:tr>
        <w:trPr>
          <w:trHeight w:val="27"/>
        </w:trPr>
        <w:tc>
          <w:tcPr>
            <w:tcW w:w="346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2820" w:type="dxa"/>
            <w:vAlign w:val="bottom"/>
            <w:tcBorders>
              <w:bottom w:val="single" w:sz="8" w:color="CCEEFF"/>
            </w:tcBorders>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2,014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1,760</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460" w:type="dxa"/>
            <w:vAlign w:val="bottom"/>
          </w:tcPr>
          <w:p>
            <w:pPr>
              <w:spacing w:after="0"/>
              <w:rPr>
                <w:sz w:val="24"/>
                <w:szCs w:val="24"/>
                <w:color w:val="auto"/>
              </w:rPr>
            </w:pPr>
          </w:p>
        </w:tc>
        <w:tc>
          <w:tcPr>
            <w:tcW w:w="2820" w:type="dxa"/>
            <w:vAlign w:val="bottom"/>
            <w:gridSpan w:val="2"/>
          </w:tcPr>
          <w:p>
            <w:pPr>
              <w:jc w:val="right"/>
              <w:ind w:right="1148"/>
              <w:spacing w:after="0"/>
              <w:rPr>
                <w:sz w:val="20"/>
                <w:szCs w:val="20"/>
                <w:color w:val="auto"/>
              </w:rPr>
            </w:pPr>
            <w:r>
              <w:rPr>
                <w:rFonts w:ascii="Arial" w:cs="Arial" w:eastAsia="Arial" w:hAnsi="Arial"/>
                <w:sz w:val="18"/>
                <w:szCs w:val="18"/>
                <w:color w:val="auto"/>
              </w:rPr>
              <w:t>F-28</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The amount in accumulated other comprehensive loss that is expected to be recognized as a component of net periodic benefit cost over the next fiscal year is $92. The components of accumulated other comprehensive loss that have not been recognized as components of net gratuity cost in the statement of income as of December 31, 2015 and 2014 is as follows: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6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prior service cost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163"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286448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0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2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15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6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long term rate of return on plan assets per annum</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5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380" w:firstLine="432"/>
        <w:spacing w:after="0" w:line="277" w:lineRule="auto"/>
        <w:rPr>
          <w:sz w:val="20"/>
          <w:szCs w:val="20"/>
          <w:color w:val="auto"/>
        </w:rPr>
      </w:pPr>
      <w:r>
        <w:rPr>
          <w:rFonts w:ascii="Arial" w:cs="Arial" w:eastAsia="Arial" w:hAnsi="Arial"/>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66040</wp:posOffset>
            </wp:positionV>
            <wp:extent cx="572008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20080" cy="171450"/>
                    </a:xfrm>
                    <a:prstGeom prst="rect">
                      <a:avLst/>
                    </a:prstGeom>
                    <a:noFill/>
                  </pic:spPr>
                </pic:pic>
              </a:graphicData>
            </a:graphic>
          </wp:anchor>
        </w:drawing>
      </w:r>
    </w:p>
    <w:p>
      <w:pPr>
        <w:spacing w:after="0" w:line="9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Expected benefit payments during the year ending December 31,</w:t>
      </w:r>
    </w:p>
    <w:p>
      <w:pPr>
        <w:spacing w:after="0" w:line="63"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2016</w:t>
            </w:r>
          </w:p>
        </w:tc>
        <w:tc>
          <w:tcPr>
            <w:tcW w:w="38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2,129</w:t>
            </w:r>
          </w:p>
        </w:tc>
      </w:tr>
      <w:tr>
        <w:trPr>
          <w:trHeight w:val="27"/>
        </w:trPr>
        <w:tc>
          <w:tcPr>
            <w:tcW w:w="43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2018</w:t>
            </w:r>
          </w:p>
        </w:tc>
        <w:tc>
          <w:tcPr>
            <w:tcW w:w="38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1,291</w:t>
            </w:r>
          </w:p>
        </w:tc>
      </w:tr>
      <w:tr>
        <w:trPr>
          <w:trHeight w:val="27"/>
        </w:trPr>
        <w:tc>
          <w:tcPr>
            <w:tcW w:w="43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82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971</w:t>
            </w: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2020</w:t>
            </w:r>
          </w:p>
        </w:tc>
        <w:tc>
          <w:tcPr>
            <w:tcW w:w="38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736</w:t>
            </w:r>
          </w:p>
        </w:tc>
      </w:tr>
      <w:tr>
        <w:trPr>
          <w:trHeight w:val="27"/>
        </w:trPr>
        <w:tc>
          <w:tcPr>
            <w:tcW w:w="43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to 2025</w:t>
            </w:r>
          </w:p>
        </w:tc>
        <w:tc>
          <w:tcPr>
            <w:tcW w:w="38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43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gratuity plan in India is partially 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76200</wp:posOffset>
            </wp:positionV>
            <wp:extent cx="572008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20080" cy="171450"/>
                    </a:xfrm>
                    <a:prstGeom prst="rect">
                      <a:avLst/>
                    </a:prstGeom>
                    <a:noFill/>
                  </pic:spPr>
                </pic:pic>
              </a:graphicData>
            </a:graphic>
          </wp:anchor>
        </w:drawing>
      </w:r>
    </w:p>
    <w:p>
      <w:pPr>
        <w:spacing w:after="0" w:line="10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Change in Plan Assets</w:t>
      </w:r>
    </w:p>
    <w:p>
      <w:pPr>
        <w:spacing w:after="0" w:line="67"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Plan assets at January 1, 2014</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2,156</w:t>
            </w: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Actual return</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Employer contribution</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2,567</w:t>
            </w: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Effect of exchange rate changes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76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December 31, 2014</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Actual return</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Employer contribution</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Plan assets December 31, 2015</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4,923</w:t>
            </w:r>
          </w:p>
        </w:tc>
      </w:tr>
      <w:tr>
        <w:trPr>
          <w:trHeight w:val="27"/>
        </w:trPr>
        <w:tc>
          <w:tcPr>
            <w:tcW w:w="76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171450</wp:posOffset>
            </wp:positionV>
            <wp:extent cx="14147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21" w:lineRule="exact"/>
        <w:rPr>
          <w:sz w:val="20"/>
          <w:szCs w:val="20"/>
          <w:color w:val="auto"/>
        </w:rPr>
      </w:pPr>
    </w:p>
    <w:p>
      <w:pPr>
        <w:ind w:right="140" w:firstLine="656"/>
        <w:spacing w:after="0" w:line="311" w:lineRule="auto"/>
        <w:tabs>
          <w:tab w:leader="none" w:pos="77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All Benefits payments were made through the plan assets during the year ended December 31, 2015. During the year ended December 31, 2014, benefits payment of $644 were made directly by the Company and benefit payments of $105 were made through the plan assets.</w:t>
      </w:r>
    </w:p>
    <w:p>
      <w:pPr>
        <w:sectPr>
          <w:pgSz w:w="11900" w:h="16838" w:orient="portrait"/>
          <w:cols w:equalWidth="0" w:num="1">
            <w:col w:w="11420"/>
          </w:cols>
          <w:pgMar w:left="240" w:top="121" w:right="2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1" w:right="23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Exl Service 401(k) Plan (the “401(k) Plan”) under Section 401(k) of the Internal Revenue Code of 1986 (the “Code”), covering all eligible employees, as defined in the Code is a defined contribution plan. The Company may make discretionary contributions of up to a maximum of 3% of employee compensation within certain limits. Contributions to the 401(k) Plan amounted to $1,907, $1,503 and $1,147 during the years ended December 31, 2015, 2014 and 2013, respectively.</w:t>
      </w:r>
    </w:p>
    <w:p>
      <w:pPr>
        <w:spacing w:after="0" w:line="18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During the years ended December 31, 2015, 2014 and 2013, the Company contributed $5,753, $5,802 and $5,448 for the years ended December 31, 2015, 2014 and 2013, respectively for various defined contribution plans on behalf of its employees in India, the Philippines, Romania, Bulgaria and the Czech Republic.</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21" w:lineRule="exact"/>
        <w:rPr>
          <w:sz w:val="20"/>
          <w:szCs w:val="20"/>
          <w:color w:val="auto"/>
        </w:rPr>
      </w:pPr>
    </w:p>
    <w:p>
      <w:pPr>
        <w:jc w:val="both"/>
        <w:ind w:right="700" w:firstLine="432"/>
        <w:spacing w:after="0" w:line="342" w:lineRule="auto"/>
        <w:rPr>
          <w:sz w:val="20"/>
          <w:szCs w:val="20"/>
          <w:color w:val="auto"/>
        </w:rPr>
      </w:pPr>
      <w:r>
        <w:rPr>
          <w:rFonts w:ascii="Arial" w:cs="Arial" w:eastAsia="Arial" w:hAnsi="Arial"/>
          <w:sz w:val="16"/>
          <w:szCs w:val="16"/>
          <w:color w:val="auto"/>
        </w:rPr>
        <w:t>The Company finances its use of certain leasehold improvements, furniture, fixtures, office equipment and motor vehicles under various lease arrangements provided by financial institutions. Future minimum lease payments under these capital leases as of December 31, 2015 are as follows:</w:t>
      </w:r>
    </w:p>
    <w:p>
      <w:pPr>
        <w:spacing w:after="0" w:line="178"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6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2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6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December 31, 2015 are set forth below:</w:t>
      </w:r>
    </w:p>
    <w:p>
      <w:pPr>
        <w:spacing w:after="0" w:line="333" w:lineRule="exact"/>
        <w:rPr>
          <w:sz w:val="20"/>
          <w:szCs w:val="20"/>
          <w:color w:val="auto"/>
        </w:rPr>
      </w:pPr>
    </w:p>
    <w:tbl>
      <w:tblPr>
        <w:tblLayout w:type="fixed"/>
        <w:tblInd w:w="2080" w:type="dxa"/>
        <w:tblCellMar>
          <w:top w:w="0" w:type="dxa"/>
          <w:left w:w="0" w:type="dxa"/>
          <w:bottom w:w="0" w:type="dxa"/>
          <w:right w:w="0" w:type="dxa"/>
        </w:tblCellMar>
      </w:tblP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7,681</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2017</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4,782</w:t>
            </w: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2,249</w:t>
            </w:r>
          </w:p>
        </w:tc>
      </w:tr>
      <w:tr>
        <w:trPr>
          <w:trHeight w:val="27"/>
        </w:trPr>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2021 and thereafter</w:t>
            </w: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1,298</w:t>
            </w:r>
          </w:p>
        </w:tc>
      </w:tr>
      <w:tr>
        <w:trPr>
          <w:trHeight w:val="27"/>
        </w:trPr>
        <w:tc>
          <w:tcPr>
            <w:tcW w:w="6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recognizes rent on such leases on a straight line basis over the non-cancelable lease period determined under ASC topic 840, “Leases”. Rent expense under both cancelable and non-cancelable operating leases was $19,943, $18,884 and $17,384 for the years ended December 31, 2015, 2014 and 2013, respectively. Deferred rent as of December 31, 2015 and 2014 was $7,066 and $6,544, respectively, and is included under “Accrued expenses and other current liabilities” and “Non-current liabilities” in the consolidated balance sheets.</w:t>
      </w: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60"/>
          </w:cols>
          <w:pgMar w:left="240" w:top="121" w:right="2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before income taxes consist of the following:</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38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5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25,045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24,056</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420" w:type="dxa"/>
            <w:vAlign w:val="bottom"/>
          </w:tcPr>
          <w:p>
            <w:pPr>
              <w:ind w:left="2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50,731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42,423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40,921</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75,776</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64,977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The income tax expense consists of the following:</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3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80" w:type="dxa"/>
            <w:vAlign w:val="bottom"/>
          </w:tcPr>
          <w:p>
            <w:pPr>
              <w:spacing w:after="0"/>
              <w:rPr>
                <w:sz w:val="22"/>
                <w:szCs w:val="22"/>
                <w:color w:val="auto"/>
              </w:rPr>
            </w:pPr>
          </w:p>
        </w:tc>
        <w:tc>
          <w:tcPr>
            <w:tcW w:w="5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9,951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3,466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21,973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5,117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14,396</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80" w:type="dxa"/>
            <w:vAlign w:val="bottom"/>
          </w:tcPr>
          <w:p>
            <w:pPr>
              <w:spacing w:after="0"/>
              <w:rPr>
                <w:sz w:val="21"/>
                <w:szCs w:val="21"/>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0" w:type="dxa"/>
            <w:vAlign w:val="bottom"/>
          </w:tcPr>
          <w:p>
            <w:pPr>
              <w:spacing w:after="0"/>
              <w:rPr>
                <w:sz w:val="21"/>
                <w:szCs w:val="21"/>
                <w:color w:val="auto"/>
              </w:rPr>
            </w:pPr>
          </w:p>
        </w:tc>
        <w:tc>
          <w:tcPr>
            <w:tcW w:w="54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3,041</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0" w:type="dxa"/>
            <w:vAlign w:val="bottom"/>
          </w:tcPr>
          <w:p>
            <w:pPr>
              <w:spacing w:after="0"/>
              <w:rPr>
                <w:sz w:val="23"/>
                <w:szCs w:val="23"/>
                <w:color w:val="auto"/>
              </w:rPr>
            </w:pPr>
          </w:p>
        </w:tc>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0" w:type="dxa"/>
            <w:vAlign w:val="bottom"/>
          </w:tcPr>
          <w:p>
            <w:pPr>
              <w:spacing w:after="0"/>
              <w:rPr>
                <w:sz w:val="22"/>
                <w:szCs w:val="22"/>
                <w:color w:val="auto"/>
              </w:rPr>
            </w:pPr>
          </w:p>
        </w:tc>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24,211</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08"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2013</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22,742</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tax holiday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(1,412)</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(benefit)/provision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Unrecognized tax benefits and interest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2,399</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taxes, net of Federal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tax expense/(benefit)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(921)</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16,880</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effective tax rate increased from 13.8% for the year ended December 31, 2014 to 32.0% for the year ended December 31, 2015. The increase in 2015 was primarily due to a lower income tax expense during the year ended December 31, 2014, which was due to the reversal of an unrecognized tax benefit of $2,173 and lower income in the U.S. (versus other jurisdictions in which we incur taxes at a lower rate). The lower income in the U.S. was due to reimbursement of disentanglement costs to Travelers during the year ended December 31, 2014. The effective tax rate further increased in 2015 due to an income tax expense which related to immaterial errors from prior years of approximately $2,450, lower tax holiday benefits of $217 and increase in corporate tax rate in certain foreign subsidiaries of the Company during the year ended December 31, 2015 compared to the year ended December 31, 2014. The Company evaluated qualitative and quantitative factors in accordance with ASC Topic 250, Accounting Changes and Error Corrections, in determining that the income tax expense recorded in 2015 related to prior years was not material to the results of operations for the year ended December 31, 2015 or any of the prior years.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derives income tax benefits from a corporate tax holiday in the Philippines for its operations centers established there over the last several years. The tax holiday expired for one of its centers in 2014 and will expire over the next few years for other centers. Following the expiry of the tax exemption, income generated from centers in Philippines will be taxed at the prevailing annual tax rate, which is currently 5% on gross income.</w:t>
      </w:r>
    </w:p>
    <w:p>
      <w:pPr>
        <w:spacing w:after="0" w:line="166"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Certain operations centers in India, which were established in Special Economic Zones (“SEZs”), are eligible for tax incentives until 2025. These operations centers are eligible for a 100% income tax exemption for first five years of operations and 50% exemption for a period of five years thereafter.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diluted earnings per share effect of the tax holiday is $0.09, $0.10 and $0.16 for the years ended December 31, 2015, 2014 and 2013, respectively.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deferred tax balances as of December 31, 2015 and 2014 are as follows:</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69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Tax credit carry forward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5,164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4,442</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4,371</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8,099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5,595</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employee costs and other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2,715</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Net operating loss carry forwards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3,746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9,889</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exchange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1,268</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w:t>
            </w:r>
          </w:p>
        </w:tc>
      </w:tr>
      <w:tr>
        <w:trPr>
          <w:trHeight w:val="237"/>
        </w:trPr>
        <w:tc>
          <w:tcPr>
            <w:tcW w:w="69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26,355</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29,809</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w:t>
            </w:r>
          </w:p>
        </w:tc>
      </w:tr>
      <w:tr>
        <w:trPr>
          <w:trHeight w:val="237"/>
        </w:trPr>
        <w:tc>
          <w:tcPr>
            <w:tcW w:w="6920" w:type="dxa"/>
            <w:vAlign w:val="bottom"/>
          </w:tcPr>
          <w:p>
            <w:pPr>
              <w:ind w:left="700"/>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25,760</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29,080</w:t>
            </w:r>
          </w:p>
        </w:tc>
      </w:tr>
      <w:tr>
        <w:trPr>
          <w:trHeight w:val="27"/>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Unrealized exchange gain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667</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11,973</w:t>
            </w:r>
          </w:p>
        </w:tc>
      </w:tr>
      <w:tr>
        <w:trPr>
          <w:trHeight w:val="237"/>
        </w:trPr>
        <w:tc>
          <w:tcPr>
            <w:tcW w:w="6920" w:type="dxa"/>
            <w:vAlign w:val="bottom"/>
          </w:tcPr>
          <w:p>
            <w:pPr>
              <w:ind w:left="70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12,011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12,640</w:t>
            </w:r>
          </w:p>
        </w:tc>
      </w:tr>
      <w:tr>
        <w:trPr>
          <w:trHeight w:val="27"/>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13,749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2015 and 2014, the Company performed an analysis of the deferred tax asset valuation allowance for net operating loss carry forward for its domestic entities. Based on this analysis, the Company continues to carry a valuation allowance on the deferred tax assets on certain net operating loss carry forwards. Accordingly, the Company had recorded a valuation allowance of $512 and $665 as of December 31, 2015 and 2014, respectively. The Company also recorded a valuation allowance of $83 and $64 related to tax credit carry forward as of December 31, 2015 and 2014, respectively.</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result of the multiple acquisitions over the last few years, the Company acquired federal and state net operating losses in the United States. Thus, as of December 31, 2015 and 2014, the Company has federal net operating loss carry forwards of approximately $9,063 and $25,300 respectively, which expire through various years until 2032. The Company’s federal net operating loss carry forwards are subject to certain annual utilization limitations under Section 382 of the United States Internal Revenue Code. The Company also has state and local net operating loss carry forwards of varying amounts, which are subject to limitations under the applicable rules and regulations of those taxing jurisdictions. The Company estimates that it will be able to utilize all of the losses before their expiration.</w:t>
      </w:r>
    </w:p>
    <w:p>
      <w:pPr>
        <w:spacing w:after="0" w:line="1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At December 31, 2015 and 2014, no deferred income taxes have been provided for the Company’s share of undistributed net earnings of foreign operations due to management’s intent to reinvest such amounts indefinitely. Such earnings totaled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$261,804 and $222,292 as of December 31, 2015 and 2014, respectively. The determination of the amount of such unrecognized deferred taxes is not practicable.</w:t>
      </w:r>
    </w:p>
    <w:p>
      <w:pPr>
        <w:spacing w:after="0" w:line="17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The Company’s income tax expense also includes the impact of provisions established for uncertain income tax positions determined in accordance with ASC topic 740, </w:t>
      </w:r>
      <w:r>
        <w:rPr>
          <w:rFonts w:ascii="Arial" w:cs="Arial" w:eastAsia="Arial" w:hAnsi="Arial"/>
          <w:sz w:val="17"/>
          <w:szCs w:val="17"/>
          <w:i w:val="1"/>
          <w:iCs w:val="1"/>
          <w:color w:val="auto"/>
        </w:rPr>
        <w:t>“</w:t>
      </w:r>
      <w:r>
        <w:rPr>
          <w:rFonts w:ascii="Arial" w:cs="Arial" w:eastAsia="Arial" w:hAnsi="Arial"/>
          <w:sz w:val="17"/>
          <w:szCs w:val="17"/>
          <w:color w:val="auto"/>
        </w:rPr>
        <w:t>Income Taxes</w:t>
      </w:r>
      <w:r>
        <w:rPr>
          <w:rFonts w:ascii="Arial" w:cs="Arial" w:eastAsia="Arial" w:hAnsi="Arial"/>
          <w:sz w:val="17"/>
          <w:szCs w:val="17"/>
          <w:i w:val="1"/>
          <w:iCs w:val="1"/>
          <w:color w:val="auto"/>
        </w:rPr>
        <w:t>”</w:t>
      </w:r>
      <w:r>
        <w:rPr>
          <w:rFonts w:ascii="Arial" w:cs="Arial" w:eastAsia="Arial" w:hAnsi="Arial"/>
          <w:sz w:val="17"/>
          <w:szCs w:val="17"/>
          <w:color w:val="auto"/>
        </w:rPr>
        <w:t>,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income tax expense in the period in which such determination is made.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2015 through December 31, 2015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January 1, 2015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2,761</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1,937</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(1,818)</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4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Decreases related to current year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Effect of exchange rate changes</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9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9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2015</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2,797</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340" w:hanging="278"/>
        <w:spacing w:after="0"/>
        <w:tabs>
          <w:tab w:leader="none" w:pos="340" w:val="left"/>
        </w:tabs>
        <w:numPr>
          <w:ilvl w:val="0"/>
          <w:numId w:val="46"/>
        </w:numPr>
        <w:rPr>
          <w:rFonts w:ascii="Arial" w:cs="Arial" w:eastAsia="Arial" w:hAnsi="Arial"/>
          <w:sz w:val="15"/>
          <w:szCs w:val="15"/>
          <w:i w:val="1"/>
          <w:iCs w:val="1"/>
          <w:color w:val="auto"/>
        </w:rPr>
      </w:pPr>
      <w:r>
        <w:rPr>
          <w:rFonts w:ascii="Arial" w:cs="Arial" w:eastAsia="Arial" w:hAnsi="Arial"/>
          <w:sz w:val="15"/>
          <w:szCs w:val="15"/>
          <w:i w:val="1"/>
          <w:iCs w:val="1"/>
          <w:color w:val="auto"/>
        </w:rPr>
        <w:t>Unrecognized tax benefits of $1,818 related to immaterial errors related to prior years which were recorded and regularized during the year ended December 31, 2015.</w:t>
      </w:r>
    </w:p>
    <w:p>
      <w:pPr>
        <w:spacing w:after="0" w:line="228" w:lineRule="exact"/>
        <w:rPr>
          <w:rFonts w:ascii="Arial" w:cs="Arial" w:eastAsia="Arial" w:hAnsi="Arial"/>
          <w:sz w:val="15"/>
          <w:szCs w:val="15"/>
          <w:i w:val="1"/>
          <w:iCs w:val="1"/>
          <w:color w:val="auto"/>
        </w:rPr>
      </w:pPr>
    </w:p>
    <w:p>
      <w:pPr>
        <w:ind w:left="440"/>
        <w:spacing w:after="0"/>
        <w:rPr>
          <w:rFonts w:ascii="Arial" w:cs="Arial" w:eastAsia="Arial" w:hAnsi="Arial"/>
          <w:sz w:val="15"/>
          <w:szCs w:val="15"/>
          <w:i w:val="1"/>
          <w:iCs w:val="1"/>
          <w:color w:val="auto"/>
        </w:rPr>
      </w:pPr>
      <w:r>
        <w:rPr>
          <w:rFonts w:ascii="Arial" w:cs="Arial" w:eastAsia="Arial" w:hAnsi="Arial"/>
          <w:sz w:val="18"/>
          <w:szCs w:val="18"/>
          <w:color w:val="auto"/>
        </w:rPr>
        <w:t>The unrecognized tax benefits as of December 31, 2015 of $2,797, if recognized, would impact the effective tax rate.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recognized interest of $205 and $276 during the years ended December 31, 2015 and 2014, respectively, which is included in the income tax expense in the consolidated statements of income. As of December 31, 2015 and 2014, the Company has accrued interest and penalties of $1,269 and $1,117 relating to unrecognized tax benefits.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w:t>
      </w:r>
    </w:p>
    <w:p>
      <w:pPr>
        <w:spacing w:after="0" w:line="33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June 19, 2015, at the Company’s 2015 Annual Meeting of Stockholders, the Company's stockholders approved the 2015 Amendment and Restatement of the 2006 Omnibus Award Plan (the “2015 Plan”), which amended and restated the 2006 Omnibus Award Plan to, among other things, increased the total number of shares reserved for grants of awards under the 2015 Plan by 1,700,000 shares. As of December 31, 2015, the Company had 2,430,147 shares available for grant under the 2015 Plan.</w:t>
      </w:r>
    </w:p>
    <w:p>
      <w:pPr>
        <w:spacing w:after="0" w:line="7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the 2015 Plan, the Compensation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ten years from the date of grant and generally vest incrementally over a period of four years from the date of grant with 10% vesting at the end of year one, 20% vesting at the end of year two, 30% vesting at the end of year three and 40% vesting at the end of year four.</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applies the provisions of ASC 718, to account for its stock based compensation, using the modified prospective method of transition. Under the provisions of this guidance, the estimated fair value of share-based awards granted under stock incentive plans is recognized as compensation expense over the vesting period.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statements of income:</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2,895</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2,413</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6,077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5,077</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4,342</w:t>
            </w:r>
          </w:p>
        </w:tc>
      </w:tr>
      <w:tr>
        <w:trPr>
          <w:trHeight w:val="237"/>
        </w:trPr>
        <w:tc>
          <w:tcPr>
            <w:tcW w:w="542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11,832</w:t>
            </w:r>
          </w:p>
        </w:tc>
      </w:tr>
      <w:tr>
        <w:trPr>
          <w:trHeight w:val="27"/>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There were no options granted by the Company during the year ended December 31, 2015.</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366"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1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Intrinsic</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45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Options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2012</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2,454,634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14,301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8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(27,279)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2013</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1,956,515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9,794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8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(92,750)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2014</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1,433,179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Exercised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(216,980)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480"/>
              <w:spacing w:after="0"/>
              <w:rPr>
                <w:sz w:val="20"/>
                <w:szCs w:val="20"/>
                <w:color w:val="auto"/>
              </w:rPr>
            </w:pPr>
            <w:r>
              <w:rPr>
                <w:rFonts w:ascii="Arial" w:cs="Arial" w:eastAsia="Arial" w:hAnsi="Arial"/>
                <w:sz w:val="18"/>
                <w:szCs w:val="18"/>
                <w:color w:val="auto"/>
              </w:rPr>
              <w:t>Forfeited</w:t>
            </w:r>
          </w:p>
        </w:tc>
        <w:tc>
          <w:tcPr>
            <w:tcW w:w="1120" w:type="dxa"/>
            <w:vAlign w:val="bottom"/>
          </w:tcPr>
          <w:p>
            <w:pPr>
              <w:jc w:val="right"/>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1,210,141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34,638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December 31, 2015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40" w:type="dxa"/>
            <w:vAlign w:val="bottom"/>
            <w:vMerge w:val="continue"/>
          </w:tcPr>
          <w:p>
            <w:pPr>
              <w:spacing w:after="0"/>
              <w:rPr>
                <w:sz w:val="19"/>
                <w:szCs w:val="19"/>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1,135,278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33,130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unrecognized compensation cost for unvested options as of December 31, 2015 is $148 which is expected to be expensed over a weighted average period of 0.11 years. The weighted-average fair value of options granted during the years ended December 31, 2014 and 2013 was $9.77 and $10.07, respectively. The total grant date fair value of options vested during the years ended December 31, 2015, 2014 and 2013 was $1,228, $2,112 and $3,061, respectively. The aggregate intrinsic value of options exercised during the years ended December 31, 2015, 2014 and 2013 was $4,413, $5,757 and $8,960, respectively.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status of the Company’s stock options outstanding and stock options vested and exercisable at December 31, 2015:</w:t>
      </w:r>
    </w:p>
    <w:p>
      <w:pPr>
        <w:spacing w:after="0" w:line="253"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298"/>
              <w:spacing w:after="0" w:line="15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00" w:type="dxa"/>
            <w:vAlign w:val="bottom"/>
          </w:tcPr>
          <w:p>
            <w:pPr>
              <w:jc w:val="right"/>
              <w:ind w:right="35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78"/>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$8.00 to $15.00</w:t>
            </w:r>
          </w:p>
        </w:tc>
        <w:tc>
          <w:tcPr>
            <w:tcW w:w="13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546,543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546,543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$15.01 to $21.00</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322,661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18.33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322,661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$21.01 to $28.00</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340,937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24.41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1,210,141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1,135,278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13"/>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3"/>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80" w:type="dxa"/>
            <w:vAlign w:val="bottom"/>
            <w:vMerge w:val="restart"/>
          </w:tcPr>
          <w:p>
            <w:pPr>
              <w:jc w:val="right"/>
              <w:ind w:right="356"/>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Number</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3"/>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4100" w:type="dxa"/>
            <w:vAlign w:val="bottom"/>
            <w:tcBorders>
              <w:bottom w:val="single" w:sz="8" w:color="CCEEFF"/>
            </w:tcBorders>
          </w:tcPr>
          <w:p>
            <w:pPr>
              <w:spacing w:after="0"/>
              <w:rPr>
                <w:sz w:val="16"/>
                <w:szCs w:val="16"/>
                <w:color w:val="auto"/>
              </w:rPr>
            </w:pPr>
          </w:p>
        </w:tc>
        <w:tc>
          <w:tcPr>
            <w:tcW w:w="15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Intrinsic Value</w:t>
            </w: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290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5,207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1,025,911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5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522,130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29.37</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17.72</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(103,283)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25.04</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2013</w:t>
            </w:r>
          </w:p>
        </w:tc>
        <w:tc>
          <w:tcPr>
            <w:tcW w:w="15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Granted</w:t>
            </w:r>
          </w:p>
        </w:tc>
        <w:tc>
          <w:tcPr>
            <w:tcW w:w="2900" w:type="dxa"/>
            <w:vAlign w:val="bottom"/>
            <w:gridSpan w:val="2"/>
          </w:tcPr>
          <w:p>
            <w:pPr>
              <w:jc w:val="right"/>
              <w:ind w:right="56"/>
              <w:spacing w:after="0"/>
              <w:rPr>
                <w:sz w:val="20"/>
                <w:szCs w:val="20"/>
                <w:color w:val="auto"/>
              </w:rPr>
            </w:pPr>
            <w:r>
              <w:rPr>
                <w:rFonts w:ascii="Arial" w:cs="Arial" w:eastAsia="Arial" w:hAnsi="Arial"/>
                <w:sz w:val="18"/>
                <w:szCs w:val="18"/>
                <w:color w:val="auto"/>
              </w:rPr>
              <w:t>46,950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634,054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5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(436,660)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22.04</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2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(152,145)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2014*</w:t>
            </w:r>
          </w:p>
        </w:tc>
        <w:tc>
          <w:tcPr>
            <w:tcW w:w="290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46,950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1,189,691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Granted</w:t>
            </w:r>
          </w:p>
        </w:tc>
        <w:tc>
          <w:tcPr>
            <w:tcW w:w="2900" w:type="dxa"/>
            <w:vAlign w:val="bottom"/>
            <w:gridSpan w:val="2"/>
          </w:tcPr>
          <w:p>
            <w:pPr>
              <w:jc w:val="right"/>
              <w:ind w:right="56"/>
              <w:spacing w:after="0"/>
              <w:rPr>
                <w:sz w:val="20"/>
                <w:szCs w:val="20"/>
                <w:color w:val="auto"/>
              </w:rPr>
            </w:pPr>
            <w:r>
              <w:rPr>
                <w:rFonts w:ascii="Arial" w:cs="Arial" w:eastAsia="Arial" w:hAnsi="Arial"/>
                <w:sz w:val="18"/>
                <w:szCs w:val="18"/>
                <w:color w:val="auto"/>
              </w:rPr>
              <w:t>122,131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35.91</w:t>
            </w:r>
          </w:p>
        </w:tc>
        <w:tc>
          <w:tcPr>
            <w:tcW w:w="1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471,160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34.99</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(34,147)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(348,086)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43"/>
        </w:trPr>
        <w:tc>
          <w:tcPr>
            <w:tcW w:w="41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29.29</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(84,478)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2015*</w:t>
            </w:r>
          </w:p>
        </w:tc>
        <w:tc>
          <w:tcPr>
            <w:tcW w:w="290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129,638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1,228,287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00" w:type="dxa"/>
            <w:vAlign w:val="bottom"/>
          </w:tcPr>
          <w:p>
            <w:pPr>
              <w:spacing w:after="0"/>
              <w:rPr>
                <w:sz w:val="24"/>
                <w:szCs w:val="24"/>
                <w:color w:val="auto"/>
              </w:rPr>
            </w:pPr>
          </w:p>
        </w:tc>
        <w:tc>
          <w:tcPr>
            <w:tcW w:w="3020" w:type="dxa"/>
            <w:vAlign w:val="bottom"/>
            <w:gridSpan w:val="3"/>
          </w:tcPr>
          <w:p>
            <w:pPr>
              <w:ind w:left="1440"/>
              <w:spacing w:after="0"/>
              <w:rPr>
                <w:sz w:val="20"/>
                <w:szCs w:val="20"/>
                <w:color w:val="auto"/>
              </w:rPr>
            </w:pPr>
            <w:r>
              <w:rPr>
                <w:rFonts w:ascii="Arial" w:cs="Arial" w:eastAsia="Arial" w:hAnsi="Arial"/>
                <w:sz w:val="18"/>
                <w:szCs w:val="18"/>
                <w:color w:val="auto"/>
              </w:rPr>
              <w:t>F-35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14147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firstLine="8"/>
        <w:spacing w:after="0" w:line="275" w:lineRule="auto"/>
        <w:tabs>
          <w:tab w:leader="none" w:pos="284" w:val="left"/>
        </w:tabs>
        <w:numPr>
          <w:ilvl w:val="0"/>
          <w:numId w:val="47"/>
        </w:numPr>
        <w:rPr>
          <w:rFonts w:ascii="Arial" w:cs="Arial" w:eastAsia="Arial" w:hAnsi="Arial"/>
          <w:sz w:val="16"/>
          <w:szCs w:val="16"/>
          <w:i w:val="1"/>
          <w:iCs w:val="1"/>
          <w:color w:val="auto"/>
        </w:rPr>
      </w:pPr>
      <w:r>
        <w:rPr>
          <w:rFonts w:ascii="Arial" w:cs="Arial" w:eastAsia="Arial" w:hAnsi="Arial"/>
          <w:sz w:val="16"/>
          <w:szCs w:val="16"/>
          <w:i w:val="1"/>
          <w:iCs w:val="1"/>
          <w:color w:val="auto"/>
        </w:rPr>
        <w:t>Excludes 21,364 and 28,000 restricted stock units vested during the years ended December 31, 2015 and 2014, respectively. As of December 31, 2015 and 2014 restricted stock units vested for which the underlying common stock is yet to be issued are 149,364 and 128,000, respectively.</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restricted stock and restricted stock units is generally the market price of the Company’s shares on the date of grant. As of December 31, 2015, unrecognized compensation cost of $30,661 is expected to be expensed over a weighted average period of 2.53 years. The weighted-average fair value of restricted stock and restricted stock units granted during the years ended December 31, 2015, 2014 and 2013 was $35.18, $26.47 and $29.37, respectively. The total grant date fair value of restricted stock and restricted stock units vested during the years ended December 31, 2015, 2014 and 2013 was $12,620, $11,393 and $9,126, respectively.</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year ended December 31, 2015, the Company granted 122,131 restricted stock units in connection with its RPM acquisition. The fair value of these grants will be recognized as compensation expense over the vesting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Under the 2015 Plan, the Company grants performance-based restricted stock units (“PRSUs”) to executive officers and other specified employees. 50% of the PRSUs cliff vest at the end of a three-year period based on a revenue target for the third year (“PUs”). However, up to one-third of the PUs may be earned based on the Company’s revenue performance in each of first two years against annual revenue targets in those years. The total amount of PUs that the recipient earns based on these performance criteria, will be the greater of (i) the PUs earned in the year of vesting and (ii) the sum of the earned PUs during the first two years. The other 50% is based on a market condition (“MUs”) that is contingent on meeting or exceeding the total shareholder return relative to a group of peer companies specified under the program, measured over a three-year performance period. The award recipient may earn up to two hundred percent (200%) of the PRSUs granted based on the actual performance for both kinds of PRSUs.</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fair value of each PU was determined based on the market price of one common share of the Company on the date of grant, and the associated compensation expense was calculated on the basis that performance targets to receive 100% of the PUs is probable of being achieved. The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the related compensation expense will be expensed on a straight-line basis over the vesting period. All compensation expense related to the MUs will be recognized if the requisite performance period is fulfilled, even if the market condition is not achieved.</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Monte-Carlo simulation model simulates a range of possible future stock prices and estimates the probabilities of the potential payouts. This model also incorporates the following ranges of assumptions:</w:t>
      </w:r>
    </w:p>
    <w:p>
      <w:pPr>
        <w:spacing w:after="0" w:line="62" w:lineRule="exact"/>
        <w:rPr>
          <w:sz w:val="20"/>
          <w:szCs w:val="20"/>
          <w:color w:val="auto"/>
        </w:rPr>
      </w:pPr>
    </w:p>
    <w:p>
      <w:pPr>
        <w:ind w:left="640" w:hanging="321"/>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historical volatilities are used over the most recent three-year period for the components of the peer group.</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76" w:lineRule="exact"/>
        <w:rPr>
          <w:rFonts w:ascii="Arial" w:cs="Arial" w:eastAsia="Arial" w:hAnsi="Arial"/>
          <w:sz w:val="18"/>
          <w:szCs w:val="18"/>
          <w:color w:val="auto"/>
        </w:rPr>
      </w:pPr>
    </w:p>
    <w:p>
      <w:pPr>
        <w:ind w:left="640" w:right="560" w:hanging="321"/>
        <w:spacing w:after="0" w:line="27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8"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correlation coefficients are used to model the way in which each entity tends to move in relation to each other are based upon the price data used to calculate the historical volatilities.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1"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restricted stock unit activity under the Company’s stock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Weighted Avg</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8"/>
              </w:rPr>
              <w:t>Weighted Avg</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9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2014</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47,725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62,788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162,787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28.53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107,213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30.88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of December 31, 2015, unrecognized compensation cost of $7,661 is expected to be expensed over a weighted average period of 1.85 years.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Subsequent to December 31, 2015, the Company granted approximately 125,000 PRSUs and 380,000 restricted stock units to its employees.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Geographical Information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attributes the revenues to regions based upon location of its customers.</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40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r>
      <w:tr>
        <w:trPr>
          <w:trHeight w:val="264"/>
        </w:trPr>
        <w:tc>
          <w:tcPr>
            <w:tcW w:w="400" w:type="dxa"/>
            <w:vAlign w:val="bottom"/>
            <w:tcBorders>
              <w:bottom w:val="single" w:sz="8" w:color="CCEEFF"/>
            </w:tcBorders>
          </w:tcPr>
          <w:p>
            <w:pPr>
              <w:spacing w:after="0"/>
              <w:rPr>
                <w:sz w:val="22"/>
                <w:szCs w:val="22"/>
                <w:color w:val="auto"/>
              </w:rPr>
            </w:pPr>
          </w:p>
        </w:tc>
        <w:tc>
          <w:tcPr>
            <w:tcW w:w="50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 net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9"/>
              <w:spacing w:after="0"/>
              <w:rPr>
                <w:sz w:val="20"/>
                <w:szCs w:val="20"/>
                <w:color w:val="auto"/>
              </w:rPr>
            </w:pPr>
            <w:r>
              <w:rPr>
                <w:rFonts w:ascii="Arial" w:cs="Arial" w:eastAsia="Arial" w:hAnsi="Arial"/>
                <w:sz w:val="18"/>
                <w:szCs w:val="18"/>
                <w:color w:val="auto"/>
              </w:rPr>
              <w:t>496,418</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
              <w:spacing w:after="0"/>
              <w:rPr>
                <w:sz w:val="20"/>
                <w:szCs w:val="20"/>
                <w:color w:val="auto"/>
              </w:rPr>
            </w:pPr>
            <w:r>
              <w:rPr>
                <w:rFonts w:ascii="Arial" w:cs="Arial" w:eastAsia="Arial" w:hAnsi="Arial"/>
                <w:sz w:val="18"/>
                <w:szCs w:val="18"/>
                <w:color w:val="auto"/>
              </w:rPr>
              <w:t>368,870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353,274</w:t>
            </w:r>
          </w:p>
        </w:tc>
      </w:tr>
      <w:tr>
        <w:trPr>
          <w:trHeight w:val="27"/>
        </w:trPr>
        <w:tc>
          <w:tcPr>
            <w:tcW w:w="4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108,868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101,789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92,601</w:t>
            </w:r>
          </w:p>
        </w:tc>
      </w:tr>
      <w:tr>
        <w:trPr>
          <w:trHeight w:val="243"/>
        </w:trPr>
        <w:tc>
          <w:tcPr>
            <w:tcW w:w="5420" w:type="dxa"/>
            <w:vAlign w:val="bottom"/>
            <w:gridSpan w:val="2"/>
          </w:tcPr>
          <w:p>
            <w:pPr>
              <w:ind w:left="20"/>
              <w:spacing w:after="0"/>
              <w:rPr>
                <w:sz w:val="20"/>
                <w:szCs w:val="20"/>
                <w:color w:val="auto"/>
              </w:rPr>
            </w:pPr>
            <w:r>
              <w:rPr>
                <w:rFonts w:ascii="Arial" w:cs="Arial" w:eastAsia="Arial" w:hAnsi="Arial"/>
                <w:sz w:val="18"/>
                <w:szCs w:val="18"/>
                <w:color w:val="auto"/>
              </w:rPr>
              <w:t>Rest of World</w:t>
            </w:r>
          </w:p>
        </w:tc>
        <w:tc>
          <w:tcPr>
            <w:tcW w:w="320" w:type="dxa"/>
            <w:vAlign w:val="bottom"/>
          </w:tcPr>
          <w:p>
            <w:pPr>
              <w:spacing w:after="0"/>
              <w:rPr>
                <w:sz w:val="21"/>
                <w:szCs w:val="21"/>
                <w:color w:val="auto"/>
              </w:rPr>
            </w:pPr>
          </w:p>
        </w:tc>
        <w:tc>
          <w:tcPr>
            <w:tcW w:w="1060" w:type="dxa"/>
            <w:vAlign w:val="bottom"/>
            <w:gridSpan w:val="2"/>
          </w:tcPr>
          <w:p>
            <w:pPr>
              <w:jc w:val="right"/>
              <w:ind w:right="19"/>
              <w:spacing w:after="0"/>
              <w:rPr>
                <w:sz w:val="20"/>
                <w:szCs w:val="20"/>
                <w:color w:val="auto"/>
              </w:rPr>
            </w:pPr>
            <w:r>
              <w:rPr>
                <w:rFonts w:ascii="Arial" w:cs="Arial" w:eastAsia="Arial" w:hAnsi="Arial"/>
                <w:sz w:val="18"/>
                <w:szCs w:val="18"/>
                <w:color w:val="auto"/>
              </w:rPr>
              <w:t>23,206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3"/>
          </w:tcPr>
          <w:p>
            <w:pPr>
              <w:jc w:val="right"/>
              <w:ind w:right="16"/>
              <w:spacing w:after="0"/>
              <w:rPr>
                <w:sz w:val="20"/>
                <w:szCs w:val="20"/>
                <w:color w:val="auto"/>
              </w:rPr>
            </w:pPr>
            <w:r>
              <w:rPr>
                <w:rFonts w:ascii="Arial" w:cs="Arial" w:eastAsia="Arial" w:hAnsi="Arial"/>
                <w:sz w:val="18"/>
                <w:szCs w:val="18"/>
                <w:color w:val="auto"/>
              </w:rPr>
              <w:t>28,619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32,577</w:t>
            </w:r>
          </w:p>
        </w:tc>
      </w:tr>
      <w:tr>
        <w:trPr>
          <w:trHeight w:val="27"/>
        </w:trPr>
        <w:tc>
          <w:tcPr>
            <w:tcW w:w="400" w:type="dxa"/>
            <w:vAlign w:val="bottom"/>
            <w:tcBorders>
              <w:bottom w:val="single" w:sz="8" w:color="CCEEFF"/>
            </w:tcBorders>
          </w:tcPr>
          <w:p>
            <w:pPr>
              <w:spacing w:after="0"/>
              <w:rPr>
                <w:sz w:val="2"/>
                <w:szCs w:val="2"/>
                <w:color w:val="auto"/>
              </w:rPr>
            </w:pPr>
          </w:p>
        </w:tc>
        <w:tc>
          <w:tcPr>
            <w:tcW w:w="50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400" w:type="dxa"/>
            <w:vAlign w:val="bottom"/>
            <w:tcBorders>
              <w:bottom w:val="single" w:sz="8" w:color="CCEEFF"/>
            </w:tcBorders>
            <w:shd w:val="clear" w:color="auto" w:fill="CCEEFF"/>
          </w:tcPr>
          <w:p>
            <w:pPr>
              <w:spacing w:after="0"/>
              <w:rPr>
                <w:sz w:val="22"/>
                <w:szCs w:val="22"/>
                <w:color w:val="auto"/>
              </w:rPr>
            </w:pPr>
          </w:p>
        </w:tc>
        <w:tc>
          <w:tcPr>
            <w:tcW w:w="5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628,492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499,278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478,452</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40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 2015</w:t>
            </w:r>
          </w:p>
        </w:tc>
        <w:tc>
          <w:tcPr>
            <w:tcW w:w="17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8"/>
              </w:rPr>
              <w:t>December 31, 2014</w:t>
            </w:r>
          </w:p>
        </w:tc>
      </w:tr>
      <w:tr>
        <w:trPr>
          <w:trHeight w:val="250"/>
        </w:trPr>
        <w:tc>
          <w:tcPr>
            <w:tcW w:w="400" w:type="dxa"/>
            <w:vAlign w:val="bottom"/>
          </w:tcPr>
          <w:p>
            <w:pPr>
              <w:spacing w:after="0"/>
              <w:rPr>
                <w:sz w:val="21"/>
                <w:szCs w:val="21"/>
                <w:color w:val="auto"/>
              </w:rPr>
            </w:pPr>
          </w:p>
        </w:tc>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Fixed assets, net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India</w:t>
            </w:r>
          </w:p>
        </w:tc>
        <w:tc>
          <w:tcPr>
            <w:tcW w:w="320" w:type="dxa"/>
            <w:vAlign w:val="bottom"/>
          </w:tcPr>
          <w:p>
            <w:pPr>
              <w:spacing w:after="0"/>
              <w:rPr>
                <w:sz w:val="21"/>
                <w:szCs w:val="21"/>
                <w:color w:val="auto"/>
              </w:rPr>
            </w:pPr>
          </w:p>
        </w:tc>
        <w:tc>
          <w:tcPr>
            <w:tcW w:w="106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23,415</w:t>
            </w: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24,186</w:t>
            </w:r>
          </w:p>
        </w:tc>
        <w:tc>
          <w:tcPr>
            <w:tcW w:w="40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00" w:type="dxa"/>
            <w:vAlign w:val="bottom"/>
          </w:tcPr>
          <w:p>
            <w:pPr>
              <w:spacing w:after="0"/>
              <w:rPr>
                <w:sz w:val="21"/>
                <w:szCs w:val="21"/>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400" w:type="dxa"/>
            <w:vAlign w:val="bottom"/>
          </w:tcPr>
          <w:p>
            <w:pPr>
              <w:spacing w:after="0"/>
              <w:rPr>
                <w:sz w:val="21"/>
                <w:szCs w:val="21"/>
                <w:color w:val="auto"/>
              </w:rPr>
            </w:pPr>
          </w:p>
        </w:tc>
      </w:tr>
      <w:tr>
        <w:trPr>
          <w:trHeight w:val="243"/>
        </w:trPr>
        <w:tc>
          <w:tcPr>
            <w:tcW w:w="400" w:type="dxa"/>
            <w:vAlign w:val="bottom"/>
          </w:tcPr>
          <w:p>
            <w:pPr>
              <w:spacing w:after="0"/>
              <w:rPr>
                <w:sz w:val="21"/>
                <w:szCs w:val="21"/>
                <w:color w:val="auto"/>
              </w:rPr>
            </w:pPr>
          </w:p>
        </w:tc>
        <w:tc>
          <w:tcPr>
            <w:tcW w:w="502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12,391</w:t>
            </w:r>
          </w:p>
        </w:tc>
        <w:tc>
          <w:tcPr>
            <w:tcW w:w="40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400" w:type="dxa"/>
            <w:vAlign w:val="bottom"/>
          </w:tcPr>
          <w:p>
            <w:pPr>
              <w:spacing w:after="0"/>
              <w:rPr>
                <w:sz w:val="23"/>
                <w:szCs w:val="23"/>
                <w:color w:val="auto"/>
              </w:rPr>
            </w:pPr>
          </w:p>
        </w:tc>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400" w:type="dxa"/>
            <w:vAlign w:val="bottom"/>
          </w:tcPr>
          <w:p>
            <w:pPr>
              <w:spacing w:after="0"/>
              <w:rPr>
                <w:sz w:val="23"/>
                <w:szCs w:val="23"/>
                <w:color w:val="auto"/>
              </w:rPr>
            </w:pPr>
          </w:p>
        </w:tc>
      </w:tr>
      <w:tr>
        <w:trPr>
          <w:trHeight w:val="237"/>
        </w:trPr>
        <w:tc>
          <w:tcPr>
            <w:tcW w:w="40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47,991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45,369</w:t>
            </w:r>
          </w:p>
        </w:tc>
        <w:tc>
          <w:tcPr>
            <w:tcW w:w="400" w:type="dxa"/>
            <w:vAlign w:val="bottom"/>
          </w:tcPr>
          <w:p>
            <w:pPr>
              <w:spacing w:after="0"/>
              <w:rPr>
                <w:sz w:val="20"/>
                <w:szCs w:val="20"/>
                <w:color w:val="auto"/>
              </w:rPr>
            </w:pPr>
          </w:p>
        </w:tc>
      </w:tr>
      <w:tr>
        <w:trPr>
          <w:trHeight w:val="27"/>
        </w:trPr>
        <w:tc>
          <w:tcPr>
            <w:tcW w:w="400" w:type="dxa"/>
            <w:vAlign w:val="bottom"/>
          </w:tcPr>
          <w:p>
            <w:pPr>
              <w:spacing w:after="0"/>
              <w:rPr>
                <w:sz w:val="2"/>
                <w:szCs w:val="2"/>
                <w:color w:val="auto"/>
              </w:rPr>
            </w:pPr>
          </w:p>
        </w:tc>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0"/>
        </w:trPr>
        <w:tc>
          <w:tcPr>
            <w:tcW w:w="4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At December 31, 2015, the Company has committed to spend approximately $5,800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121"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w:t>
      </w:r>
    </w:p>
    <w:p>
      <w:pPr>
        <w:spacing w:after="0" w:line="17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aggregate disputed amount demanded by Income tax authorities from the Company related to its transfer pricing issues for years ranging from tax years 2003 to 2012 and its permanent establishment issues ranging from tax years 2003 to 2007 as of December 31, 2015 and 2014 is $21,360 and $22,866, respectively of which the Company has made payments or provided bank guarantee to the extent $14,668 and $14,666, respectively. Amounts paid as deposits in respect of such assessments aggregating to $12,665 and $12,564 as of December 31, 2015 and 2014, respectively, are included in “Other assets” and amounts deposited for bank guarantees aggregating to $2,003 and $2,102 as of December 31, 2015 and 2014, respectively, are included in “Restricted cash” in the non-current assets section of the Company’s consolidated balance sheets as of December 31, 2015 and 2014.</w:t>
      </w:r>
    </w:p>
    <w:p>
      <w:pPr>
        <w:spacing w:after="0" w:line="16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121"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Exhibit 21.1</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Subsidiaries of the Registrant</w:t>
      </w:r>
    </w:p>
    <w:p>
      <w:pPr>
        <w:sectPr>
          <w:pgSz w:w="11900" w:h="16838" w:orient="portrait"/>
          <w:cols w:equalWidth="0" w:num="1">
            <w:col w:w="11420"/>
          </w:cols>
          <w:pgMar w:left="240" w:top="584" w:right="239" w:bottom="1440" w:gutter="0" w:footer="0" w:header="0"/>
        </w:sectPr>
      </w:pPr>
    </w:p>
    <w:p>
      <w:pPr>
        <w:spacing w:after="0" w:line="39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w:t>
      </w:r>
    </w:p>
    <w:p>
      <w:pPr>
        <w:spacing w:after="0" w:line="90" w:lineRule="exact"/>
        <w:rPr>
          <w:sz w:val="20"/>
          <w:szCs w:val="20"/>
          <w:color w:val="auto"/>
        </w:rPr>
      </w:pPr>
    </w:p>
    <w:p>
      <w:pPr>
        <w:sectPr>
          <w:pgSz w:w="11900" w:h="16838" w:orient="portrait"/>
          <w:cols w:equalWidth="0" w:num="2">
            <w:col w:w="7020" w:space="720"/>
            <w:col w:w="3680"/>
          </w:cols>
          <w:pgMar w:left="240" w:top="584" w:right="239" w:bottom="1440" w:gutter="0" w:footer="0" w:header="0"/>
          <w:type w:val="continuous"/>
        </w:sectPr>
      </w:pPr>
    </w:p>
    <w:p>
      <w:pPr>
        <w:ind w:left="1120"/>
        <w:spacing w:after="0"/>
        <w:rPr>
          <w:sz w:val="20"/>
          <w:szCs w:val="20"/>
          <w:color w:val="auto"/>
        </w:rPr>
      </w:pPr>
      <w:r>
        <w:rPr>
          <w:rFonts w:ascii="Arial" w:cs="Arial" w:eastAsia="Arial" w:hAnsi="Arial"/>
          <w:sz w:val="16"/>
          <w:szCs w:val="16"/>
          <w:color w:val="auto"/>
        </w:rPr>
        <w:t>Business Process Outsourcing (India) Private Limited</w:t>
      </w:r>
    </w:p>
    <w:p>
      <w:pPr>
        <w:spacing w:after="0" w:line="8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Business Process Outsourcing Ltd.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Business Process Outsourcing, LLC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 Service South Africa (PTY) Ltd.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 Service.com (India) Private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 Support Services Private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(UK)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Australia Pty Ltd.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Bulgaria EAD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Colombia, S.A.S.</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Czech Republic S.R.O.</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Germany GmbH</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Mauritius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Philippines, Inc.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Romania Private Limited S.R.L.</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SEZ BPO Solutions Private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Switzerland GmbH</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 Technology Solutions, LLC*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ExlService.com, LLC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Inductis (India) Private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Inductis (Singapore) PTE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Insight Solutions, LLC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JCG New Media, LLC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OPI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Outsource Partners International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Outsource Partners International Private Limited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Outsource Partners International SDN BHD</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Outsource Partners International, Inc.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Overland Holdings, Inc.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Overland Solutions, Inc.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RPM Data Solutions, LLC</w:t>
      </w:r>
    </w:p>
    <w:p>
      <w:pPr>
        <w:spacing w:after="0" w:line="6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RPM Direct,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Kansas City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200" w:lineRule="exact"/>
        <w:rPr>
          <w:sz w:val="20"/>
          <w:szCs w:val="20"/>
          <w:color w:val="auto"/>
        </w:rPr>
      </w:pPr>
    </w:p>
    <w:p>
      <w:pPr>
        <w:sectPr>
          <w:pgSz w:w="11900" w:h="16838" w:orient="portrait"/>
          <w:cols w:equalWidth="0" w:num="2">
            <w:col w:w="7020" w:space="720"/>
            <w:col w:w="3680"/>
          </w:cols>
          <w:pgMar w:left="240" w:top="584" w:right="239" w:bottom="1440" w:gutter="0" w:footer="0" w:header="0"/>
          <w:type w:val="continuous"/>
        </w:sectPr>
      </w:pPr>
    </w:p>
    <w:p>
      <w:pPr>
        <w:spacing w:after="0" w:line="52" w:lineRule="exact"/>
        <w:rPr>
          <w:sz w:val="20"/>
          <w:szCs w:val="20"/>
          <w:color w:val="auto"/>
        </w:rPr>
      </w:pPr>
    </w:p>
    <w:p>
      <w:pPr>
        <w:ind w:right="480"/>
        <w:spacing w:after="0" w:line="258" w:lineRule="auto"/>
        <w:rPr>
          <w:sz w:val="20"/>
          <w:szCs w:val="20"/>
          <w:color w:val="auto"/>
        </w:rPr>
      </w:pPr>
      <w:r>
        <w:rPr>
          <w:rFonts w:ascii="Arial" w:cs="Arial" w:eastAsia="Arial" w:hAnsi="Arial"/>
          <w:sz w:val="18"/>
          <w:szCs w:val="18"/>
          <w:color w:val="auto"/>
        </w:rPr>
        <w:t>*Professional Data Management Again Inc. has been renamed to ExlService Technology Solutions, LLC and converted from a corporation into an LLC effective January 28, 2015</w:t>
      </w:r>
    </w:p>
    <w:p>
      <w:pPr>
        <w:spacing w:after="0" w:line="1" w:lineRule="exact"/>
        <w:rPr>
          <w:sz w:val="20"/>
          <w:szCs w:val="20"/>
          <w:color w:val="auto"/>
        </w:rPr>
      </w:pPr>
    </w:p>
    <w:p>
      <w:pPr>
        <w:ind w:right="40" w:firstLine="8"/>
        <w:spacing w:after="0" w:line="261" w:lineRule="auto"/>
        <w:tabs>
          <w:tab w:leader="none" w:pos="13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Trumbull Services, LLC, Landacorp, Inc., and BlueSlate Solutions, LLC merged with and into ExlService Technology Solutions, LLC effective January 31, 2015</w:t>
      </w:r>
    </w:p>
    <w:p>
      <w:pPr>
        <w:sectPr>
          <w:pgSz w:w="11900" w:h="16838" w:orient="portrait"/>
          <w:cols w:equalWidth="0" w:num="1">
            <w:col w:w="11420"/>
          </w:cols>
          <w:pgMar w:left="240" w:top="584" w:right="2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620" w:hanging="288"/>
        <w:spacing w:after="0"/>
        <w:tabs>
          <w:tab w:leader="none" w:pos="6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Registration Statement on Form S-3 (No. 333-179098) of ExlService Holdings, Inc.; and</w:t>
      </w:r>
    </w:p>
    <w:p>
      <w:pPr>
        <w:spacing w:after="0" w:line="229" w:lineRule="exact"/>
        <w:rPr>
          <w:rFonts w:ascii="Arial" w:cs="Arial" w:eastAsia="Arial" w:hAnsi="Arial"/>
          <w:sz w:val="20"/>
          <w:szCs w:val="20"/>
          <w:color w:val="auto"/>
        </w:rPr>
      </w:pPr>
    </w:p>
    <w:p>
      <w:pPr>
        <w:ind w:left="620" w:hanging="288"/>
        <w:spacing w:after="0"/>
        <w:tabs>
          <w:tab w:leader="none" w:pos="6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Registration Statements on Form S-8 (Nos. 333-139211; 333-157076; and 333-206022) of ExlService Holdings, Inc.</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of our reports dated February 26, 2016, with respect to the consolidated financial statements of ExlService Holdings, Inc., and the effectiveness of internal control over financial reporting of ExlService Holdings, Inc. included in this Annual Report (Form 10-K) of ExlService Holdings, Inc. for the year ended December 31, 2015.</w:t>
      </w:r>
    </w:p>
    <w:p>
      <w:pPr>
        <w:spacing w:after="0" w:line="200" w:lineRule="exact"/>
        <w:rPr>
          <w:sz w:val="20"/>
          <w:szCs w:val="20"/>
          <w:color w:val="auto"/>
        </w:rPr>
      </w:pPr>
    </w:p>
    <w:p>
      <w:pPr>
        <w:spacing w:after="0" w:line="36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58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 for the year ended December 31, 2015;</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5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 for the year ended December 31, 2015;</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5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February 26, 2016</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Annual Report of ExlService Holdings, Inc. (the “Company”) on Form 10-K for the year ended December 31, 2015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2016</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2015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2016</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gt;"/>
      <w:numFmt w:val="bullet"/>
      <w:start w:val="1"/>
    </w:lvl>
  </w:abstractNum>
  <w:abstractNum w:abstractNumId="4">
    <w:nsid w:val="3A95F874"/>
    <w:multiLevelType w:val="hybridMultilevel"/>
    <w:lvl w:ilvl="0">
      <w:lvlJc w:val="left"/>
      <w:lvlText w:val="&gt;"/>
      <w:numFmt w:val="bullet"/>
      <w:start w:val="1"/>
    </w:lvl>
  </w:abstractNum>
  <w:abstractNum w:abstractNumId="5">
    <w:nsid w:val="8138641"/>
    <w:multiLevelType w:val="hybridMultilevel"/>
    <w:lvl w:ilvl="0">
      <w:lvlJc w:val="left"/>
      <w:lvlText w:val="&gt;"/>
      <w:numFmt w:val="bullet"/>
      <w:start w:val="1"/>
    </w:lvl>
  </w:abstractNum>
  <w:abstractNum w:abstractNumId="6">
    <w:nsid w:val="1E7FF521"/>
    <w:multiLevelType w:val="hybridMultilevel"/>
    <w:lvl w:ilvl="0">
      <w:lvlJc w:val="left"/>
      <w:lvlText w:val="&gt;"/>
      <w:numFmt w:val="bullet"/>
      <w:start w:val="1"/>
    </w:lvl>
  </w:abstractNum>
  <w:abstractNum w:abstractNumId="7">
    <w:nsid w:val="7C3DBD3D"/>
    <w:multiLevelType w:val="hybridMultilevel"/>
    <w:lvl w:ilvl="0">
      <w:lvlJc w:val="left"/>
      <w:lvlText w:val="&gt;"/>
      <w:numFmt w:val="bullet"/>
      <w:start w:val="1"/>
    </w:lvl>
  </w:abstractNum>
  <w:abstractNum w:abstractNumId="8">
    <w:nsid w:val="737B8DDC"/>
    <w:multiLevelType w:val="hybridMultilevel"/>
    <w:lvl w:ilvl="0">
      <w:lvlJc w:val="left"/>
      <w:lvlText w:val="&gt;"/>
      <w:numFmt w:val="bullet"/>
      <w:start w:val="1"/>
    </w:lvl>
  </w:abstractNum>
  <w:abstractNum w:abstractNumId="9">
    <w:nsid w:val="6CEAF087"/>
    <w:multiLevelType w:val="hybridMultilevel"/>
    <w:lvl w:ilvl="0">
      <w:lvlJc w:val="left"/>
      <w:lvlText w:val="&gt;"/>
      <w:numFmt w:val="bullet"/>
      <w:start w:val="1"/>
    </w:lvl>
  </w:abstractNum>
  <w:abstractNum w:abstractNumId="10">
    <w:nsid w:val="22221A70"/>
    <w:multiLevelType w:val="hybridMultilevel"/>
    <w:lvl w:ilvl="0">
      <w:lvlJc w:val="left"/>
      <w:lvlText w:val="&gt;"/>
      <w:numFmt w:val="bullet"/>
      <w:start w:val="1"/>
    </w:lvl>
  </w:abstractNum>
  <w:abstractNum w:abstractNumId="11">
    <w:nsid w:val="4516DDE9"/>
    <w:multiLevelType w:val="hybridMultilevel"/>
    <w:lvl w:ilvl="0">
      <w:lvlJc w:val="left"/>
      <w:lvlText w:val="&gt;"/>
      <w:numFmt w:val="bullet"/>
      <w:start w:val="1"/>
    </w:lvl>
  </w:abstractNum>
  <w:abstractNum w:abstractNumId="12">
    <w:nsid w:val="3006C83E"/>
    <w:multiLevelType w:val="hybridMultilevel"/>
    <w:lvl w:ilvl="0">
      <w:lvlJc w:val="left"/>
      <w:lvlText w:val="&gt;"/>
      <w:numFmt w:val="bullet"/>
      <w:start w:val="1"/>
    </w:lvl>
  </w:abstractNum>
  <w:abstractNum w:abstractNumId="13">
    <w:nsid w:val="614FD4A1"/>
    <w:multiLevelType w:val="hybridMultilevel"/>
    <w:lvl w:ilvl="0">
      <w:lvlJc w:val="left"/>
      <w:lvlText w:val="&gt;"/>
      <w:numFmt w:val="bullet"/>
      <w:start w:val="1"/>
    </w:lvl>
  </w:abstractNum>
  <w:abstractNum w:abstractNumId="14">
    <w:nsid w:val="419AC241"/>
    <w:multiLevelType w:val="hybridMultilevel"/>
    <w:lvl w:ilvl="0">
      <w:lvlJc w:val="left"/>
      <w:lvlText w:val="&gt;"/>
      <w:numFmt w:val="bullet"/>
      <w:start w:val="1"/>
    </w:lvl>
  </w:abstractNum>
  <w:abstractNum w:abstractNumId="15">
    <w:nsid w:val="5577F8E1"/>
    <w:multiLevelType w:val="hybridMultilevel"/>
    <w:lvl w:ilvl="0">
      <w:lvlJc w:val="left"/>
      <w:lvlText w:val="&gt;"/>
      <w:numFmt w:val="bullet"/>
      <w:start w:val="1"/>
    </w:lvl>
  </w:abstractNum>
  <w:abstractNum w:abstractNumId="16">
    <w:nsid w:val="440BADFC"/>
    <w:multiLevelType w:val="hybridMultilevel"/>
    <w:lvl w:ilvl="0">
      <w:lvlJc w:val="left"/>
      <w:lvlText w:val="&gt;"/>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gt;"/>
      <w:numFmt w:val="bullet"/>
      <w:start w:val="1"/>
    </w:lvl>
  </w:abstractNum>
  <w:abstractNum w:abstractNumId="19">
    <w:nsid w:val="77465F01"/>
    <w:multiLevelType w:val="hybridMultilevel"/>
    <w:lvl w:ilvl="0">
      <w:lvlJc w:val="left"/>
      <w:lvlText w:val="&gt;"/>
      <w:numFmt w:val="bullet"/>
      <w:start w:val="1"/>
    </w:lvl>
  </w:abstractNum>
  <w:abstractNum w:abstractNumId="20">
    <w:nsid w:val="7724C67E"/>
    <w:multiLevelType w:val="hybridMultilevel"/>
    <w:lvl w:ilvl="0">
      <w:lvlJc w:val="left"/>
      <w:lvlText w:val="&gt;"/>
      <w:numFmt w:val="bullet"/>
      <w:start w:val="1"/>
    </w:lvl>
  </w:abstractNum>
  <w:abstractNum w:abstractNumId="21">
    <w:nsid w:val="5C482A97"/>
    <w:multiLevelType w:val="hybridMultilevel"/>
    <w:lvl w:ilvl="0">
      <w:lvlJc w:val="left"/>
      <w:lvlText w:val="&gt;"/>
      <w:numFmt w:val="bullet"/>
      <w:start w:val="1"/>
    </w:lvl>
  </w:abstractNum>
  <w:abstractNum w:abstractNumId="22">
    <w:nsid w:val="2463B9EA"/>
    <w:multiLevelType w:val="hybridMultilevel"/>
    <w:lvl w:ilvl="0">
      <w:lvlJc w:val="left"/>
      <w:lvlText w:val="&gt;"/>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1)"/>
      <w:numFmt w:val="decimal"/>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
      <w:numFmt w:val="bullet"/>
      <w:start w:val="1"/>
    </w:lvl>
    <w:lvl w:ilvl="1">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1)"/>
      <w:numFmt w:val="lowerLetter"/>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1)"/>
      <w:numFmt w:val="lowerLetter"/>
      <w:start w:val="1"/>
    </w:lvl>
  </w:abstractNum>
  <w:abstractNum w:abstractNumId="35">
    <w:nsid w:val="57E4CCAF"/>
    <w:multiLevelType w:val="hybridMultilevel"/>
    <w:lvl w:ilvl="0">
      <w:lvlJc w:val="left"/>
      <w:lvlText w:val="%1."/>
      <w:numFmt w:val="decimal"/>
      <w:start w:val="2"/>
    </w:lvl>
  </w:abstractNum>
  <w:abstractNum w:abstractNumId="36">
    <w:nsid w:val="7A6D8D3C"/>
    <w:multiLevelType w:val="hybridMultilevel"/>
    <w:lvl w:ilvl="0">
      <w:lvlJc w:val="left"/>
      <w:lvlText w:val="%1."/>
      <w:numFmt w:val="decimal"/>
      <w:start w:val="3"/>
    </w:lvl>
  </w:abstractNum>
  <w:abstractNum w:abstractNumId="37">
    <w:nsid w:val="4B588F54"/>
    <w:multiLevelType w:val="hybridMultilevel"/>
    <w:lvl w:ilvl="0">
      <w:lvlJc w:val="left"/>
      <w:lvlText w:val="(%1)"/>
      <w:numFmt w:val="lowerLetter"/>
      <w:start w:val="2"/>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1."/>
      <w:numFmt w:val="decimal"/>
      <w:start w:val="5"/>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lowerLetter"/>
      <w:start w:val="1"/>
    </w:lvl>
  </w:abstractNum>
  <w:abstractNum w:abstractNumId="53">
    <w:nsid w:val="374A3FE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2019-12-29T13:57:18Z</dcterms:created>
  <dcterms:modified xsi:type="dcterms:W3CDTF">2019-12-29T13:57:18Z</dcterms:modified>
</cp:coreProperties>
</file>