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8"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02/13/2016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COO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8"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8"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02/13/2016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88"/>
              </w:rPr>
              <w:t>2,300</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101,856</w:t>
            </w:r>
            <w:r>
              <w:rPr>
                <w:rFonts w:ascii="Arial" w:cs="Arial" w:eastAsia="Arial" w:hAnsi="Arial"/>
                <w:sz w:val="22"/>
                <w:szCs w:val="22"/>
                <w:color w:val="008000"/>
                <w:w w:val="84"/>
                <w:vertAlign w:val="superscript"/>
              </w:rPr>
              <w:t>(2)</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02/13/2016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796</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43.78</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101,060</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02/13/2016</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93"/>
              </w:rPr>
              <w:t>601</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101,661</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02/13/2016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208</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43.78</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101,453</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2,300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02/13/2016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18"/>
              <w:spacing w:after="0" w:line="149" w:lineRule="exact"/>
              <w:rPr>
                <w:sz w:val="20"/>
                <w:szCs w:val="20"/>
                <w:color w:val="auto"/>
              </w:rPr>
            </w:pPr>
            <w:r>
              <w:rPr>
                <w:rFonts w:ascii="Arial" w:cs="Arial" w:eastAsia="Arial" w:hAnsi="Arial"/>
                <w:sz w:val="14"/>
                <w:szCs w:val="14"/>
                <w:color w:val="0000FF"/>
              </w:rPr>
              <w:t>2,300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right"/>
              <w:ind w:right="278"/>
              <w:spacing w:after="0" w:line="149" w:lineRule="exact"/>
              <w:rPr>
                <w:sz w:val="20"/>
                <w:szCs w:val="20"/>
                <w:color w:val="auto"/>
              </w:rPr>
            </w:pPr>
            <w:r>
              <w:rPr>
                <w:rFonts w:ascii="Arial" w:cs="Arial" w:eastAsia="Arial" w:hAnsi="Arial"/>
                <w:sz w:val="14"/>
                <w:szCs w:val="14"/>
                <w:color w:val="0000FF"/>
              </w:rPr>
              <w:t>8,050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112"/>
              <w:spacing w:after="0"/>
              <w:rPr>
                <w:sz w:val="20"/>
                <w:szCs w:val="20"/>
                <w:color w:val="auto"/>
              </w:rPr>
            </w:pPr>
            <w:r>
              <w:rPr>
                <w:rFonts w:ascii="Arial" w:cs="Arial" w:eastAsia="Arial" w:hAnsi="Arial"/>
                <w:sz w:val="18"/>
                <w:szCs w:val="18"/>
                <w:color w:val="0000FF"/>
              </w:rPr>
              <w:t>601</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02/13/2016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58"/>
              <w:spacing w:after="0" w:line="149" w:lineRule="exact"/>
              <w:rPr>
                <w:sz w:val="20"/>
                <w:szCs w:val="20"/>
                <w:color w:val="auto"/>
              </w:rPr>
            </w:pPr>
            <w:r>
              <w:rPr>
                <w:rFonts w:ascii="Arial" w:cs="Arial" w:eastAsia="Arial" w:hAnsi="Arial"/>
                <w:sz w:val="14"/>
                <w:szCs w:val="14"/>
                <w:color w:val="0000FF"/>
              </w:rPr>
              <w:t>601</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right"/>
              <w:ind w:right="318"/>
              <w:spacing w:after="0" w:line="149" w:lineRule="exact"/>
              <w:rPr>
                <w:sz w:val="20"/>
                <w:szCs w:val="20"/>
                <w:color w:val="auto"/>
              </w:rPr>
            </w:pPr>
            <w:r>
              <w:rPr>
                <w:rFonts w:ascii="Arial" w:cs="Arial" w:eastAsia="Arial" w:hAnsi="Arial"/>
                <w:sz w:val="14"/>
                <w:szCs w:val="14"/>
                <w:color w:val="0000FF"/>
              </w:rPr>
              <w:t>602</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total number of directly held shares indicated above has been adjusted to correct a prior inadvertent understatement due to administrative error.</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13, 2016. Pursuant to the Company's 2006 Omnibus Award Plan, pursuant to which such restricted stock units were granted, the closing price of the Common Stock on the Nasdaq Global Select Market on the preceding day is used for purposes of computing tax reporting and withholding.</w:t>
      </w:r>
    </w:p>
    <w:p>
      <w:pPr>
        <w:jc w:val="both"/>
        <w:ind w:left="40" w:right="3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2014, the reporting person was granted 11,500 restricted stock units, 10 percent of the restricted stock units became vested on February 13, 2015, an additional 20 percent of the restricted stock units became vested on February 13, 2016, an additional 30 percent of the restricted stock units will vest on February 13, 2017, and the remaining balance i/n/o 4,600 shares of the restricted stock units will vest on February 13, 2018.</w:t>
      </w:r>
    </w:p>
    <w:p>
      <w:pPr>
        <w:spacing w:after="0" w:line="30" w:lineRule="exact"/>
        <w:rPr>
          <w:rFonts w:ascii="Arial" w:cs="Arial" w:eastAsia="Arial" w:hAnsi="Arial"/>
          <w:sz w:val="14"/>
          <w:szCs w:val="14"/>
          <w:color w:val="008000"/>
        </w:rPr>
      </w:pPr>
    </w:p>
    <w:p>
      <w:pPr>
        <w:ind w:left="40" w:right="20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13, 2014, the reporting person was granted 1,804 restricted stock units, vesting in three annual installments beginning on the first anniversary of the grant date. 601 restricted stock units became vested on February 13, 2015, an additional 601 restricted stock units became vested on February 13, 2016, and the remaining balance i/n/o 602 restricted stock units will vest on February 13, 2017.</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02/17/2016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2019-12-08T02:50:32Z</dcterms:created>
  <dcterms:modified xsi:type="dcterms:W3CDTF">2019-12-08T02:50:32Z</dcterms:modified>
</cp:coreProperties>
</file>