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November 1, 2018</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10017</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(Zip code)</w:t>
      </w:r>
    </w:p>
    <w:p>
      <w:pPr>
        <w:spacing w:after="0" w:line="897" w:lineRule="exact"/>
        <w:rPr>
          <w:sz w:val="24"/>
          <w:szCs w:val="24"/>
          <w:color w:val="auto"/>
        </w:rPr>
      </w:pPr>
    </w:p>
    <w:p>
      <w:pPr>
        <w:sectPr>
          <w:pgSz w:w="11900" w:h="16838" w:orient="portrait"/>
          <w:cols w:equalWidth="0" w:num="2">
            <w:col w:w="8700" w:space="720"/>
            <w:col w:w="1980"/>
          </w:cols>
          <w:pgMar w:left="240" w:top="999" w:right="259" w:bottom="1440" w:gutter="0" w:footer="0" w:header="0"/>
          <w:type w:val="continuous"/>
        </w:sectPr>
      </w:pP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address, if changed since last report)</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7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 2018, ExlService Holdings, Inc. (the “Company”) reported its results of operations for the three months ended September 30, 2018.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040" w:type="dxa"/>
            <w:vAlign w:val="bottom"/>
            <w:gridSpan w:val="5"/>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November 1, 2018 (furnished pursuant to Item 2.02)</w:t>
              </w:r>
            </w:hyperlink>
            <w:r>
              <w:rPr>
                <w:rFonts w:ascii="Arial" w:cs="Arial" w:eastAsia="Arial" w:hAnsi="Arial"/>
                <w:sz w:val="18"/>
                <w:szCs w:val="18"/>
                <w:color w:val="000000"/>
                <w:w w:val="88"/>
              </w:rPr>
              <w:t>.</w:t>
            </w:r>
          </w:p>
        </w:tc>
      </w:tr>
      <w:tr>
        <w:trPr>
          <w:trHeight w:val="20"/>
        </w:trPr>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980" w:type="dxa"/>
            <w:vAlign w:val="bottom"/>
            <w:gridSpan w:val="2"/>
          </w:tcPr>
          <w:p>
            <w:pPr>
              <w:ind w:left="16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00" w:type="dxa"/>
            <w:vAlign w:val="bottom"/>
          </w:tcPr>
          <w:p>
            <w:pPr>
              <w:spacing w:after="0"/>
              <w:rPr>
                <w:sz w:val="20"/>
                <w:szCs w:val="20"/>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Arial" w:cs="Arial" w:eastAsia="Arial" w:hAnsi="Arial"/>
                <w:sz w:val="18"/>
                <w:szCs w:val="18"/>
                <w:color w:val="auto"/>
              </w:rPr>
              <w:t>Date: November 1, 2018</w:t>
            </w:r>
          </w:p>
        </w:tc>
        <w:tc>
          <w:tcPr>
            <w:tcW w:w="2960" w:type="dxa"/>
            <w:vAlign w:val="bottom"/>
          </w:tcPr>
          <w:p>
            <w:pPr>
              <w:ind w:left="16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400" w:type="dxa"/>
            <w:vAlign w:val="bottom"/>
          </w:tcPr>
          <w:p>
            <w:pPr>
              <w:spacing w:after="0"/>
              <w:rPr>
                <w:sz w:val="23"/>
                <w:szCs w:val="23"/>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Deputy 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2018 THIRD QUARTER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2018 Third Quarter Revenues of $231.1 Million, up 20.2% year over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Q3 Diluted EPS (GAAP) of $0.43, down from $0.60 in Q3 of 2017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Q3 Adjusted Diluted EPS (Non-GAAP) of $0.71, up from $0.69 in Q3 of 2017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November 1, 2018 - ExlService Holdings, Inc. (NASDAQ: EXLS), a leading operations management and analytics company, today announced its financial results for the quarter ended September 30, 2018.</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Rohit Kapoor, Vice Chairman and Chief Executive Officer, said, “EXL generated revenues of $231.1 million, up 20.2% year-over-year. Our adjusted diluted EPS was $0.71. EXL’s revenue growth was led by a 53.9% increase in Analytics revenues driven by an 18.2% increase in organic revenue and the acquisition of SCIO Health Analytics. Our operations management businesses revenues grew by 7.1%, which was driven largely by revenues growth in Insurance and Finance &amp; Accounting.</w:t>
      </w:r>
    </w:p>
    <w:p>
      <w:pPr>
        <w:spacing w:after="0" w:line="227"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“Our differentiated Digital Intelligence strategy is resonating well in the marketplace and is driving a strong pipeline. Additionally, the integration of SCIO is on track and will create a compelling offering across the Analytics and healthcare markets.”</w:t>
      </w:r>
    </w:p>
    <w:p>
      <w:pPr>
        <w:spacing w:after="0" w:line="170"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Vishal Chhibbar, Chief Financial Officer, said, “We are narrowing our revenue guidance for 2018 to $877 million - $885 million from $878 million - $892 million. The mid-point of our guidance is now $881 million driven by foreign exchange headwind of $4 million at current exchange rates. Our guidance represents annual revenue growth of 16% to 17% on a constant currency basis. We are narrowing the range of adjusted diluted EPS guidance for 2018 to $2.72 - $2.78 from $2.70 - $2.80, with the mid-point unchanged at $2.75. Our cash and short-term investments were $242.5 million on September 30, 2018.”</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Third Quarter 2018</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(Banking &amp; Financial Services, Utilities and Consulting)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September 30, 2018 increased to $231.1 million compared to $192.3 million for the third quarter of 2017, an increase of 20.2% on a reported basis and 21.4% on a constant currency basis from the third quarter of 2017, as well as an increase of 10.0% sequentially on a reported basis and 10.7% on a constant currency basis, from the second quarter of 2018.</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Gross Margin</w:t>
            </w:r>
          </w:p>
        </w:tc>
        <w:tc>
          <w:tcPr>
            <w:tcW w:w="102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7"/>
          </w:tcPr>
          <w:p>
            <w:pPr>
              <w:jc w:val="center"/>
              <w:ind w:left="619"/>
              <w:spacing w:after="0"/>
              <w:rPr>
                <w:sz w:val="20"/>
                <w:szCs w:val="20"/>
                <w:color w:val="auto"/>
              </w:rPr>
            </w:pPr>
            <w:r>
              <w:rPr>
                <w:rFonts w:ascii="Arial" w:cs="Arial" w:eastAsia="Arial" w:hAnsi="Arial"/>
                <w:sz w:val="16"/>
                <w:szCs w:val="16"/>
                <w:b w:val="1"/>
                <w:bCs w:val="1"/>
                <w:color w:val="auto"/>
                <w:w w:val="90"/>
              </w:rPr>
              <w:t>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Three months ended</w:t>
            </w:r>
          </w:p>
        </w:tc>
        <w:tc>
          <w:tcPr>
            <w:tcW w:w="102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87"/>
              </w:rPr>
              <w:t>September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ind w:left="4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020" w:type="dxa"/>
            <w:vAlign w:val="bottom"/>
          </w:tcPr>
          <w:p>
            <w:pPr>
              <w:spacing w:after="0"/>
              <w:rPr>
                <w:sz w:val="18"/>
                <w:szCs w:val="18"/>
                <w:color w:val="auto"/>
              </w:rPr>
            </w:pPr>
          </w:p>
        </w:tc>
      </w:tr>
      <w:tr>
        <w:trPr>
          <w:trHeight w:val="243"/>
        </w:trPr>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30, 2018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30, 2017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1"/>
                <w:szCs w:val="21"/>
                <w:color w:val="auto"/>
              </w:rPr>
            </w:pPr>
          </w:p>
        </w:tc>
        <w:tc>
          <w:tcPr>
            <w:tcW w:w="1060" w:type="dxa"/>
            <w:vAlign w:val="bottom"/>
          </w:tcPr>
          <w:p>
            <w:pPr>
              <w:ind w:left="360"/>
              <w:spacing w:after="0"/>
              <w:rPr>
                <w:sz w:val="20"/>
                <w:szCs w:val="20"/>
                <w:color w:val="auto"/>
              </w:rPr>
            </w:pPr>
            <w:r>
              <w:rPr>
                <w:rFonts w:ascii="Arial" w:cs="Arial" w:eastAsia="Arial" w:hAnsi="Arial"/>
                <w:sz w:val="16"/>
                <w:szCs w:val="16"/>
                <w:b w:val="1"/>
                <w:bCs w:val="1"/>
                <w:color w:val="auto"/>
              </w:rPr>
              <w:t>2018</w:t>
            </w:r>
          </w:p>
        </w:tc>
        <w:tc>
          <w:tcPr>
            <w:tcW w:w="1340" w:type="dxa"/>
            <w:vAlign w:val="bottom"/>
            <w:gridSpan w:val="2"/>
          </w:tcPr>
          <w:p>
            <w:pPr>
              <w:jc w:val="center"/>
              <w:ind w:left="3"/>
              <w:spacing w:after="0" w:line="243" w:lineRule="exact"/>
              <w:rPr>
                <w:sz w:val="20"/>
                <w:szCs w:val="20"/>
                <w:color w:val="auto"/>
              </w:rPr>
            </w:pPr>
            <w:r>
              <w:rPr>
                <w:rFonts w:ascii="Arial" w:cs="Arial" w:eastAsia="Arial" w:hAnsi="Arial"/>
                <w:sz w:val="28"/>
                <w:szCs w:val="28"/>
                <w:b w:val="1"/>
                <w:bCs w:val="1"/>
                <w:color w:val="auto"/>
                <w:w w:val="87"/>
                <w:vertAlign w:val="subscript"/>
              </w:rPr>
              <w:t>2017</w:t>
            </w:r>
            <w:r>
              <w:rPr>
                <w:rFonts w:ascii="Arial" w:cs="Arial" w:eastAsia="Arial" w:hAnsi="Arial"/>
                <w:sz w:val="10"/>
                <w:szCs w:val="10"/>
                <w:b w:val="1"/>
                <w:bCs w:val="1"/>
                <w:color w:val="auto"/>
                <w:w w:val="87"/>
              </w:rPr>
              <w:t>(1)(2)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2"/>
              </w:rPr>
              <w:t>June 30, 2018</w:t>
            </w:r>
          </w:p>
        </w:tc>
      </w:tr>
      <w:tr>
        <w:trPr>
          <w:trHeight w:val="231"/>
        </w:trPr>
        <w:tc>
          <w:tcPr>
            <w:tcW w:w="2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(dollars in millions)</w:t>
            </w: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32.3%</w:t>
            </w: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7"/>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22.5%</w:t>
            </w: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3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42.4%</w:t>
            </w: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37"/>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39.2%</w:t>
            </w: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34.7%</w:t>
            </w: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324"/>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35.1%</w:t>
            </w: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231.1</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210.1</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rPr>
              <w:t>34.2%</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b w:val="1"/>
                <w:bCs w:val="1"/>
                <w:color w:val="auto"/>
              </w:rPr>
              <w:t>36.0%</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1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margin for the quarter ended September 30, 2018 was 8.5% compared to 10.9% in the third quarter of 2017 and 8.1% for the second quarter of 2018. Adjusted operating income margin for the quarter ended September 30, 2018 was 14.1% compared to 15.9% in the third quarter of 2017 and 13.6% for the second quarter of 2018.</w:t>
      </w:r>
    </w:p>
    <w:p>
      <w:pPr>
        <w:spacing w:after="0" w:line="221"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for the quarter ended September 30, 2018 was $0.43 compared to $0.60 in the third quarter of 2017 and $0.41 for the second quarter of 2018. Adjusted diluted earnings per share for the quarter ended September 30, 2018 was $0.71 compared to $0.69 for the third quarter of 2017 and $0.67 for the second quarter of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(1) (2)</w:t>
      </w:r>
    </w:p>
    <w:p>
      <w:pPr>
        <w:ind w:left="380"/>
        <w:spacing w:after="0"/>
        <w:rPr>
          <w:sz w:val="20"/>
          <w:szCs w:val="20"/>
          <w:color w:val="auto"/>
        </w:rPr>
      </w:pPr>
      <w:r>
        <w:rPr>
          <w:rFonts w:ascii="Arial" w:cs="Arial" w:eastAsia="Arial" w:hAnsi="Arial"/>
          <w:sz w:val="14"/>
          <w:szCs w:val="14"/>
          <w:color w:val="auto"/>
        </w:rPr>
        <w:t>Refer to the notes to the Unaudited Consolidated Statements of Income for details.</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Third Quarter 2018</w:t>
      </w:r>
    </w:p>
    <w:p>
      <w:pPr>
        <w:spacing w:after="0" w:line="202" w:lineRule="exact"/>
        <w:rPr>
          <w:sz w:val="20"/>
          <w:szCs w:val="20"/>
          <w:color w:val="auto"/>
        </w:rPr>
      </w:pPr>
    </w:p>
    <w:p>
      <w:pPr>
        <w:ind w:left="340" w:right="20" w:hanging="264"/>
        <w:spacing w:after="0" w:line="32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EXL closed the acquisition of SCIOInspire Holdings, Inc. (or SCIO Health Analytics). The aggregate merger consideration was $236.5 million, subject to certain post-closing adjustments.</w:t>
      </w:r>
    </w:p>
    <w:p>
      <w:pPr>
        <w:spacing w:after="0" w:line="89"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14 new clients, including eight in our operations management businesses and six in Analytics.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Appointed Jaynie Studenmund to EXL’s Board of Directors.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Leader in the ISG Provider Lens™ for FAO Digital Outsourcing Services 2018.</w:t>
      </w:r>
    </w:p>
    <w:p>
      <w:pPr>
        <w:spacing w:after="0" w:line="198"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Positioned as a Major Contender in the Everest Group Finance and Accounting Digital Augmentation Suite Solutions PEAK Matrix™ Assessment 2018.</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Post-Third Quarter Highlight</w:t>
      </w:r>
    </w:p>
    <w:p>
      <w:pPr>
        <w:spacing w:after="0" w:line="283"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As previously announced, subsequent to the third quarter of 2018, on October 4, 2018, EXL sold $150 million in an aggregate principal amount of 3.50% Convertible Senior Notes due 2024 to Orogen Echo LLC, an affiliate of The Orogen Group LLC. Vikram Pandit, Chairman and CEO of The Orogen Group LLC, was appointed to EXL’s Board of Directors at closing.</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Guidance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74.0, British Pound to U.S. Dollar exchange rate of 1.32,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54.0 and all other currencies at current exchange rates, we are providing the following guidance:</w:t>
      </w:r>
    </w:p>
    <w:p>
      <w:pPr>
        <w:spacing w:after="0" w:line="104" w:lineRule="exact"/>
        <w:rPr>
          <w:sz w:val="20"/>
          <w:szCs w:val="20"/>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$877 million to $885 million, representing an annual revenue growth rate of 16% to 17% on a constant currency basis.</w:t>
      </w:r>
    </w:p>
    <w:p>
      <w:pPr>
        <w:spacing w:after="0" w:line="103"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$2.72 to $2.78.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November 1, 2018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95"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28,000 professionals in locations throughout the United States, Europe, Asia (primarily India and Philippines), Colombia,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07" w:right="239" w:bottom="1440" w:gutter="0" w:footer="0" w:header="0"/>
        </w:sectPr>
      </w:pPr>
    </w:p>
    <w:bookmarkStart w:id="7" w:name="page8"/>
    <w:bookmarkEnd w:id="7"/>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6"/>
              </w:rPr>
              <w:t>Three months ended September 30,</w:t>
            </w: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54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 (2)</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 (2)</w:t>
            </w: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231,124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192,345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648,209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564,435</w:t>
            </w:r>
          </w:p>
        </w:tc>
      </w:tr>
      <w:tr>
        <w:trPr>
          <w:trHeight w:val="270"/>
        </w:trPr>
        <w:tc>
          <w:tcPr>
            <w:tcW w:w="54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152,157</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123,077</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429,907</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365,883</w:t>
            </w:r>
          </w:p>
        </w:tc>
      </w:tr>
      <w:tr>
        <w:trPr>
          <w:trHeight w:val="264"/>
        </w:trPr>
        <w:tc>
          <w:tcPr>
            <w:tcW w:w="54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(3)</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78,967</w:t>
            </w:r>
          </w:p>
        </w:tc>
        <w:tc>
          <w:tcPr>
            <w:tcW w:w="2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69,268</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218,302</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198,552</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
        </w:trPr>
        <w:tc>
          <w:tcPr>
            <w:tcW w:w="5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5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26,545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85,610</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75,007</w:t>
            </w:r>
          </w:p>
        </w:tc>
      </w:tr>
      <w:tr>
        <w:trPr>
          <w:trHeight w:val="243"/>
        </w:trPr>
        <w:tc>
          <w:tcPr>
            <w:tcW w:w="5400" w:type="dxa"/>
            <w:vAlign w:val="bottom"/>
          </w:tcPr>
          <w:p>
            <w:pPr>
              <w:ind w:left="68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16,490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12,196</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45,593</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38,631</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14,099</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9,582</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35,185</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28,489</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59,293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48,323</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166,388</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142,127</w:t>
            </w:r>
          </w:p>
        </w:tc>
      </w:tr>
      <w:tr>
        <w:trPr>
          <w:trHeight w:val="27"/>
        </w:trPr>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19,674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20,945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51,914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56,425</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3,414</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1,905</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2,796</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8,232</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8,495</w:t>
            </w:r>
          </w:p>
        </w:tc>
      </w:tr>
      <w:tr>
        <w:trPr>
          <w:trHeight w:val="27"/>
        </w:trPr>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21,050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23,896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59,841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65,445</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2,819</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6,796</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7,202</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15,249</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21,077</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52,869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58,243</w:t>
            </w:r>
          </w:p>
        </w:tc>
      </w:tr>
      <w:tr>
        <w:trPr>
          <w:trHeight w:val="67"/>
        </w:trPr>
        <w:tc>
          <w:tcPr>
            <w:tcW w:w="5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5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Earnings per share attributable to ExlService Holdings, Inc.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0.62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1.72</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34,458,520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33,838,374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34,472,232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33,834,392</w:t>
            </w: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35,207,991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35,043,987</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35,217,814</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35,048,672</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jc w:val="both"/>
        <w:ind w:firstLine="192"/>
        <w:spacing w:after="0" w:line="667" w:lineRule="auto"/>
        <w:rPr>
          <w:sz w:val="20"/>
          <w:szCs w:val="20"/>
          <w:color w:val="auto"/>
        </w:rPr>
      </w:pPr>
      <w:r>
        <w:rPr>
          <w:rFonts w:ascii="Arial" w:cs="Arial" w:eastAsia="Arial" w:hAnsi="Arial"/>
          <w:sz w:val="13"/>
          <w:szCs w:val="13"/>
          <w:color w:val="auto"/>
        </w:rPr>
        <w:t>The Company early adopted Accounting Standards Update (ASU) 2017-12, Derivative and Hedging (Topic 815), Targeted Improvements to Accounting for Hedging Activities. Pursuant to this adoption, effective January 1, 2017, the Company recorded settlement gain/(loss) on cash flow hedges in cost of revenues and operating expenses, as applicable, in the consolidated statements of income for each of the quarters of 2017. In prior periods, such gain/(loss) were recorded under “Foreign exchange gain, net” in the consolidated statements of income.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jc w:val="both"/>
        <w:ind w:firstLine="202"/>
        <w:spacing w:after="0" w:line="610" w:lineRule="auto"/>
        <w:rPr>
          <w:sz w:val="20"/>
          <w:szCs w:val="20"/>
          <w:color w:val="auto"/>
        </w:rPr>
      </w:pPr>
      <w:r>
        <w:rPr>
          <w:rFonts w:ascii="Arial" w:cs="Arial" w:eastAsia="Arial" w:hAnsi="Arial"/>
          <w:sz w:val="14"/>
          <w:szCs w:val="14"/>
          <w:color w:val="auto"/>
        </w:rPr>
        <w:t>On January 1, 2018, the Company adopted ASU 2017-07, Compensation-Retirement Benefits (Topic 715), Improving the Presentation of Net Periodic Pension Cost and Net Periodic Post Retirement Benefit Cost. Pursuant to this adoption, effective January 1, 2017, the interest cost, expected return on plan assets and amortization of actuarial gains/loss, have been reclassified from cost of revenues and operating expenses, as applicable to “Other income, net” in the consolidated statements of income for each of the quarters of 2017.</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ind w:left="180"/>
        <w:spacing w:after="0"/>
        <w:rPr>
          <w:sz w:val="20"/>
          <w:szCs w:val="20"/>
          <w:color w:val="auto"/>
        </w:rPr>
      </w:pPr>
      <w:r>
        <w:rPr>
          <w:rFonts w:ascii="Arial" w:cs="Arial" w:eastAsia="Arial" w:hAnsi="Arial"/>
          <w:sz w:val="14"/>
          <w:szCs w:val="14"/>
          <w:color w:val="auto"/>
        </w:rPr>
        <w:t>Exclusive of depreciation and amortization.</w:t>
      </w:r>
    </w:p>
    <w:p>
      <w:pPr>
        <w:sectPr>
          <w:pgSz w:w="11900" w:h="16838" w:orient="portrait"/>
          <w:cols w:equalWidth="0" w:num="1">
            <w:col w:w="11420"/>
          </w:cols>
          <w:pgMar w:left="240" w:top="796"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rPr>
              <w:t>As of</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w w:val="91"/>
              </w:rPr>
              <w:t>September 30,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4"/>
              </w:rPr>
              <w:t>December 31, 2017</w:t>
            </w:r>
          </w:p>
        </w:tc>
        <w:tc>
          <w:tcPr>
            <w:tcW w:w="0" w:type="dxa"/>
            <w:vAlign w:val="bottom"/>
          </w:tcPr>
          <w:p>
            <w:pPr>
              <w:spacing w:after="0"/>
              <w:rPr>
                <w:sz w:val="1"/>
                <w:szCs w:val="1"/>
                <w:color w:val="auto"/>
              </w:rPr>
            </w:pPr>
          </w:p>
        </w:tc>
      </w:tr>
      <w:tr>
        <w:trPr>
          <w:trHeight w:val="264"/>
        </w:trPr>
        <w:tc>
          <w:tcPr>
            <w:tcW w:w="7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(Unaudited)</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97,636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86,795</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144,878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178,479</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4,679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3,674</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164,307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135,705</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10,325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7,700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29,582</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453,827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452,817</w:t>
            </w:r>
          </w:p>
        </w:tc>
        <w:tc>
          <w:tcPr>
            <w:tcW w:w="0" w:type="dxa"/>
            <w:vAlign w:val="bottom"/>
          </w:tcPr>
          <w:p>
            <w:pPr>
              <w:spacing w:after="0"/>
              <w:rPr>
                <w:sz w:val="1"/>
                <w:szCs w:val="1"/>
                <w:color w:val="auto"/>
              </w:rPr>
            </w:pPr>
          </w:p>
        </w:tc>
      </w:tr>
      <w:tr>
        <w:trPr>
          <w:trHeight w:val="72"/>
        </w:trPr>
        <w:tc>
          <w:tcPr>
            <w:tcW w:w="76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67,675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66,757</w:t>
            </w:r>
          </w:p>
        </w:tc>
        <w:tc>
          <w:tcPr>
            <w:tcW w:w="0" w:type="dxa"/>
            <w:vAlign w:val="bottom"/>
          </w:tcPr>
          <w:p>
            <w:pPr>
              <w:spacing w:after="0"/>
              <w:rPr>
                <w:sz w:val="1"/>
                <w:szCs w:val="1"/>
                <w:color w:val="auto"/>
              </w:rPr>
            </w:pPr>
          </w:p>
        </w:tc>
      </w:tr>
      <w:tr>
        <w:trPr>
          <w:trHeight w:val="76"/>
        </w:trPr>
        <w:tc>
          <w:tcPr>
            <w:tcW w:w="7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3,499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3,808</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8,585</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114,799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48,958</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357,533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204,481</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32,779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36,369</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equity affiliate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2,824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w:t>
            </w: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1,045,137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112"/>
        </w:trPr>
        <w:tc>
          <w:tcPr>
            <w:tcW w:w="764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gridSpan w:val="2"/>
            <w:vMerge w:val="continue"/>
          </w:tcPr>
          <w:p>
            <w:pPr>
              <w:spacing w:after="0"/>
              <w:rPr>
                <w:sz w:val="9"/>
                <w:szCs w:val="9"/>
                <w:color w:val="auto"/>
              </w:rPr>
            </w:pPr>
          </w:p>
        </w:tc>
        <w:tc>
          <w:tcPr>
            <w:tcW w:w="16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6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Liabilities and Equity</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4,310</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5,918</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Current portion of long-term borrowings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12,318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10,318</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10,716</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Accrued employee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46,638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55,664</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67,084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61,366</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Current portion of capital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58"/>
        </w:trPr>
        <w:tc>
          <w:tcPr>
            <w:tcW w:w="76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138,171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144,249</w:t>
            </w:r>
          </w:p>
        </w:tc>
        <w:tc>
          <w:tcPr>
            <w:tcW w:w="0" w:type="dxa"/>
            <w:vAlign w:val="bottom"/>
          </w:tcPr>
          <w:p>
            <w:pPr>
              <w:spacing w:after="0"/>
              <w:rPr>
                <w:sz w:val="1"/>
                <w:szCs w:val="1"/>
                <w:color w:val="auto"/>
              </w:rPr>
            </w:pPr>
          </w:p>
        </w:tc>
      </w:tr>
      <w:tr>
        <w:trPr>
          <w:trHeight w:val="76"/>
        </w:trPr>
        <w:tc>
          <w:tcPr>
            <w:tcW w:w="76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5"/>
                <w:szCs w:val="15"/>
                <w:color w:val="auto"/>
              </w:rPr>
              <w:t>Long term borrowings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288,309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50,391</w:t>
            </w:r>
          </w:p>
        </w:tc>
        <w:tc>
          <w:tcPr>
            <w:tcW w:w="0" w:type="dxa"/>
            <w:vAlign w:val="bottom"/>
          </w:tcPr>
          <w:p>
            <w:pPr>
              <w:spacing w:after="0"/>
              <w:rPr>
                <w:sz w:val="1"/>
                <w:szCs w:val="1"/>
                <w:color w:val="auto"/>
              </w:rPr>
            </w:pPr>
          </w:p>
        </w:tc>
      </w:tr>
      <w:tr>
        <w:trPr>
          <w:trHeight w:val="72"/>
        </w:trPr>
        <w:tc>
          <w:tcPr>
            <w:tcW w:w="7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color w:val="auto"/>
              </w:rPr>
              <w:t>Income taxes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8,721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13,557</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13,352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21,875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16,202</w:t>
            </w:r>
          </w:p>
        </w:tc>
        <w:tc>
          <w:tcPr>
            <w:tcW w:w="0" w:type="dxa"/>
            <w:vAlign w:val="bottom"/>
          </w:tcPr>
          <w:p>
            <w:pPr>
              <w:spacing w:after="0"/>
              <w:rPr>
                <w:sz w:val="1"/>
                <w:szCs w:val="1"/>
                <w:color w:val="auto"/>
              </w:rPr>
            </w:pPr>
          </w:p>
        </w:tc>
      </w:tr>
      <w:tr>
        <w:trPr>
          <w:trHeight w:val="58"/>
        </w:trPr>
        <w:tc>
          <w:tcPr>
            <w:tcW w:w="76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470,689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224,730</w:t>
            </w:r>
          </w:p>
        </w:tc>
        <w:tc>
          <w:tcPr>
            <w:tcW w:w="0" w:type="dxa"/>
            <w:vAlign w:val="bottom"/>
          </w:tcPr>
          <w:p>
            <w:pPr>
              <w:spacing w:after="0"/>
              <w:rPr>
                <w:sz w:val="1"/>
                <w:szCs w:val="1"/>
                <w:color w:val="auto"/>
              </w:rPr>
            </w:pPr>
          </w:p>
        </w:tc>
      </w:tr>
      <w:tr>
        <w:trPr>
          <w:trHeight w:val="76"/>
        </w:trPr>
        <w:tc>
          <w:tcPr>
            <w:tcW w:w="76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5"/>
                <w:szCs w:val="15"/>
                <w:color w:val="auto"/>
              </w:rPr>
              <w:t>Commitments and contingencies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ExlService Holdings, Inc. 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3"/>
              </w:rPr>
              <w:t>Common stock, $0.001 par value; 100,000,000 shares authorized, 37,703,974 shares issued and 34,253,291 shares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EFF"/>
          </w:tcPr>
          <w:p>
            <w:pPr>
              <w:ind w:left="380"/>
              <w:spacing w:after="0" w:line="162" w:lineRule="exact"/>
              <w:rPr>
                <w:sz w:val="20"/>
                <w:szCs w:val="20"/>
                <w:color w:val="auto"/>
              </w:rPr>
            </w:pPr>
            <w:r>
              <w:rPr>
                <w:rFonts w:ascii="Arial" w:cs="Arial" w:eastAsia="Arial" w:hAnsi="Arial"/>
                <w:sz w:val="15"/>
                <w:szCs w:val="15"/>
                <w:color w:val="auto"/>
                <w:w w:val="98"/>
              </w:rPr>
              <w:t>outstanding as of September 30, 2018 and 36,790,751 shares issued and 33,888,733 shares outstanding as of</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December 31, 2017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Additional paid-in capital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ind w:right="43"/>
              <w:spacing w:after="0"/>
              <w:rPr>
                <w:sz w:val="20"/>
                <w:szCs w:val="20"/>
                <w:color w:val="auto"/>
              </w:rPr>
            </w:pPr>
            <w:r>
              <w:rPr>
                <w:rFonts w:ascii="Arial" w:cs="Arial" w:eastAsia="Arial" w:hAnsi="Arial"/>
                <w:sz w:val="15"/>
                <w:szCs w:val="15"/>
                <w:color w:val="auto"/>
              </w:rPr>
              <w:t>344,720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color w:val="auto"/>
              </w:rPr>
              <w:t>322,246</w:t>
            </w:r>
          </w:p>
        </w:tc>
        <w:tc>
          <w:tcPr>
            <w:tcW w:w="0" w:type="dxa"/>
            <w:vAlign w:val="bottom"/>
          </w:tcPr>
          <w:p>
            <w:pPr>
              <w:spacing w:after="0"/>
              <w:rPr>
                <w:sz w:val="1"/>
                <w:szCs w:val="1"/>
                <w:color w:val="auto"/>
              </w:rPr>
            </w:pPr>
          </w:p>
        </w:tc>
      </w:tr>
      <w:tr>
        <w:trPr>
          <w:trHeight w:val="58"/>
        </w:trPr>
        <w:tc>
          <w:tcPr>
            <w:tcW w:w="7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480,387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427,064</w:t>
            </w:r>
          </w:p>
        </w:tc>
        <w:tc>
          <w:tcPr>
            <w:tcW w:w="0" w:type="dxa"/>
            <w:vAlign w:val="bottom"/>
          </w:tcPr>
          <w:p>
            <w:pPr>
              <w:spacing w:after="0"/>
              <w:rPr>
                <w:sz w:val="1"/>
                <w:szCs w:val="1"/>
                <w:color w:val="auto"/>
              </w:rPr>
            </w:pPr>
          </w:p>
        </w:tc>
      </w:tr>
      <w:tr>
        <w:trPr>
          <w:trHeight w:val="62"/>
        </w:trPr>
        <w:tc>
          <w:tcPr>
            <w:tcW w:w="7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(114,330)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(45,710)</w:t>
            </w:r>
          </w:p>
        </w:tc>
        <w:tc>
          <w:tcPr>
            <w:tcW w:w="0" w:type="dxa"/>
            <w:vAlign w:val="bottom"/>
          </w:tcPr>
          <w:p>
            <w:pPr>
              <w:spacing w:after="0"/>
              <w:rPr>
                <w:sz w:val="1"/>
                <w:szCs w:val="1"/>
                <w:color w:val="auto"/>
              </w:rPr>
            </w:pPr>
          </w:p>
        </w:tc>
      </w:tr>
      <w:tr>
        <w:trPr>
          <w:trHeight w:val="58"/>
        </w:trPr>
        <w:tc>
          <w:tcPr>
            <w:tcW w:w="76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710,815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703,637</w:t>
            </w:r>
          </w:p>
        </w:tc>
        <w:tc>
          <w:tcPr>
            <w:tcW w:w="0" w:type="dxa"/>
            <w:vAlign w:val="bottom"/>
          </w:tcPr>
          <w:p>
            <w:pPr>
              <w:spacing w:after="0"/>
              <w:rPr>
                <w:sz w:val="1"/>
                <w:szCs w:val="1"/>
                <w:color w:val="auto"/>
              </w:rPr>
            </w:pPr>
          </w:p>
        </w:tc>
      </w:tr>
      <w:tr>
        <w:trPr>
          <w:trHeight w:val="76"/>
        </w:trPr>
        <w:tc>
          <w:tcPr>
            <w:tcW w:w="76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5"/>
                <w:szCs w:val="15"/>
                <w:color w:val="auto"/>
                <w:w w:val="92"/>
              </w:rPr>
              <w:t>Less: 3,450,683 shares as of September 30, 2018 and 2,902,018 shares as of December 31, 2017, held in treasury, at cost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(136,609)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(103,816)</w:t>
            </w:r>
          </w:p>
        </w:tc>
        <w:tc>
          <w:tcPr>
            <w:tcW w:w="0" w:type="dxa"/>
            <w:vAlign w:val="bottom"/>
          </w:tcPr>
          <w:p>
            <w:pPr>
              <w:spacing w:after="0"/>
              <w:rPr>
                <w:sz w:val="1"/>
                <w:szCs w:val="1"/>
                <w:color w:val="auto"/>
              </w:rPr>
            </w:pPr>
          </w:p>
        </w:tc>
      </w:tr>
      <w:tr>
        <w:trPr>
          <w:trHeight w:val="72"/>
        </w:trPr>
        <w:tc>
          <w:tcPr>
            <w:tcW w:w="76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1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574,206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599,821</w:t>
            </w:r>
          </w:p>
        </w:tc>
        <w:tc>
          <w:tcPr>
            <w:tcW w:w="0" w:type="dxa"/>
            <w:vAlign w:val="bottom"/>
          </w:tcPr>
          <w:p>
            <w:pPr>
              <w:spacing w:after="0"/>
              <w:rPr>
                <w:sz w:val="1"/>
                <w:szCs w:val="1"/>
                <w:color w:val="auto"/>
              </w:rPr>
            </w:pPr>
          </w:p>
        </w:tc>
      </w:tr>
      <w:tr>
        <w:trPr>
          <w:trHeight w:val="76"/>
        </w:trPr>
        <w:tc>
          <w:tcPr>
            <w:tcW w:w="7640" w:type="dxa"/>
            <w:vAlign w:val="bottom"/>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1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Non-controlling interest</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1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574,448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600,045</w:t>
            </w:r>
          </w:p>
        </w:tc>
        <w:tc>
          <w:tcPr>
            <w:tcW w:w="0" w:type="dxa"/>
            <w:vAlign w:val="bottom"/>
          </w:tcPr>
          <w:p>
            <w:pPr>
              <w:spacing w:after="0"/>
              <w:rPr>
                <w:sz w:val="1"/>
                <w:szCs w:val="1"/>
                <w:color w:val="auto"/>
              </w:rPr>
            </w:pPr>
          </w:p>
        </w:tc>
      </w:tr>
      <w:tr>
        <w:trPr>
          <w:trHeight w:val="268"/>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1,045,137</w:t>
            </w:r>
          </w:p>
        </w:tc>
        <w:tc>
          <w:tcPr>
            <w:tcW w:w="1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580" w:right="239" w:bottom="1116"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56" w:lineRule="exact"/>
        <w:rPr>
          <w:sz w:val="20"/>
          <w:szCs w:val="20"/>
          <w:color w:val="auto"/>
        </w:rPr>
      </w:pPr>
    </w:p>
    <w:p>
      <w:pPr>
        <w:ind w:firstLine="648"/>
        <w:spacing w:after="0" w:line="313"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ind w:left="1480" w:hanging="500"/>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03" w:lineRule="exact"/>
        <w:rPr>
          <w:rFonts w:ascii="Arial" w:cs="Arial" w:eastAsia="Arial" w:hAnsi="Arial"/>
          <w:sz w:val="18"/>
          <w:szCs w:val="18"/>
          <w:color w:val="auto"/>
        </w:rPr>
      </w:pPr>
    </w:p>
    <w:p>
      <w:pPr>
        <w:ind w:left="1520" w:hanging="54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03" w:lineRule="exact"/>
        <w:rPr>
          <w:rFonts w:ascii="Arial" w:cs="Arial" w:eastAsia="Arial" w:hAnsi="Arial"/>
          <w:sz w:val="18"/>
          <w:szCs w:val="18"/>
          <w:color w:val="auto"/>
        </w:rPr>
      </w:pPr>
    </w:p>
    <w:p>
      <w:pPr>
        <w:ind w:left="1580" w:hanging="600"/>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03" w:lineRule="exact"/>
        <w:rPr>
          <w:rFonts w:ascii="Arial" w:cs="Arial" w:eastAsia="Arial" w:hAnsi="Arial"/>
          <w:sz w:val="18"/>
          <w:szCs w:val="18"/>
          <w:color w:val="auto"/>
        </w:rPr>
      </w:pPr>
    </w:p>
    <w:p>
      <w:pPr>
        <w:ind w:left="1560" w:hanging="580"/>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33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EXL non-GAAP financial measures exclude, where applicable, stock-based compensation expense, provision for litigation settlement and acquisition-related expenses. Acquisition-related expenses include, amortization of acquisition-related intangible assets, changes in the fair value of earn-out consideration liabilities, charges for impairment of acquired intangible assets and other acquisition-related costs such as external deal costs, integration expenses and direct and incremental travel costs. In addition to excluding the above items, our adjusted net income and adjusted diluted EPS also excludes the effect of incremental income tax expense related to the U.S. Tax Cuts and Jobs Act of 2017 (the “Tax Reform Act”) and income tax impact of the above pre-tax items, as applicable. The income tax impact of each item is calculated by applying the statutory rate and local tax regulations in the jurisdiction in which the item was incurred.</w:t>
      </w:r>
    </w:p>
    <w:p>
      <w:pPr>
        <w:spacing w:after="0" w:line="230"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19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color w:val="auto"/>
        </w:rPr>
        <w:t>Effective second quarter of 2018, EXL excludes other acquisition-related costs such as external deal costs, integration expenses and direct and incremental travel costs pertaining to successful acquisitions from its non-GAAP financial measures, wherever applicable. Considering EXL’s frequent acquisitions of varying scale and size, and the difficulty in predicting expenses relating to acquisitions, EXL’s management believes that providing non-GAAP financial measures that exclude such expenses allows investors to make additional comparisons from period-to-period and between EXL’s operating results and those of other companies. Other acquisition-related costs are excluded in the period in which an acquisition is consummated. To facilitate comparison, the previously reported periods presented have been adjusted with the effects of the exclusion of these other acquisition-related costs.</w:t>
      </w:r>
    </w:p>
    <w:p>
      <w:pPr>
        <w:sectPr>
          <w:pgSz w:w="11900" w:h="16838" w:orient="portrait"/>
          <w:cols w:equalWidth="0" w:num="1">
            <w:col w:w="11420"/>
          </w:cols>
          <w:pgMar w:left="240" w:top="702" w:right="239" w:bottom="1440" w:gutter="0" w:footer="0" w:header="0"/>
        </w:sectPr>
      </w:pPr>
    </w:p>
    <w:bookmarkStart w:id="10" w:name="page11"/>
    <w:bookmarkEnd w:id="10"/>
    <w:p>
      <w:pPr>
        <w:jc w:val="both"/>
        <w:ind w:firstLine="405"/>
        <w:spacing w:after="0" w:line="344" w:lineRule="auto"/>
        <w:rPr>
          <w:sz w:val="20"/>
          <w:szCs w:val="20"/>
          <w:color w:val="auto"/>
        </w:rPr>
      </w:pPr>
      <w:r>
        <w:rPr>
          <w:rFonts w:ascii="Arial" w:cs="Arial" w:eastAsia="Arial" w:hAnsi="Arial"/>
          <w:sz w:val="16"/>
          <w:szCs w:val="16"/>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64.45 during the quarter ended September 30, 2017 to 70.67 during the quarter ended September 30, 2018, representing depreciation of 9.6%. The average exchange rate of the U.S. Dollar against the Philippine Peso increased from 50.82 during the quarter ended September 30, 2017 to 53.53 during the quarter ended September 30, 2018, representing a depreciation of 5.3%. The average exchange rate of the British Pound against the U.S. Dollar remained flat at 1.31 during the quarter ended September 30, 2017 and 2018.</w:t>
      </w:r>
    </w:p>
    <w:p>
      <w:pPr>
        <w:spacing w:after="0" w:line="20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September 30, 2018 and 2017, and the three months ended June 30,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gridSpan w:val="6"/>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6"/>
          </w:tcPr>
          <w:p>
            <w:pPr>
              <w:ind w:left="6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2017 (Restated)</w:t>
            </w:r>
          </w:p>
        </w:tc>
        <w:tc>
          <w:tcPr>
            <w:tcW w:w="26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6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15,249</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21,077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14,462</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Income tax expense/(benefit)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5,510</w:t>
            </w:r>
          </w:p>
        </w:tc>
        <w:tc>
          <w:tcPr>
            <w:tcW w:w="0" w:type="dxa"/>
            <w:vAlign w:val="bottom"/>
          </w:tcPr>
          <w:p>
            <w:pPr>
              <w:spacing w:after="0"/>
              <w:rPr>
                <w:sz w:val="1"/>
                <w:szCs w:val="1"/>
                <w:color w:val="auto"/>
              </w:rPr>
            </w:pPr>
          </w:p>
        </w:tc>
      </w:tr>
      <w:tr>
        <w:trPr>
          <w:trHeight w:val="220"/>
        </w:trPr>
        <w:tc>
          <w:tcPr>
            <w:tcW w:w="6580" w:type="dxa"/>
            <w:vAlign w:val="bottom"/>
          </w:tcPr>
          <w:p>
            <w:pPr>
              <w:ind w:left="360"/>
              <w:spacing w:after="0"/>
              <w:rPr>
                <w:sz w:val="20"/>
                <w:szCs w:val="20"/>
                <w:color w:val="auto"/>
              </w:rPr>
            </w:pPr>
            <w:r>
              <w:rPr>
                <w:rFonts w:ascii="Arial" w:cs="Arial" w:eastAsia="Arial" w:hAnsi="Arial"/>
                <w:sz w:val="16"/>
                <w:szCs w:val="16"/>
                <w:color w:val="auto"/>
                <w:w w:val="96"/>
              </w:rPr>
              <w:t>subtract: Interest expense, foreign exchange gain, net, loss from equity-method investment</w:t>
            </w:r>
          </w:p>
        </w:tc>
        <w:tc>
          <w:tcPr>
            <w:tcW w:w="300" w:type="dxa"/>
            <w:vAlign w:val="bottom"/>
          </w:tcPr>
          <w:p>
            <w:pPr>
              <w:spacing w:after="0"/>
              <w:rPr>
                <w:sz w:val="19"/>
                <w:szCs w:val="19"/>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(2,951)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98"/>
        </w:trPr>
        <w:tc>
          <w:tcPr>
            <w:tcW w:w="6580" w:type="dxa"/>
            <w:vAlign w:val="bottom"/>
            <w:vMerge w:val="restart"/>
          </w:tcPr>
          <w:p>
            <w:pPr>
              <w:ind w:left="360"/>
              <w:spacing w:after="0"/>
              <w:rPr>
                <w:sz w:val="20"/>
                <w:szCs w:val="20"/>
                <w:color w:val="auto"/>
              </w:rPr>
            </w:pPr>
            <w:r>
              <w:rPr>
                <w:rFonts w:ascii="Arial" w:cs="Arial" w:eastAsia="Arial" w:hAnsi="Arial"/>
                <w:sz w:val="16"/>
                <w:szCs w:val="16"/>
                <w:color w:val="auto"/>
              </w:rPr>
              <w:t>and other income, net</w:t>
            </w:r>
          </w:p>
        </w:tc>
        <w:tc>
          <w:tcPr>
            <w:tcW w:w="3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19,674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20,945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17,090</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Stock-based compensation expense (a)</w:t>
            </w:r>
          </w:p>
        </w:tc>
        <w:tc>
          <w:tcPr>
            <w:tcW w:w="3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Amortization of acquisition-related intangibles (b)</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Acquisition-related expenses (c)</w:t>
            </w:r>
          </w:p>
        </w:tc>
        <w:tc>
          <w:tcPr>
            <w:tcW w:w="3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47"/>
        </w:trPr>
        <w:tc>
          <w:tcPr>
            <w:tcW w:w="6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30,597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28,585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13.6%</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6,821</w:t>
            </w:r>
          </w:p>
        </w:tc>
        <w:tc>
          <w:tcPr>
            <w:tcW w:w="0" w:type="dxa"/>
            <w:vAlign w:val="bottom"/>
          </w:tcPr>
          <w:p>
            <w:pPr>
              <w:spacing w:after="0"/>
              <w:rPr>
                <w:sz w:val="1"/>
                <w:szCs w:val="1"/>
                <w:color w:val="auto"/>
              </w:rPr>
            </w:pPr>
          </w:p>
        </w:tc>
      </w:tr>
      <w:tr>
        <w:trPr>
          <w:trHeight w:val="217"/>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39,972</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36,692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35,406</w:t>
            </w:r>
          </w:p>
        </w:tc>
        <w:tc>
          <w:tcPr>
            <w:tcW w:w="0" w:type="dxa"/>
            <w:vAlign w:val="bottom"/>
          </w:tcPr>
          <w:p>
            <w:pPr>
              <w:spacing w:after="0"/>
              <w:rPr>
                <w:sz w:val="1"/>
                <w:szCs w:val="1"/>
                <w:color w:val="auto"/>
              </w:rPr>
            </w:pPr>
          </w:p>
        </w:tc>
      </w:tr>
      <w:tr>
        <w:trPr>
          <w:trHeight w:val="73"/>
        </w:trPr>
        <w:tc>
          <w:tcPr>
            <w:tcW w:w="6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16.9%</w:t>
            </w:r>
          </w:p>
        </w:tc>
        <w:tc>
          <w:tcPr>
            <w:tcW w:w="0" w:type="dxa"/>
            <w:vAlign w:val="bottom"/>
          </w:tcPr>
          <w:p>
            <w:pPr>
              <w:spacing w:after="0"/>
              <w:rPr>
                <w:sz w:val="1"/>
                <w:szCs w:val="1"/>
                <w:color w:val="auto"/>
              </w:rPr>
            </w:pPr>
          </w:p>
        </w:tc>
      </w:tr>
      <w:tr>
        <w:trPr>
          <w:trHeight w:val="33"/>
        </w:trPr>
        <w:tc>
          <w:tcPr>
            <w:tcW w:w="6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302"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302" w:lineRule="exact"/>
        <w:rPr>
          <w:rFonts w:ascii="Arial" w:cs="Arial" w:eastAsia="Arial" w:hAnsi="Arial"/>
          <w:sz w:val="16"/>
          <w:szCs w:val="16"/>
          <w:color w:val="auto"/>
        </w:rPr>
      </w:pPr>
    </w:p>
    <w:p>
      <w:pPr>
        <w:jc w:val="both"/>
        <w:ind w:firstLine="8"/>
        <w:spacing w:after="0" w:line="366" w:lineRule="auto"/>
        <w:tabs>
          <w:tab w:leader="none" w:pos="237"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acquisition related expenses. Effective second quarter of 2018, EXL excludes acquisition-related costs such as external deal costs, integration expenses and direct and incremental travel costs pertaining to successful acquisitions from its non-GAAP financial measures. The previously reported periods presented have been adjusted with the effects of exclusion. See descriptions above for more information.</w:t>
      </w:r>
    </w:p>
    <w:p>
      <w:pPr>
        <w:sectPr>
          <w:pgSz w:w="11900" w:h="16838" w:orient="portrait"/>
          <w:cols w:equalWidth="0" w:num="1">
            <w:col w:w="11420"/>
          </w:cols>
          <w:pgMar w:left="240" w:top="868"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5"/>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2017 (Restated)</w:t>
            </w:r>
          </w:p>
        </w:tc>
        <w:tc>
          <w:tcPr>
            <w:tcW w:w="26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w w:val="85"/>
              </w:rPr>
              <w:t>15,249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21,077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14,462</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add: Stock-based compensation expense (a)</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224"/>
        </w:trPr>
        <w:tc>
          <w:tcPr>
            <w:tcW w:w="6340" w:type="dxa"/>
            <w:vAlign w:val="bottom"/>
          </w:tcPr>
          <w:p>
            <w:pPr>
              <w:ind w:left="140"/>
              <w:spacing w:after="0"/>
              <w:rPr>
                <w:sz w:val="20"/>
                <w:szCs w:val="20"/>
                <w:color w:val="auto"/>
              </w:rPr>
            </w:pPr>
            <w:r>
              <w:rPr>
                <w:rFonts w:ascii="Arial" w:cs="Arial" w:eastAsia="Arial" w:hAnsi="Arial"/>
                <w:sz w:val="16"/>
                <w:szCs w:val="16"/>
                <w:color w:val="auto"/>
              </w:rPr>
              <w:t>add: Amortization of acquisition-related intangibles (b)</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6,718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add: Acquisition-related expenses (c)</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24"/>
        </w:trPr>
        <w:tc>
          <w:tcPr>
            <w:tcW w:w="6340" w:type="dxa"/>
            <w:vAlign w:val="bottom"/>
          </w:tcPr>
          <w:p>
            <w:pPr>
              <w:ind w:left="140"/>
              <w:spacing w:after="0"/>
              <w:rPr>
                <w:sz w:val="20"/>
                <w:szCs w:val="20"/>
                <w:color w:val="auto"/>
              </w:rPr>
            </w:pPr>
            <w:r>
              <w:rPr>
                <w:rFonts w:ascii="Arial" w:cs="Arial" w:eastAsia="Arial" w:hAnsi="Arial"/>
                <w:sz w:val="16"/>
                <w:szCs w:val="16"/>
                <w:color w:val="auto"/>
              </w:rPr>
              <w:t>subtract: Tax impact on stock-based compensation expense (d)</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(1,460)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24"/>
        </w:trPr>
        <w:tc>
          <w:tcPr>
            <w:tcW w:w="6340" w:type="dxa"/>
            <w:vAlign w:val="bottom"/>
          </w:tcPr>
          <w:p>
            <w:pPr>
              <w:ind w:left="140"/>
              <w:spacing w:after="0"/>
              <w:rPr>
                <w:sz w:val="20"/>
                <w:szCs w:val="20"/>
                <w:color w:val="auto"/>
              </w:rPr>
            </w:pPr>
            <w:r>
              <w:rPr>
                <w:rFonts w:ascii="Arial" w:cs="Arial" w:eastAsia="Arial" w:hAnsi="Arial"/>
                <w:sz w:val="16"/>
                <w:szCs w:val="16"/>
                <w:color w:val="auto"/>
              </w:rPr>
              <w:t>subtract: Tax impact on acquisition-related expenses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7"/>
        </w:trPr>
        <w:tc>
          <w:tcPr>
            <w:tcW w:w="63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5"/>
              </w:rPr>
              <w:t>25,053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23,375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40" w:type="dxa"/>
            <w:vAlign w:val="bottom"/>
            <w:vMerge w:val="continue"/>
          </w:tcPr>
          <w:p>
            <w:pPr>
              <w:spacing w:after="0"/>
              <w:rPr>
                <w:sz w:val="17"/>
                <w:szCs w:val="17"/>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0.71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0.69</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0.67</w:t>
            </w:r>
          </w:p>
        </w:tc>
        <w:tc>
          <w:tcPr>
            <w:tcW w:w="0" w:type="dxa"/>
            <w:vAlign w:val="bottom"/>
          </w:tcPr>
          <w:p>
            <w:pPr>
              <w:spacing w:after="0"/>
              <w:rPr>
                <w:sz w:val="1"/>
                <w:szCs w:val="1"/>
                <w:color w:val="auto"/>
              </w:rPr>
            </w:pPr>
          </w:p>
        </w:tc>
      </w:tr>
    </w:tbl>
    <w:p>
      <w:pPr>
        <w:spacing w:after="0" w:line="38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302"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302" w:lineRule="exact"/>
        <w:rPr>
          <w:rFonts w:ascii="Arial" w:cs="Arial" w:eastAsia="Arial" w:hAnsi="Arial"/>
          <w:sz w:val="16"/>
          <w:szCs w:val="16"/>
          <w:color w:val="auto"/>
        </w:rPr>
      </w:pPr>
    </w:p>
    <w:p>
      <w:pPr>
        <w:jc w:val="both"/>
        <w:ind w:firstLine="8"/>
        <w:spacing w:after="0" w:line="366"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acquisition related expenses. Effective second quarter of 2018, EXL excludes acquisition-related costs such as external deal costs, integration expenses and direct and incremental travel costs pertaining to successful acquisitions from its non-GAAP financial measures. The previously reported periods presented have been adjusted with the effects of exclusion. See descriptions above for more information.</w:t>
      </w:r>
    </w:p>
    <w:p>
      <w:pPr>
        <w:spacing w:after="0" w:line="76" w:lineRule="exact"/>
        <w:rPr>
          <w:rFonts w:ascii="Arial" w:cs="Arial" w:eastAsia="Arial" w:hAnsi="Arial"/>
          <w:sz w:val="16"/>
          <w:szCs w:val="16"/>
          <w:color w:val="auto"/>
        </w:rPr>
      </w:pPr>
    </w:p>
    <w:p>
      <w:pPr>
        <w:ind w:right="20" w:firstLine="8"/>
        <w:spacing w:after="0" w:line="381"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impact include $288 and $3,488 during the three months ended September 30, 2018 and 2017 respectively, and $323 during the three months ended June 30, 2018 related to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16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steven.barlow@exlservice.com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2019-12-28T18:48:59Z</dcterms:created>
  <dcterms:modified xsi:type="dcterms:W3CDTF">2019-12-28T18:48:59Z</dcterms:modified>
</cp:coreProperties>
</file>