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7045960" cy="5660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66039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Kini Narasimha</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right="560"/>
        <w:spacing w:after="0" w:line="328" w:lineRule="auto"/>
        <w:rPr>
          <w:sz w:val="20"/>
          <w:szCs w:val="20"/>
          <w:color w:val="auto"/>
        </w:rPr>
      </w:pPr>
      <w:r>
        <w:rPr>
          <w:rFonts w:ascii="Arial" w:cs="Arial" w:eastAsia="Arial" w:hAnsi="Arial"/>
          <w:sz w:val="16"/>
          <w:szCs w:val="16"/>
          <w:color w:val="0000FF"/>
        </w:rPr>
        <w:t>EXLSERVICE HOLDINGS INC 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4"/>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8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02/16/2023</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600" w:firstLine="4"/>
        <w:spacing w:after="0"/>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6"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76"/>
        <w:spacing w:after="0"/>
        <w:rPr>
          <w:sz w:val="20"/>
          <w:szCs w:val="20"/>
          <w:color w:val="auto"/>
        </w:rPr>
      </w:pPr>
      <w:r>
        <w:rPr>
          <w:rFonts w:ascii="Arial" w:cs="Arial" w:eastAsia="Arial" w:hAnsi="Arial"/>
          <w:sz w:val="16"/>
          <w:szCs w:val="16"/>
          <w:color w:val="0000FF"/>
        </w:rPr>
        <w:t>EVP, Emerging Bus Unit Leader</w:t>
      </w:r>
    </w:p>
    <w:p>
      <w:pPr>
        <w:spacing w:after="0" w:line="450" w:lineRule="exact"/>
        <w:rPr>
          <w:sz w:val="24"/>
          <w:szCs w:val="24"/>
          <w:color w:val="auto"/>
        </w:rPr>
      </w:pPr>
    </w:p>
    <w:p>
      <w:pPr>
        <w:sectPr>
          <w:pgSz w:w="11900" w:h="16838" w:orient="portrait"/>
          <w:cols w:equalWidth="0" w:num="3">
            <w:col w:w="3200" w:space="720"/>
            <w:col w:w="3104" w:space="720"/>
            <w:col w:w="3336"/>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20" w:type="dxa"/>
            <w:vAlign w:val="bottom"/>
            <w:gridSpan w:val="6"/>
          </w:tcPr>
          <w:p>
            <w:pPr>
              <w:ind w:left="160"/>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3700" w:type="dxa"/>
            <w:vAlign w:val="bottom"/>
            <w:gridSpan w:val="10"/>
          </w:tcPr>
          <w:p>
            <w:pPr>
              <w:ind w:left="36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gridSpan w:val="3"/>
          </w:tcPr>
          <w:p>
            <w:pPr>
              <w:ind w:left="36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60" w:type="dxa"/>
            <w:vAlign w:val="bottom"/>
            <w:gridSpan w:val="2"/>
            <w:vMerge w:val="restart"/>
          </w:tcPr>
          <w:p>
            <w:pPr>
              <w:ind w:left="40"/>
              <w:spacing w:after="0"/>
              <w:rPr>
                <w:sz w:val="20"/>
                <w:szCs w:val="20"/>
                <w:color w:val="auto"/>
              </w:rPr>
            </w:pPr>
            <w:r>
              <w:rPr>
                <w:rFonts w:ascii="Arial" w:cs="Arial" w:eastAsia="Arial" w:hAnsi="Arial"/>
                <w:sz w:val="17"/>
                <w:szCs w:val="17"/>
                <w:color w:val="0000FF"/>
              </w:rPr>
              <w:t>10022</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1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3"/>
            <w:vMerge w:val="restart"/>
          </w:tcPr>
          <w:p>
            <w:pPr>
              <w:ind w:left="4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3"/>
            <w:vMerge w:val="continue"/>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24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4"/>
          </w:tcPr>
          <w:p>
            <w:pPr>
              <w:jc w:val="center"/>
              <w:ind w:left="71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0" w:type="dxa"/>
            <w:vAlign w:val="bottom"/>
          </w:tcPr>
          <w:p>
            <w:pPr>
              <w:spacing w:after="0"/>
              <w:rPr>
                <w:sz w:val="14"/>
                <w:szCs w:val="14"/>
                <w:color w:val="auto"/>
              </w:rPr>
            </w:pPr>
          </w:p>
        </w:tc>
        <w:tc>
          <w:tcPr>
            <w:tcW w:w="150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ind w:left="500"/>
              <w:spacing w:after="0" w:line="128"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3"/>
          </w:tcPr>
          <w:p>
            <w:pPr>
              <w:ind w:left="50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6"/>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7"/>
                <w:szCs w:val="17"/>
                <w:color w:val="0000FF"/>
                <w:w w:val="90"/>
              </w:rPr>
              <w:t>Common Stock, par value $0.001 per</w:t>
            </w:r>
          </w:p>
        </w:tc>
        <w:tc>
          <w:tcPr>
            <w:tcW w:w="1500" w:type="dxa"/>
            <w:vAlign w:val="bottom"/>
            <w:gridSpan w:val="3"/>
            <w:vMerge w:val="restart"/>
          </w:tcPr>
          <w:p>
            <w:pPr>
              <w:ind w:left="580"/>
              <w:spacing w:after="0"/>
              <w:rPr>
                <w:sz w:val="20"/>
                <w:szCs w:val="20"/>
                <w:color w:val="auto"/>
              </w:rPr>
            </w:pPr>
            <w:r>
              <w:rPr>
                <w:rFonts w:ascii="Arial" w:cs="Arial" w:eastAsia="Arial" w:hAnsi="Arial"/>
                <w:sz w:val="17"/>
                <w:szCs w:val="17"/>
                <w:color w:val="0000FF"/>
              </w:rPr>
              <w:t>02/16/2023</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vMerge w:val="restart"/>
          </w:tcPr>
          <w:p>
            <w:pPr>
              <w:jc w:val="center"/>
              <w:ind w:right="261"/>
              <w:spacing w:after="0"/>
              <w:rPr>
                <w:sz w:val="20"/>
                <w:szCs w:val="20"/>
                <w:color w:val="auto"/>
              </w:rPr>
            </w:pPr>
            <w:r>
              <w:rPr>
                <w:rFonts w:ascii="Arial" w:cs="Arial" w:eastAsia="Arial" w:hAnsi="Arial"/>
                <w:sz w:val="13"/>
                <w:szCs w:val="13"/>
                <w:color w:val="0000FF"/>
              </w:rPr>
              <w:t>M</w:t>
            </w:r>
          </w:p>
        </w:tc>
        <w:tc>
          <w:tcPr>
            <w:tcW w:w="700" w:type="dxa"/>
            <w:vAlign w:val="bottom"/>
            <w:vMerge w:val="restart"/>
          </w:tcPr>
          <w:p>
            <w:pPr>
              <w:ind w:left="280"/>
              <w:spacing w:after="0"/>
              <w:rPr>
                <w:sz w:val="20"/>
                <w:szCs w:val="20"/>
                <w:color w:val="auto"/>
              </w:rPr>
            </w:pPr>
            <w:r>
              <w:rPr>
                <w:rFonts w:ascii="Arial" w:cs="Arial" w:eastAsia="Arial" w:hAnsi="Arial"/>
                <w:sz w:val="17"/>
                <w:szCs w:val="17"/>
                <w:color w:val="0000FF"/>
              </w:rPr>
              <w:t>660</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560" w:type="dxa"/>
            <w:vAlign w:val="bottom"/>
            <w:vMerge w:val="restart"/>
          </w:tcPr>
          <w:p>
            <w:pPr>
              <w:jc w:val="center"/>
              <w:spacing w:after="0"/>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vMerge w:val="restart"/>
          </w:tcPr>
          <w:p>
            <w:pPr>
              <w:ind w:left="320"/>
              <w:spacing w:after="0"/>
              <w:rPr>
                <w:sz w:val="20"/>
                <w:szCs w:val="20"/>
                <w:color w:val="auto"/>
              </w:rPr>
            </w:pPr>
            <w:r>
              <w:rPr>
                <w:rFonts w:ascii="Arial" w:cs="Arial" w:eastAsia="Arial" w:hAnsi="Arial"/>
                <w:sz w:val="17"/>
                <w:szCs w:val="17"/>
                <w:color w:val="0000FF"/>
              </w:rPr>
              <w:t>30,855</w:t>
            </w:r>
          </w:p>
        </w:tc>
        <w:tc>
          <w:tcPr>
            <w:tcW w:w="280" w:type="dxa"/>
            <w:vAlign w:val="bottom"/>
          </w:tcPr>
          <w:p>
            <w:pPr>
              <w:spacing w:after="0"/>
              <w:rPr>
                <w:sz w:val="21"/>
                <w:szCs w:val="21"/>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620" w:type="dxa"/>
            <w:vAlign w:val="bottom"/>
            <w:tcBorders>
              <w:bottom w:val="single" w:sz="8" w:color="2C2C2C"/>
            </w:tcBorders>
            <w:gridSpan w:val="6"/>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7"/>
                <w:szCs w:val="17"/>
                <w:color w:val="0000FF"/>
                <w:w w:val="90"/>
              </w:rPr>
              <w:t>Common Stock, par value $0.001 per</w:t>
            </w:r>
          </w:p>
        </w:tc>
        <w:tc>
          <w:tcPr>
            <w:tcW w:w="1500" w:type="dxa"/>
            <w:vAlign w:val="bottom"/>
            <w:gridSpan w:val="3"/>
            <w:vMerge w:val="restart"/>
          </w:tcPr>
          <w:p>
            <w:pPr>
              <w:ind w:left="580"/>
              <w:spacing w:after="0"/>
              <w:rPr>
                <w:sz w:val="20"/>
                <w:szCs w:val="20"/>
                <w:color w:val="auto"/>
              </w:rPr>
            </w:pPr>
            <w:r>
              <w:rPr>
                <w:rFonts w:ascii="Arial" w:cs="Arial" w:eastAsia="Arial" w:hAnsi="Arial"/>
                <w:sz w:val="17"/>
                <w:szCs w:val="17"/>
                <w:color w:val="0000FF"/>
              </w:rPr>
              <w:t>02/16/2023</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vMerge w:val="restart"/>
          </w:tcPr>
          <w:p>
            <w:pPr>
              <w:jc w:val="center"/>
              <w:ind w:right="261"/>
              <w:spacing w:after="0"/>
              <w:rPr>
                <w:sz w:val="20"/>
                <w:szCs w:val="20"/>
                <w:color w:val="auto"/>
              </w:rPr>
            </w:pPr>
            <w:r>
              <w:rPr>
                <w:rFonts w:ascii="Arial" w:cs="Arial" w:eastAsia="Arial" w:hAnsi="Arial"/>
                <w:sz w:val="13"/>
                <w:szCs w:val="13"/>
                <w:color w:val="0000FF"/>
              </w:rPr>
              <w:t>F</w:t>
            </w:r>
          </w:p>
        </w:tc>
        <w:tc>
          <w:tcPr>
            <w:tcW w:w="700" w:type="dxa"/>
            <w:vAlign w:val="bottom"/>
            <w:vMerge w:val="restart"/>
          </w:tcPr>
          <w:p>
            <w:pPr>
              <w:ind w:left="280"/>
              <w:spacing w:after="0"/>
              <w:rPr>
                <w:sz w:val="20"/>
                <w:szCs w:val="20"/>
                <w:color w:val="auto"/>
              </w:rPr>
            </w:pPr>
            <w:r>
              <w:rPr>
                <w:rFonts w:ascii="Arial" w:cs="Arial" w:eastAsia="Arial" w:hAnsi="Arial"/>
                <w:sz w:val="17"/>
                <w:szCs w:val="17"/>
                <w:color w:val="0000FF"/>
              </w:rPr>
              <w:t>207</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760" w:type="dxa"/>
            <w:vAlign w:val="bottom"/>
            <w:gridSpan w:val="3"/>
            <w:vMerge w:val="restart"/>
          </w:tcPr>
          <w:p>
            <w:pPr>
              <w:jc w:val="center"/>
              <w:ind w:right="1"/>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172.03</w:t>
            </w:r>
            <w:r>
              <w:rPr>
                <w:rFonts w:ascii="Arial" w:cs="Arial" w:eastAsia="Arial" w:hAnsi="Arial"/>
                <w:sz w:val="21"/>
                <w:szCs w:val="21"/>
                <w:color w:val="008000"/>
                <w:w w:val="83"/>
                <w:vertAlign w:val="superscript"/>
              </w:rPr>
              <w:t>(2)</w:t>
            </w:r>
          </w:p>
        </w:tc>
        <w:tc>
          <w:tcPr>
            <w:tcW w:w="1160" w:type="dxa"/>
            <w:vAlign w:val="bottom"/>
            <w:gridSpan w:val="2"/>
            <w:vMerge w:val="restart"/>
          </w:tcPr>
          <w:p>
            <w:pPr>
              <w:ind w:left="320"/>
              <w:spacing w:after="0"/>
              <w:rPr>
                <w:sz w:val="20"/>
                <w:szCs w:val="20"/>
                <w:color w:val="auto"/>
              </w:rPr>
            </w:pPr>
            <w:r>
              <w:rPr>
                <w:rFonts w:ascii="Arial" w:cs="Arial" w:eastAsia="Arial" w:hAnsi="Arial"/>
                <w:sz w:val="17"/>
                <w:szCs w:val="17"/>
                <w:color w:val="0000FF"/>
              </w:rPr>
              <w:t>30,648</w:t>
            </w:r>
          </w:p>
        </w:tc>
        <w:tc>
          <w:tcPr>
            <w:tcW w:w="280" w:type="dxa"/>
            <w:vAlign w:val="bottom"/>
          </w:tcPr>
          <w:p>
            <w:pPr>
              <w:spacing w:after="0"/>
              <w:rPr>
                <w:sz w:val="21"/>
                <w:szCs w:val="21"/>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gridSpan w:val="3"/>
          </w:tcPr>
          <w:p>
            <w:pPr>
              <w:spacing w:after="0"/>
              <w:rPr>
                <w:sz w:val="8"/>
                <w:szCs w:val="8"/>
                <w:color w:val="auto"/>
              </w:rPr>
            </w:pPr>
          </w:p>
        </w:tc>
        <w:tc>
          <w:tcPr>
            <w:tcW w:w="4240" w:type="dxa"/>
            <w:vAlign w:val="bottom"/>
            <w:tcBorders>
              <w:bottom w:val="single" w:sz="8" w:color="2C2C2C"/>
            </w:tcBorders>
            <w:gridSpan w:val="8"/>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40" w:type="dxa"/>
            <w:vAlign w:val="bottom"/>
            <w:gridSpan w:val="10"/>
          </w:tcPr>
          <w:p>
            <w:pPr>
              <w:ind w:left="5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1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0" w:type="dxa"/>
            <w:vAlign w:val="bottom"/>
          </w:tcPr>
          <w:p>
            <w:pPr>
              <w:spacing w:after="0"/>
              <w:rPr>
                <w:sz w:val="11"/>
                <w:szCs w:val="11"/>
                <w:color w:val="auto"/>
              </w:rPr>
            </w:pPr>
          </w:p>
        </w:tc>
        <w:tc>
          <w:tcPr>
            <w:tcW w:w="11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220"/>
              <w:spacing w:after="0"/>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0.0</w:t>
            </w:r>
            <w:r>
              <w:rPr>
                <w:rFonts w:ascii="Arial" w:cs="Arial" w:eastAsia="Arial" w:hAnsi="Arial"/>
                <w:sz w:val="21"/>
                <w:szCs w:val="21"/>
                <w:color w:val="008000"/>
                <w:w w:val="90"/>
                <w:vertAlign w:val="superscript"/>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660" w:type="dxa"/>
            <w:vAlign w:val="bottom"/>
          </w:tcPr>
          <w:p>
            <w:pPr>
              <w:jc w:val="center"/>
              <w:spacing w:after="0" w:line="144" w:lineRule="exact"/>
              <w:rPr>
                <w:sz w:val="20"/>
                <w:szCs w:val="20"/>
                <w:color w:val="auto"/>
              </w:rPr>
            </w:pPr>
            <w:r>
              <w:rPr>
                <w:rFonts w:ascii="Arial" w:cs="Arial" w:eastAsia="Arial" w:hAnsi="Arial"/>
                <w:sz w:val="13"/>
                <w:szCs w:val="13"/>
                <w:color w:val="0000FF"/>
                <w:w w:val="88"/>
              </w:rPr>
              <w:t>Stock,</w:t>
            </w:r>
          </w:p>
        </w:tc>
        <w:tc>
          <w:tcPr>
            <w:tcW w:w="560" w:type="dxa"/>
            <w:vAlign w:val="bottom"/>
            <w:vMerge w:val="restart"/>
          </w:tcPr>
          <w:p>
            <w:pPr>
              <w:ind w:left="140"/>
              <w:spacing w:after="0"/>
              <w:rPr>
                <w:sz w:val="20"/>
                <w:szCs w:val="20"/>
                <w:color w:val="auto"/>
              </w:rPr>
            </w:pPr>
            <w:r>
              <w:rPr>
                <w:rFonts w:ascii="Arial" w:cs="Arial" w:eastAsia="Arial" w:hAnsi="Arial"/>
                <w:sz w:val="17"/>
                <w:szCs w:val="17"/>
                <w:color w:val="0000FF"/>
              </w:rPr>
              <w:t>660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60"/>
              <w:spacing w:after="0" w:line="144" w:lineRule="exact"/>
              <w:rPr>
                <w:sz w:val="20"/>
                <w:szCs w:val="20"/>
                <w:color w:val="auto"/>
              </w:rPr>
            </w:pPr>
            <w:r>
              <w:rPr>
                <w:rFonts w:ascii="Arial" w:cs="Arial" w:eastAsia="Arial" w:hAnsi="Arial"/>
                <w:sz w:val="13"/>
                <w:szCs w:val="13"/>
                <w:color w:val="0000FF"/>
              </w:rPr>
              <w:t>02/16/2023</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ind w:left="80"/>
              <w:spacing w:after="0" w:line="144"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700" w:type="dxa"/>
            <w:vAlign w:val="bottom"/>
          </w:tcPr>
          <w:p>
            <w:pPr>
              <w:ind w:left="380"/>
              <w:spacing w:after="0" w:line="144" w:lineRule="exact"/>
              <w:rPr>
                <w:sz w:val="20"/>
                <w:szCs w:val="20"/>
                <w:color w:val="auto"/>
              </w:rPr>
            </w:pPr>
            <w:r>
              <w:rPr>
                <w:rFonts w:ascii="Arial" w:cs="Arial" w:eastAsia="Arial" w:hAnsi="Arial"/>
                <w:sz w:val="13"/>
                <w:szCs w:val="13"/>
                <w:color w:val="0000FF"/>
              </w:rPr>
              <w:t>660</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ind w:left="80"/>
              <w:spacing w:after="0" w:line="144"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ind w:left="8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60"/>
              <w:spacing w:after="0" w:line="144" w:lineRule="exact"/>
              <w:rPr>
                <w:sz w:val="20"/>
                <w:szCs w:val="20"/>
                <w:color w:val="auto"/>
              </w:rPr>
            </w:pPr>
            <w:r>
              <w:rPr>
                <w:rFonts w:ascii="Arial" w:cs="Arial" w:eastAsia="Arial" w:hAnsi="Arial"/>
                <w:sz w:val="13"/>
                <w:szCs w:val="13"/>
                <w:color w:val="0000FF"/>
                <w:w w:val="98"/>
              </w:rPr>
              <w:t>1,980</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90"/>
              </w:rPr>
              <w:t>$0.001</w:t>
            </w: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00"/>
        <w:spacing w:after="0"/>
        <w:rPr>
          <w:sz w:val="20"/>
          <w:szCs w:val="20"/>
          <w:color w:val="auto"/>
        </w:rPr>
      </w:pPr>
      <w:r>
        <w:rPr>
          <w:rFonts w:ascii="Arial" w:cs="Arial" w:eastAsia="Arial" w:hAnsi="Arial"/>
          <w:sz w:val="13"/>
          <w:szCs w:val="13"/>
          <w:color w:val="0000FF"/>
        </w:rPr>
        <w:t>per share</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40" w:right="340" w:firstLine="3"/>
        <w:spacing w:after="0" w:line="294"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16, 2023.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jc w:val="both"/>
        <w:ind w:left="40" w:right="24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16, 2022, the reporting person was granted 2,640 restricted stock units, vesting in four annual installments beginning on the first anniversary of the grant date. 25 percent of the restricted stock units became vested on February 16, 2023, an additional twenty-five percent of the restricted stock units will vest on February 16, 2024, an additional twenty-five percent of the restricted stock units will vest on February 16, 2025; and the remaining balance of twenty-five percent of the restricted stock units will vest on February 16, 2026.</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600"/>
        <w:spacing w:after="0" w:line="186"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-27305</wp:posOffset>
            </wp:positionV>
            <wp:extent cx="13265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854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542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3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2023-02-21T17:13:13Z</dcterms:created>
  <dcterms:modified xsi:type="dcterms:W3CDTF">2023-02-21T17:13:13Z</dcterms:modified>
</cp:coreProperties>
</file>