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2)</w:t>
      </w:r>
      <w:r>
        <w:rPr>
          <w:rFonts w:ascii="Arial" w:cs="Arial" w:eastAsia="Arial" w:hAnsi="Arial"/>
          <w:sz w:val="18"/>
          <w:szCs w:val="18"/>
          <w:b w:val="1"/>
          <w:bCs w:val="1"/>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Exlservice Holdings,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$0.001 par value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302081104</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2013</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80" w:hanging="446"/>
        <w:spacing w:after="0" w:line="277" w:lineRule="auto"/>
        <w:rPr>
          <w:rFonts w:ascii="MS PGothic" w:cs="MS PGothic" w:eastAsia="MS PGothic" w:hAnsi="MS PGothic"/>
          <w:sz w:val="18"/>
          <w:szCs w:val="18"/>
          <w:color w:val="auto"/>
        </w:rPr>
      </w:pPr>
      <w:r>
        <w:rPr>
          <w:rFonts w:ascii="Arial" w:cs="Arial" w:eastAsia="Arial" w:hAnsi="Arial"/>
          <w:sz w:val="15"/>
          <w:szCs w:val="15"/>
          <w:color w:val="auto"/>
        </w:rPr>
        <w:t>1</w:t>
      </w: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w:t>
      </w:r>
    </w:p>
    <w:p>
      <w:pPr>
        <w:spacing w:after="0" w:line="46" w:lineRule="exact"/>
        <w:rPr>
          <w:sz w:val="24"/>
          <w:szCs w:val="24"/>
          <w:color w:val="auto"/>
        </w:rPr>
      </w:pPr>
    </w:p>
    <w:p>
      <w:pPr>
        <w:ind w:right="300"/>
        <w:spacing w:after="0" w:line="261" w:lineRule="auto"/>
        <w:rPr>
          <w:sz w:val="20"/>
          <w:szCs w:val="20"/>
          <w:color w:val="auto"/>
        </w:rPr>
      </w:pPr>
      <w:r>
        <w:rPr>
          <w:rFonts w:ascii="Arial" w:cs="Arial" w:eastAsia="Arial" w:hAnsi="Arial"/>
          <w:sz w:val="18"/>
          <w:szCs w:val="18"/>
          <w:color w:val="auto"/>
        </w:rPr>
        <w:t>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CUSIP No. </w:t>
      </w:r>
      <w:r>
        <w:rPr>
          <w:rFonts w:ascii="Arial" w:cs="Arial" w:eastAsia="Arial" w:hAnsi="Arial"/>
          <w:sz w:val="18"/>
          <w:szCs w:val="18"/>
          <w:u w:val="single" w:color="auto"/>
          <w:color w:val="auto"/>
        </w:rPr>
        <w:t>302081104</w:t>
      </w:r>
    </w:p>
    <w:p>
      <w:pPr>
        <w:spacing w:after="0" w:line="144" w:lineRule="exact"/>
        <w:rPr>
          <w:sz w:val="20"/>
          <w:szCs w:val="20"/>
          <w:color w:val="auto"/>
        </w:rPr>
      </w:pPr>
    </w:p>
    <w:p>
      <w:pPr>
        <w:ind w:left="260"/>
        <w:spacing w:after="0"/>
        <w:tabs>
          <w:tab w:leader="none" w:pos="5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531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531485"/>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I.R.S. Identification Nos. of Above Persons (Entities Only)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960" w:type="dxa"/>
            <w:vAlign w:val="bottom"/>
            <w:gridSpan w:val="4"/>
          </w:tcPr>
          <w:p>
            <w:pPr>
              <w:ind w:left="80"/>
              <w:spacing w:after="0"/>
              <w:rPr>
                <w:sz w:val="20"/>
                <w:szCs w:val="20"/>
                <w:color w:val="auto"/>
              </w:rPr>
            </w:pPr>
            <w:r>
              <w:rPr>
                <w:rFonts w:ascii="Arial" w:cs="Arial" w:eastAsia="Arial" w:hAnsi="Arial"/>
                <w:sz w:val="22"/>
                <w:szCs w:val="22"/>
                <w:color w:val="auto"/>
              </w:rPr>
              <w:t>TimesSquare Capital Management, LLC</w:t>
            </w:r>
          </w:p>
        </w:tc>
        <w:tc>
          <w:tcPr>
            <w:tcW w:w="0" w:type="dxa"/>
            <w:vAlign w:val="bottom"/>
          </w:tcPr>
          <w:p>
            <w:pPr>
              <w:spacing w:after="0"/>
              <w:rPr>
                <w:sz w:val="1"/>
                <w:szCs w:val="1"/>
                <w:color w:val="auto"/>
              </w:rPr>
            </w:pPr>
          </w:p>
        </w:tc>
      </w:tr>
      <w:tr>
        <w:trPr>
          <w:trHeight w:val="276"/>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140"/>
              <w:spacing w:after="0"/>
              <w:rPr>
                <w:sz w:val="20"/>
                <w:szCs w:val="20"/>
                <w:color w:val="auto"/>
              </w:rPr>
            </w:pPr>
            <w:r>
              <w:rPr>
                <w:rFonts w:ascii="Arial" w:cs="Arial" w:eastAsia="Arial" w:hAnsi="Arial"/>
                <w:sz w:val="22"/>
                <w:szCs w:val="22"/>
                <w:color w:val="auto"/>
              </w:rPr>
              <w:t>20-1665304</w:t>
            </w:r>
          </w:p>
        </w:tc>
        <w:tc>
          <w:tcPr>
            <w:tcW w:w="0" w:type="dxa"/>
            <w:vAlign w:val="bottom"/>
          </w:tcPr>
          <w:p>
            <w:pPr>
              <w:spacing w:after="0"/>
              <w:rPr>
                <w:sz w:val="1"/>
                <w:szCs w:val="1"/>
                <w:color w:val="auto"/>
              </w:rPr>
            </w:pPr>
          </w:p>
        </w:tc>
      </w:tr>
      <w:tr>
        <w:trPr>
          <w:trHeight w:val="164"/>
        </w:trPr>
        <w:tc>
          <w:tcPr>
            <w:tcW w:w="42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96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w w:val="81"/>
              </w:rPr>
              <w:t>(b)</w:t>
            </w:r>
          </w:p>
        </w:tc>
        <w:tc>
          <w:tcPr>
            <w:tcW w:w="98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spacing w:after="0"/>
              <w:rPr>
                <w:sz w:val="20"/>
                <w:szCs w:val="20"/>
                <w:color w:val="auto"/>
              </w:rPr>
            </w:pPr>
          </w:p>
        </w:tc>
        <w:tc>
          <w:tcPr>
            <w:tcW w:w="9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100" w:type="dxa"/>
            <w:vAlign w:val="bottom"/>
            <w:gridSpan w:val="3"/>
          </w:tcPr>
          <w:p>
            <w:pPr>
              <w:ind w:left="80"/>
              <w:spacing w:after="0"/>
              <w:rPr>
                <w:sz w:val="20"/>
                <w:szCs w:val="20"/>
                <w:color w:val="auto"/>
              </w:rPr>
            </w:pPr>
            <w:r>
              <w:rPr>
                <w:rFonts w:ascii="Arial" w:cs="Arial" w:eastAsia="Arial" w:hAnsi="Arial"/>
                <w:sz w:val="18"/>
                <w:szCs w:val="18"/>
                <w:color w:val="auto"/>
                <w:w w:val="91"/>
              </w:rPr>
              <w:t>SEC use only</w:t>
            </w:r>
          </w:p>
        </w:tc>
        <w:tc>
          <w:tcPr>
            <w:tcW w:w="9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96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96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60" w:type="dxa"/>
            <w:vAlign w:val="bottom"/>
            <w:tcBorders>
              <w:bottom w:val="single" w:sz="8" w:color="auto"/>
            </w:tcBorders>
            <w:gridSpan w:val="4"/>
          </w:tcPr>
          <w:p>
            <w:pPr>
              <w:ind w:left="30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26"/>
        </w:trPr>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5"/>
              </w:rPr>
              <w:t>Number of</w:t>
            </w:r>
          </w:p>
        </w:tc>
        <w:tc>
          <w:tcPr>
            <w:tcW w:w="3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ind w:left="220"/>
              <w:spacing w:after="0"/>
              <w:rPr>
                <w:sz w:val="20"/>
                <w:szCs w:val="20"/>
                <w:color w:val="auto"/>
              </w:rPr>
            </w:pPr>
            <w:r>
              <w:rPr>
                <w:rFonts w:ascii="Arial" w:cs="Arial" w:eastAsia="Arial" w:hAnsi="Arial"/>
                <w:sz w:val="22"/>
                <w:szCs w:val="22"/>
                <w:color w:val="auto"/>
              </w:rPr>
              <w:t>2,078,273</w:t>
            </w:r>
          </w:p>
        </w:tc>
        <w:tc>
          <w:tcPr>
            <w:tcW w:w="0" w:type="dxa"/>
            <w:vAlign w:val="bottom"/>
          </w:tcPr>
          <w:p>
            <w:pPr>
              <w:spacing w:after="0"/>
              <w:rPr>
                <w:sz w:val="1"/>
                <w:szCs w:val="1"/>
                <w:color w:val="auto"/>
              </w:rPr>
            </w:pPr>
          </w:p>
        </w:tc>
      </w:tr>
      <w:tr>
        <w:trPr>
          <w:trHeight w:val="48"/>
        </w:trPr>
        <w:tc>
          <w:tcPr>
            <w:tcW w:w="1140" w:type="dxa"/>
            <w:vAlign w:val="bottom"/>
            <w:tcBorders>
              <w:right w:val="single" w:sz="8" w:color="auto"/>
            </w:tcBorders>
            <w:gridSpan w:val="3"/>
            <w:vMerge w:val="continue"/>
          </w:tcPr>
          <w:p>
            <w:pPr>
              <w:spacing w:after="0"/>
              <w:rPr>
                <w:sz w:val="4"/>
                <w:szCs w:val="4"/>
                <w:color w:val="auto"/>
              </w:rPr>
            </w:pPr>
          </w:p>
        </w:tc>
        <w:tc>
          <w:tcPr>
            <w:tcW w:w="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4"/>
                <w:szCs w:val="4"/>
                <w:color w:val="auto"/>
              </w:rPr>
            </w:pPr>
          </w:p>
        </w:tc>
        <w:tc>
          <w:tcPr>
            <w:tcW w:w="986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720" w:type="dxa"/>
            <w:vAlign w:val="bottom"/>
            <w:tcBorders>
              <w:right w:val="single" w:sz="8" w:color="auto"/>
            </w:tcBorders>
            <w:gridSpan w:val="2"/>
            <w:vMerge w:val="restart"/>
          </w:tcPr>
          <w:p>
            <w:pPr>
              <w:jc w:val="center"/>
              <w:ind w:right="184"/>
              <w:spacing w:after="0"/>
              <w:rPr>
                <w:sz w:val="20"/>
                <w:szCs w:val="20"/>
                <w:color w:val="auto"/>
              </w:rPr>
            </w:pPr>
            <w:r>
              <w:rPr>
                <w:rFonts w:ascii="Arial" w:cs="Arial" w:eastAsia="Arial" w:hAnsi="Arial"/>
                <w:sz w:val="18"/>
                <w:szCs w:val="18"/>
                <w:color w:val="auto"/>
                <w:w w:val="81"/>
              </w:rPr>
              <w:t>shares</w:t>
            </w:r>
          </w:p>
        </w:tc>
        <w:tc>
          <w:tcPr>
            <w:tcW w:w="36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720" w:type="dxa"/>
            <w:vAlign w:val="bottom"/>
            <w:tcBorders>
              <w:right w:val="single" w:sz="8" w:color="auto"/>
            </w:tcBorders>
            <w:gridSpan w:val="2"/>
            <w:vMerge w:val="continue"/>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4"/>
              </w:rPr>
              <w:t>beneficially</w:t>
            </w:r>
          </w:p>
        </w:tc>
        <w:tc>
          <w:tcPr>
            <w:tcW w:w="3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60" w:type="dxa"/>
            <w:vAlign w:val="bottom"/>
            <w:vMerge w:val="restart"/>
          </w:tcPr>
          <w:p>
            <w:pPr>
              <w:ind w:left="2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3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Borders>
              <w:right w:val="single" w:sz="8" w:color="auto"/>
            </w:tcBorders>
          </w:tcPr>
          <w:p>
            <w:pPr>
              <w:jc w:val="center"/>
              <w:ind w:right="244"/>
              <w:spacing w:after="0" w:line="182" w:lineRule="exact"/>
              <w:rPr>
                <w:sz w:val="20"/>
                <w:szCs w:val="20"/>
                <w:color w:val="auto"/>
              </w:rPr>
            </w:pPr>
            <w:r>
              <w:rPr>
                <w:rFonts w:ascii="Arial" w:cs="Arial" w:eastAsia="Arial" w:hAnsi="Arial"/>
                <w:sz w:val="18"/>
                <w:szCs w:val="18"/>
                <w:color w:val="auto"/>
                <w:w w:val="81"/>
              </w:rPr>
              <w:t>each</w:t>
            </w:r>
          </w:p>
        </w:tc>
        <w:tc>
          <w:tcPr>
            <w:tcW w:w="3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5"/>
                <w:szCs w:val="15"/>
                <w:color w:val="auto"/>
              </w:rPr>
            </w:pPr>
          </w:p>
        </w:tc>
        <w:tc>
          <w:tcPr>
            <w:tcW w:w="986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2"/>
              </w:rPr>
              <w:t>reporting</w:t>
            </w:r>
          </w:p>
        </w:tc>
        <w:tc>
          <w:tcPr>
            <w:tcW w:w="3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7"/>
              </w:rPr>
              <w:t>person</w:t>
            </w:r>
          </w:p>
        </w:tc>
        <w:tc>
          <w:tcPr>
            <w:tcW w:w="36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860" w:type="dxa"/>
            <w:vAlign w:val="bottom"/>
          </w:tcPr>
          <w:p>
            <w:pPr>
              <w:ind w:left="220"/>
              <w:spacing w:after="0" w:line="244" w:lineRule="exact"/>
              <w:rPr>
                <w:sz w:val="20"/>
                <w:szCs w:val="20"/>
                <w:color w:val="auto"/>
              </w:rPr>
            </w:pPr>
            <w:r>
              <w:rPr>
                <w:rFonts w:ascii="Arial" w:cs="Arial" w:eastAsia="Arial" w:hAnsi="Arial"/>
                <w:sz w:val="22"/>
                <w:szCs w:val="22"/>
                <w:color w:val="auto"/>
              </w:rPr>
              <w:t>2,144,643</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Borders>
              <w:right w:val="single" w:sz="8" w:color="auto"/>
            </w:tcBorders>
            <w:vMerge w:val="restart"/>
          </w:tcPr>
          <w:p>
            <w:pPr>
              <w:jc w:val="center"/>
              <w:ind w:right="244"/>
              <w:spacing w:after="0"/>
              <w:rPr>
                <w:sz w:val="20"/>
                <w:szCs w:val="20"/>
                <w:color w:val="auto"/>
              </w:rPr>
            </w:pPr>
            <w:r>
              <w:rPr>
                <w:rFonts w:ascii="Arial" w:cs="Arial" w:eastAsia="Arial" w:hAnsi="Arial"/>
                <w:sz w:val="18"/>
                <w:szCs w:val="18"/>
                <w:color w:val="auto"/>
                <w:w w:val="99"/>
              </w:rPr>
              <w:t>with</w:t>
            </w:r>
          </w:p>
        </w:tc>
        <w:tc>
          <w:tcPr>
            <w:tcW w:w="36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right w:val="single" w:sz="8" w:color="auto"/>
            </w:tcBorders>
            <w:vMerge w:val="continue"/>
          </w:tcPr>
          <w:p>
            <w:pPr>
              <w:spacing w:after="0"/>
              <w:rPr>
                <w:sz w:val="12"/>
                <w:szCs w:val="12"/>
                <w:color w:val="auto"/>
              </w:rPr>
            </w:pPr>
          </w:p>
        </w:tc>
        <w:tc>
          <w:tcPr>
            <w:tcW w:w="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2"/>
                <w:szCs w:val="12"/>
                <w:color w:val="auto"/>
              </w:rPr>
            </w:pPr>
          </w:p>
        </w:tc>
        <w:tc>
          <w:tcPr>
            <w:tcW w:w="986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ind w:left="2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94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960" w:type="dxa"/>
            <w:vAlign w:val="bottom"/>
            <w:tcBorders>
              <w:bottom w:val="single" w:sz="8" w:color="auto"/>
            </w:tcBorders>
            <w:gridSpan w:val="4"/>
          </w:tcPr>
          <w:p>
            <w:pPr>
              <w:ind w:left="300"/>
              <w:spacing w:after="0"/>
              <w:rPr>
                <w:sz w:val="20"/>
                <w:szCs w:val="20"/>
                <w:color w:val="auto"/>
              </w:rPr>
            </w:pPr>
            <w:r>
              <w:rPr>
                <w:rFonts w:ascii="Arial" w:cs="Arial" w:eastAsia="Arial" w:hAnsi="Arial"/>
                <w:sz w:val="22"/>
                <w:szCs w:val="22"/>
                <w:color w:val="auto"/>
              </w:rPr>
              <w:t>2,144,643</w:t>
            </w:r>
          </w:p>
        </w:tc>
        <w:tc>
          <w:tcPr>
            <w:tcW w:w="0" w:type="dxa"/>
            <w:vAlign w:val="bottom"/>
          </w:tcPr>
          <w:p>
            <w:pPr>
              <w:spacing w:after="0"/>
              <w:rPr>
                <w:sz w:val="1"/>
                <w:szCs w:val="1"/>
                <w:color w:val="auto"/>
              </w:rPr>
            </w:pPr>
          </w:p>
        </w:tc>
      </w:tr>
      <w:tr>
        <w:trPr>
          <w:trHeight w:val="278"/>
        </w:trPr>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4"/>
                <w:szCs w:val="24"/>
                <w:color w:val="auto"/>
              </w:rPr>
            </w:pPr>
          </w:p>
        </w:tc>
        <w:tc>
          <w:tcPr>
            <w:tcW w:w="1096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right w:val="single" w:sz="8" w:color="auto"/>
            </w:tcBorders>
            <w:gridSpan w:val="2"/>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94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6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300"/>
              <w:spacing w:after="0"/>
              <w:rPr>
                <w:sz w:val="20"/>
                <w:szCs w:val="20"/>
                <w:color w:val="auto"/>
              </w:rPr>
            </w:pPr>
            <w:r>
              <w:rPr>
                <w:rFonts w:ascii="Arial" w:cs="Arial" w:eastAsia="Arial" w:hAnsi="Arial"/>
                <w:sz w:val="22"/>
                <w:szCs w:val="22"/>
                <w:color w:val="auto"/>
              </w:rPr>
              <w:t>6.5%</w:t>
            </w:r>
          </w:p>
        </w:tc>
        <w:tc>
          <w:tcPr>
            <w:tcW w:w="8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096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IA</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2" w:name="page3"/>
    <w:bookmarkEnd w:id="2"/>
    <w:p>
      <w:pPr>
        <w:ind w:left="53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Name of Issuer: Exlservice Holdings, Inc.</w:t>
      </w:r>
    </w:p>
    <w:p>
      <w:pPr>
        <w:spacing w:after="0" w:line="200" w:lineRule="exact"/>
        <w:rPr>
          <w:sz w:val="20"/>
          <w:szCs w:val="20"/>
          <w:color w:val="auto"/>
        </w:rPr>
      </w:pPr>
    </w:p>
    <w:p>
      <w:pPr>
        <w:spacing w:after="0" w:line="237" w:lineRule="exact"/>
        <w:rPr>
          <w:sz w:val="20"/>
          <w:szCs w:val="20"/>
          <w:color w:val="auto"/>
        </w:rPr>
      </w:pPr>
    </w:p>
    <w:p>
      <w:pPr>
        <w:ind w:left="5360"/>
        <w:spacing w:after="0"/>
        <w:rPr>
          <w:sz w:val="20"/>
          <w:szCs w:val="20"/>
          <w:color w:val="auto"/>
        </w:rPr>
      </w:pPr>
      <w:r>
        <w:rPr>
          <w:rFonts w:ascii="Arial" w:cs="Arial" w:eastAsia="Arial" w:hAnsi="Arial"/>
          <w:sz w:val="17"/>
          <w:szCs w:val="17"/>
          <w:b w:val="1"/>
          <w:bCs w:val="1"/>
          <w:color w:val="auto"/>
        </w:rPr>
        <w:t>Item 1(b)</w:t>
      </w:r>
    </w:p>
    <w:p>
      <w:pPr>
        <w:sectPr>
          <w:pgSz w:w="11900" w:h="16838" w:orient="portrait"/>
          <w:cols w:equalWidth="0" w:num="1">
            <w:col w:w="10800"/>
          </w:cols>
          <w:pgMar w:left="240" w:top="270" w:right="859" w:bottom="1440" w:gutter="0" w:footer="0" w:header="0"/>
        </w:sect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Address of Issuer’s Principal Executive Offices: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280 Park Avenue, 38</w:t>
      </w:r>
      <w:r>
        <w:rPr>
          <w:rFonts w:ascii="Arial" w:cs="Arial" w:eastAsia="Arial" w:hAnsi="Arial"/>
          <w:sz w:val="13"/>
          <w:szCs w:val="13"/>
          <w:color w:val="auto"/>
        </w:rPr>
        <w:t>TH</w:t>
      </w:r>
      <w:r>
        <w:rPr>
          <w:rFonts w:ascii="Arial" w:cs="Arial" w:eastAsia="Arial" w:hAnsi="Arial"/>
          <w:sz w:val="16"/>
          <w:szCs w:val="16"/>
          <w:color w:val="auto"/>
        </w:rPr>
        <w:t xml:space="preserve"> Floor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200" w:lineRule="exact"/>
        <w:rPr>
          <w:sz w:val="20"/>
          <w:szCs w:val="20"/>
          <w:color w:val="auto"/>
        </w:rPr>
      </w:pPr>
    </w:p>
    <w:p>
      <w:pPr>
        <w:sectPr>
          <w:pgSz w:w="11900" w:h="16838" w:orient="portrait"/>
          <w:cols w:equalWidth="0" w:num="2">
            <w:col w:w="3480" w:space="640"/>
            <w:col w:w="6680"/>
          </w:cols>
          <w:pgMar w:left="240" w:top="270" w:right="859" w:bottom="1440" w:gutter="0" w:footer="0" w:header="0"/>
          <w:type w:val="continuous"/>
        </w:sectPr>
      </w:pPr>
    </w:p>
    <w:p>
      <w:pPr>
        <w:spacing w:after="0" w:line="223"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Item 2(a)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Name of Persons Filing: TimesSquare Capital Management, LLC (“TimesSquare”)</w:t>
      </w:r>
    </w:p>
    <w:p>
      <w:pPr>
        <w:spacing w:after="0" w:line="200" w:lineRule="exact"/>
        <w:rPr>
          <w:sz w:val="20"/>
          <w:szCs w:val="20"/>
          <w:color w:val="auto"/>
        </w:rPr>
      </w:pPr>
    </w:p>
    <w:p>
      <w:pPr>
        <w:spacing w:after="0" w:line="23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Item 2(b)</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Address of Principal Business Office or, if none, Residence:</w:t>
      </w:r>
    </w:p>
    <w:p>
      <w:pPr>
        <w:spacing w:after="0" w:line="25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TimesSquare:</w:t>
        <w:tab/>
        <w:t>7 Times Square, 42nd Floor</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NY 10036</w:t>
      </w:r>
    </w:p>
    <w:p>
      <w:pPr>
        <w:spacing w:after="0" w:line="200" w:lineRule="exact"/>
        <w:rPr>
          <w:sz w:val="20"/>
          <w:szCs w:val="20"/>
          <w:color w:val="auto"/>
        </w:rPr>
      </w:pPr>
    </w:p>
    <w:p>
      <w:pPr>
        <w:spacing w:after="0" w:line="223"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Item 2(c)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Citizenship: TimesSquare is a Delaware limited liability company.</w:t>
      </w:r>
    </w:p>
    <w:p>
      <w:pPr>
        <w:spacing w:after="0" w:line="200" w:lineRule="exact"/>
        <w:rPr>
          <w:sz w:val="20"/>
          <w:szCs w:val="20"/>
          <w:color w:val="auto"/>
        </w:rPr>
      </w:pPr>
    </w:p>
    <w:p>
      <w:pPr>
        <w:spacing w:after="0" w:line="23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Item 2(d)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Title of Class of Securities: Common Stock, $0.001 par value</w:t>
      </w:r>
    </w:p>
    <w:p>
      <w:pPr>
        <w:spacing w:after="0" w:line="200" w:lineRule="exact"/>
        <w:rPr>
          <w:sz w:val="20"/>
          <w:szCs w:val="20"/>
          <w:color w:val="auto"/>
        </w:rPr>
      </w:pPr>
    </w:p>
    <w:p>
      <w:pPr>
        <w:spacing w:after="0" w:line="23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Item 2(e)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CUSIP Number: 302081104</w:t>
      </w:r>
    </w:p>
    <w:p>
      <w:pPr>
        <w:spacing w:after="0" w:line="200" w:lineRule="exact"/>
        <w:rPr>
          <w:sz w:val="20"/>
          <w:szCs w:val="20"/>
          <w:color w:val="auto"/>
        </w:rPr>
      </w:pPr>
    </w:p>
    <w:p>
      <w:pPr>
        <w:spacing w:after="0" w:line="237"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Item 3</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statement is filed by TimesSquare pursuant to §§240.13d-1(b), or 240.13d-2(b) or (c), on the basis that TimesSquare is an investment adviser in accordance with §240.13d-1(b)(1)(ii)(E).</w:t>
      </w:r>
    </w:p>
    <w:p>
      <w:pPr>
        <w:spacing w:after="0" w:line="383"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Item 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Ownership. The following ownership information is as of December 31, 2013.</w:t>
      </w:r>
    </w:p>
    <w:p>
      <w:pPr>
        <w:spacing w:after="0" w:line="13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 2,144,643</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6.5%</w:t>
      </w:r>
    </w:p>
    <w:p>
      <w:pPr>
        <w:spacing w:after="0" w:line="117"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Percent of class is based on 32,935,000 shares of Common Stock outstanding as of December 31, 2013 as reported to us by FT Interactive Data Corporation.</w:t>
      </w:r>
    </w:p>
    <w:p>
      <w:pPr>
        <w:sectPr>
          <w:pgSz w:w="11900" w:h="16838" w:orient="portrait"/>
          <w:cols w:equalWidth="0" w:num="1">
            <w:col w:w="10800"/>
          </w:cols>
          <w:pgMar w:left="240" w:top="270" w:right="859" w:bottom="1440" w:gutter="0" w:footer="0" w:header="0"/>
          <w:type w:val="continuous"/>
        </w:sectPr>
      </w:pPr>
    </w:p>
    <w:bookmarkStart w:id="3" w:name="page4"/>
    <w:bookmarkEnd w:id="3"/>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Number of shares as to which the person has: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2,078,273*</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2,144,643*</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52" w:lineRule="exact"/>
        <w:rPr>
          <w:sz w:val="20"/>
          <w:szCs w:val="20"/>
          <w:color w:val="auto"/>
        </w:rPr>
      </w:pPr>
    </w:p>
    <w:p>
      <w:pPr>
        <w:ind w:left="220" w:right="20" w:hanging="212"/>
        <w:spacing w:after="0" w:line="277"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of the shares reported on in this statement are owned by investment advisory clients of TimesSquare. In its role as investment adviser, TimesSquare has voting and dispositive power with respect to these shares.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Ownership of Five Percent or Less of a Class.</w:t>
      </w:r>
    </w:p>
    <w:p>
      <w:pPr>
        <w:spacing w:after="0" w:line="225" w:lineRule="exact"/>
        <w:rPr>
          <w:sz w:val="20"/>
          <w:szCs w:val="20"/>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Ownership of More than Five Percent on Behalf of Another Person.</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shares of Common Stock reported on in this statement are owned by investment advisory clients of TimesSquare, and such clients have the right to receive dividends from and proceeds from the sale of such shares. To TimesSquare’s knowledge, the interest of no one of these clients relates to more than 5% of the class.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7</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Identification and Classification of the Subsidiary Which Acquired the Security Being Reported on By the Parent Holding Company or Control Person.</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Identification and Classification of Members of the Group.</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Notice of Dissolution of Group.</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274" w:right="239" w:bottom="1440" w:gutter="0" w:footer="0" w:header="0"/>
        </w:sectPr>
      </w:pPr>
    </w:p>
    <w:bookmarkStart w:id="4" w:name="page5"/>
    <w:bookmarkEnd w:id="4"/>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60"/>
          </w:cols>
          <w:pgMar w:left="240" w:top="270"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TIMESSQUARE CAPITAL MANAGEMENT,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Signature:</w:t>
            </w: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J. Aaron</w:t>
            </w:r>
          </w:p>
        </w:tc>
      </w:tr>
      <w:tr>
        <w:trPr>
          <w:trHeight w:val="317"/>
        </w:trPr>
        <w:tc>
          <w:tcPr>
            <w:tcW w:w="1260" w:type="dxa"/>
            <w:vAlign w:val="bottom"/>
          </w:tcPr>
          <w:p>
            <w:pPr>
              <w:spacing w:after="0"/>
              <w:rPr>
                <w:sz w:val="20"/>
                <w:szCs w:val="20"/>
                <w:color w:val="auto"/>
              </w:rPr>
            </w:pPr>
            <w:r>
              <w:rPr>
                <w:rFonts w:ascii="Arial" w:cs="Arial" w:eastAsia="Arial" w:hAnsi="Arial"/>
                <w:sz w:val="18"/>
                <w:szCs w:val="18"/>
                <w:color w:val="auto"/>
              </w:rPr>
              <w:t>Name/Title:</w:t>
            </w:r>
          </w:p>
        </w:tc>
        <w:tc>
          <w:tcPr>
            <w:tcW w:w="3320" w:type="dxa"/>
            <w:vAlign w:val="bottom"/>
          </w:tcPr>
          <w:p>
            <w:pPr>
              <w:spacing w:after="0"/>
              <w:rPr>
                <w:sz w:val="20"/>
                <w:szCs w:val="20"/>
                <w:color w:val="auto"/>
              </w:rPr>
            </w:pPr>
            <w:r>
              <w:rPr>
                <w:rFonts w:ascii="Arial" w:cs="Arial" w:eastAsia="Arial" w:hAnsi="Arial"/>
                <w:sz w:val="18"/>
                <w:szCs w:val="18"/>
                <w:color w:val="auto"/>
              </w:rPr>
              <w:t>Mark J. Aaron</w:t>
            </w:r>
          </w:p>
        </w:tc>
      </w:tr>
      <w:tr>
        <w:trPr>
          <w:trHeight w:val="216"/>
        </w:trPr>
        <w:tc>
          <w:tcPr>
            <w:tcW w:w="126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Chief Operating Officer and Chief</w:t>
            </w:r>
          </w:p>
        </w:tc>
      </w:tr>
      <w:tr>
        <w:trPr>
          <w:trHeight w:val="230"/>
        </w:trPr>
        <w:tc>
          <w:tcPr>
            <w:tcW w:w="126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Compliance Officer</w:t>
            </w:r>
          </w:p>
        </w:tc>
      </w:tr>
    </w:tbl>
    <w:p>
      <w:pPr>
        <w:spacing w:after="0" w:line="1" w:lineRule="exact"/>
        <w:rPr>
          <w:sz w:val="20"/>
          <w:szCs w:val="20"/>
          <w:color w:val="auto"/>
        </w:rPr>
      </w:pPr>
    </w:p>
    <w:sectPr>
      <w:pgSz w:w="11900" w:h="16838" w:orient="portrait"/>
      <w:cols w:equalWidth="0" w:num="1">
        <w:col w:w="11060"/>
      </w:cols>
      <w:pgMar w:left="240" w:top="27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lvl w:ilvl="1">
      <w:lvlJc w:val="left"/>
      <w:lvlText w:val="☐"/>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3"/>
    </w:lvl>
    <w:lvl w:ilvl="1">
      <w:lvlJc w:val="left"/>
      <w:lvlText w:val="(%2)"/>
      <w:numFmt w:val="lowerRoman"/>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2019-12-07T07:50:56Z</dcterms:created>
  <dcterms:modified xsi:type="dcterms:W3CDTF">2019-12-07T07:50:56Z</dcterms:modified>
</cp:coreProperties>
</file>