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-632460</wp:posOffset>
            </wp:positionV>
            <wp:extent cx="58420" cy="645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17145</wp:posOffset>
            </wp:positionV>
            <wp:extent cx="7045960" cy="55276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5276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Rai Ankor</w:t>
        </w:r>
      </w:hyperlink>
    </w:p>
    <w:p>
      <w:pPr>
        <w:spacing w:after="0" w:line="308"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jc w:val="center"/>
        <w:ind w:right="244"/>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3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02/16/2023</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4" w:right="600" w:firstLine="4"/>
        <w:spacing w:after="0"/>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6"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3"/>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76"/>
        <w:spacing w:after="0"/>
        <w:rPr>
          <w:sz w:val="20"/>
          <w:szCs w:val="20"/>
          <w:color w:val="auto"/>
        </w:rPr>
      </w:pPr>
      <w:r>
        <w:rPr>
          <w:rFonts w:ascii="Arial" w:cs="Arial" w:eastAsia="Arial" w:hAnsi="Arial"/>
          <w:sz w:val="17"/>
          <w:szCs w:val="17"/>
          <w:color w:val="0000FF"/>
        </w:rPr>
        <w:t>EVP, Chief Digital Officer</w:t>
      </w:r>
    </w:p>
    <w:p>
      <w:pPr>
        <w:spacing w:after="0" w:line="314" w:lineRule="exact"/>
        <w:rPr>
          <w:sz w:val="24"/>
          <w:szCs w:val="24"/>
          <w:color w:val="auto"/>
        </w:rPr>
      </w:pPr>
    </w:p>
    <w:p>
      <w:pPr>
        <w:sectPr>
          <w:pgSz w:w="11900" w:h="16838" w:orient="portrait"/>
          <w:cols w:equalWidth="0" w:num="3">
            <w:col w:w="3200" w:space="720"/>
            <w:col w:w="3104" w:space="720"/>
            <w:col w:w="3336"/>
          </w:cols>
          <w:pgMar w:left="460" w:top="222" w:right="35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4"/>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980" w:type="dxa"/>
            <w:vAlign w:val="bottom"/>
          </w:tcPr>
          <w:p>
            <w:pPr>
              <w:ind w:left="160"/>
              <w:spacing w:after="0"/>
              <w:rPr>
                <w:sz w:val="20"/>
                <w:szCs w:val="20"/>
                <w:color w:val="auto"/>
              </w:rPr>
            </w:pPr>
            <w:r>
              <w:rPr>
                <w:rFonts w:ascii="Arial" w:cs="Arial" w:eastAsia="Arial" w:hAnsi="Arial"/>
                <w:sz w:val="17"/>
                <w:szCs w:val="17"/>
                <w:color w:val="0000FF"/>
              </w:rPr>
              <w:t>NY</w:t>
            </w:r>
          </w:p>
        </w:tc>
        <w:tc>
          <w:tcPr>
            <w:tcW w:w="1600" w:type="dxa"/>
            <w:vAlign w:val="bottom"/>
          </w:tcPr>
          <w:p>
            <w:pPr>
              <w:ind w:left="420"/>
              <w:spacing w:after="0"/>
              <w:rPr>
                <w:sz w:val="20"/>
                <w:szCs w:val="20"/>
                <w:color w:val="auto"/>
              </w:rPr>
            </w:pPr>
            <w:r>
              <w:rPr>
                <w:rFonts w:ascii="Arial" w:cs="Arial" w:eastAsia="Arial" w:hAnsi="Arial"/>
                <w:sz w:val="17"/>
                <w:szCs w:val="17"/>
                <w:color w:val="0000FF"/>
              </w:rPr>
              <w:t>10022</w:t>
            </w:r>
          </w:p>
        </w:tc>
      </w:tr>
      <w:tr>
        <w:trPr>
          <w:trHeight w:val="152"/>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9"/>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2"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03" w:lineRule="exact"/>
        <w:rPr>
          <w:sz w:val="24"/>
          <w:szCs w:val="24"/>
          <w:color w:val="auto"/>
        </w:rPr>
      </w:pPr>
    </w:p>
    <w:p>
      <w:pPr>
        <w:sectPr>
          <w:pgSz w:w="11900" w:h="16838" w:orient="portrait"/>
          <w:cols w:equalWidth="0" w:num="2">
            <w:col w:w="3760" w:space="160"/>
            <w:col w:w="716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2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60" w:type="dxa"/>
            <w:vAlign w:val="bottom"/>
          </w:tcPr>
          <w:p>
            <w:pPr>
              <w:ind w:left="500"/>
              <w:spacing w:after="0" w:line="128"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6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w w:val="98"/>
              </w:rPr>
              <w:t>Disposed Of (D) (Instr. 3, 4 and 5)</w:t>
            </w:r>
          </w:p>
        </w:tc>
        <w:tc>
          <w:tcPr>
            <w:tcW w:w="160" w:type="dxa"/>
            <w:vAlign w:val="bottom"/>
          </w:tcPr>
          <w:p>
            <w:pPr>
              <w:spacing w:after="0"/>
              <w:rPr>
                <w:sz w:val="11"/>
                <w:szCs w:val="11"/>
                <w:color w:val="auto"/>
              </w:rPr>
            </w:pPr>
          </w:p>
        </w:tc>
        <w:tc>
          <w:tcPr>
            <w:tcW w:w="11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00" w:type="dxa"/>
            <w:vAlign w:val="bottom"/>
            <w:gridSpan w:val="2"/>
          </w:tcPr>
          <w:p>
            <w:pPr>
              <w:ind w:left="500"/>
              <w:spacing w:after="0" w:line="130"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20" w:type="dxa"/>
            <w:vAlign w:val="bottom"/>
            <w:gridSpan w:val="3"/>
          </w:tcPr>
          <w:p>
            <w:pPr>
              <w:ind w:left="60"/>
              <w:spacing w:after="0"/>
              <w:rPr>
                <w:sz w:val="20"/>
                <w:szCs w:val="20"/>
                <w:color w:val="auto"/>
              </w:rPr>
            </w:pPr>
            <w:r>
              <w:rPr>
                <w:rFonts w:ascii="Arial" w:cs="Arial" w:eastAsia="Arial" w:hAnsi="Arial"/>
                <w:sz w:val="17"/>
                <w:szCs w:val="17"/>
                <w:color w:val="0000FF"/>
                <w:w w:val="90"/>
              </w:rPr>
              <w:t>Common Stock, par value $0.001 per</w:t>
            </w:r>
          </w:p>
        </w:tc>
        <w:tc>
          <w:tcPr>
            <w:tcW w:w="1500" w:type="dxa"/>
            <w:vAlign w:val="bottom"/>
            <w:gridSpan w:val="2"/>
            <w:vMerge w:val="restart"/>
          </w:tcPr>
          <w:p>
            <w:pPr>
              <w:ind w:left="580"/>
              <w:spacing w:after="0"/>
              <w:rPr>
                <w:sz w:val="20"/>
                <w:szCs w:val="20"/>
                <w:color w:val="auto"/>
              </w:rPr>
            </w:pPr>
            <w:r>
              <w:rPr>
                <w:rFonts w:ascii="Arial" w:cs="Arial" w:eastAsia="Arial" w:hAnsi="Arial"/>
                <w:sz w:val="17"/>
                <w:szCs w:val="17"/>
                <w:color w:val="0000FF"/>
              </w:rPr>
              <w:t>02/16/2023</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700" w:type="dxa"/>
            <w:vAlign w:val="bottom"/>
            <w:vMerge w:val="restart"/>
          </w:tcPr>
          <w:p>
            <w:pPr>
              <w:ind w:left="280"/>
              <w:spacing w:after="0"/>
              <w:rPr>
                <w:sz w:val="20"/>
                <w:szCs w:val="20"/>
                <w:color w:val="auto"/>
              </w:rPr>
            </w:pPr>
            <w:r>
              <w:rPr>
                <w:rFonts w:ascii="Arial" w:cs="Arial" w:eastAsia="Arial" w:hAnsi="Arial"/>
                <w:sz w:val="17"/>
                <w:szCs w:val="17"/>
                <w:color w:val="0000FF"/>
              </w:rPr>
              <w:t>777</w:t>
            </w:r>
          </w:p>
        </w:tc>
        <w:tc>
          <w:tcPr>
            <w:tcW w:w="660" w:type="dxa"/>
            <w:vAlign w:val="bottom"/>
            <w:vMerge w:val="restart"/>
          </w:tcPr>
          <w:p>
            <w:pPr>
              <w:ind w:left="300"/>
              <w:spacing w:after="0"/>
              <w:rPr>
                <w:sz w:val="20"/>
                <w:szCs w:val="20"/>
                <w:color w:val="auto"/>
              </w:rPr>
            </w:pPr>
            <w:r>
              <w:rPr>
                <w:rFonts w:ascii="Arial" w:cs="Arial" w:eastAsia="Arial" w:hAnsi="Arial"/>
                <w:sz w:val="17"/>
                <w:szCs w:val="17"/>
                <w:color w:val="0000FF"/>
              </w:rPr>
              <w:t>A</w:t>
            </w:r>
          </w:p>
        </w:tc>
        <w:tc>
          <w:tcPr>
            <w:tcW w:w="560" w:type="dxa"/>
            <w:vAlign w:val="bottom"/>
            <w:vMerge w:val="restart"/>
          </w:tcPr>
          <w:p>
            <w:pPr>
              <w:jc w:val="center"/>
              <w:spacing w:after="0"/>
              <w:rPr>
                <w:sz w:val="20"/>
                <w:szCs w:val="20"/>
                <w:color w:val="auto"/>
              </w:rPr>
            </w:pPr>
            <w:r>
              <w:rPr>
                <w:rFonts w:ascii="Arial" w:cs="Arial" w:eastAsia="Arial" w:hAnsi="Arial"/>
                <w:sz w:val="33"/>
                <w:szCs w:val="33"/>
                <w:color w:val="000000"/>
                <w:vertAlign w:val="subscript"/>
              </w:rPr>
              <w:t>$</w:t>
            </w:r>
            <w:r>
              <w:rPr>
                <w:rFonts w:ascii="Arial" w:cs="Arial" w:eastAsia="Arial" w:hAnsi="Arial"/>
                <w:sz w:val="33"/>
                <w:szCs w:val="33"/>
                <w:color w:val="0000FF"/>
                <w:vertAlign w:val="subscript"/>
              </w:rPr>
              <w:t>0</w:t>
            </w:r>
            <w:r>
              <w:rPr>
                <w:rFonts w:ascii="Arial" w:cs="Arial" w:eastAsia="Arial" w:hAnsi="Arial"/>
                <w:sz w:val="11"/>
                <w:szCs w:val="11"/>
                <w:color w:val="008000"/>
              </w:rPr>
              <w:t>(1)</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vMerge w:val="restart"/>
          </w:tcPr>
          <w:p>
            <w:pPr>
              <w:ind w:left="320"/>
              <w:spacing w:after="0"/>
              <w:rPr>
                <w:sz w:val="20"/>
                <w:szCs w:val="20"/>
                <w:color w:val="auto"/>
              </w:rPr>
            </w:pPr>
            <w:r>
              <w:rPr>
                <w:rFonts w:ascii="Arial" w:cs="Arial" w:eastAsia="Arial" w:hAnsi="Arial"/>
                <w:sz w:val="17"/>
                <w:szCs w:val="17"/>
                <w:color w:val="0000FF"/>
              </w:rPr>
              <w:t>13,451</w:t>
            </w:r>
          </w:p>
        </w:tc>
        <w:tc>
          <w:tcPr>
            <w:tcW w:w="280" w:type="dxa"/>
            <w:vAlign w:val="bottom"/>
          </w:tcPr>
          <w:p>
            <w:pPr>
              <w:spacing w:after="0"/>
              <w:rPr>
                <w:sz w:val="21"/>
                <w:szCs w:val="21"/>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620" w:type="dxa"/>
            <w:vAlign w:val="bottom"/>
            <w:tcBorders>
              <w:bottom w:val="single" w:sz="8" w:color="2C2C2C"/>
            </w:tcBorders>
            <w:gridSpan w:val="3"/>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20" w:type="dxa"/>
            <w:vAlign w:val="bottom"/>
            <w:gridSpan w:val="3"/>
          </w:tcPr>
          <w:p>
            <w:pPr>
              <w:ind w:left="60"/>
              <w:spacing w:after="0"/>
              <w:rPr>
                <w:sz w:val="20"/>
                <w:szCs w:val="20"/>
                <w:color w:val="auto"/>
              </w:rPr>
            </w:pPr>
            <w:r>
              <w:rPr>
                <w:rFonts w:ascii="Arial" w:cs="Arial" w:eastAsia="Arial" w:hAnsi="Arial"/>
                <w:sz w:val="17"/>
                <w:szCs w:val="17"/>
                <w:color w:val="0000FF"/>
                <w:w w:val="90"/>
              </w:rPr>
              <w:t>Common Stock, par value $0.001 per</w:t>
            </w:r>
          </w:p>
        </w:tc>
        <w:tc>
          <w:tcPr>
            <w:tcW w:w="1500" w:type="dxa"/>
            <w:vAlign w:val="bottom"/>
            <w:gridSpan w:val="2"/>
            <w:vMerge w:val="restart"/>
          </w:tcPr>
          <w:p>
            <w:pPr>
              <w:ind w:left="580"/>
              <w:spacing w:after="0"/>
              <w:rPr>
                <w:sz w:val="20"/>
                <w:szCs w:val="20"/>
                <w:color w:val="auto"/>
              </w:rPr>
            </w:pPr>
            <w:r>
              <w:rPr>
                <w:rFonts w:ascii="Arial" w:cs="Arial" w:eastAsia="Arial" w:hAnsi="Arial"/>
                <w:sz w:val="17"/>
                <w:szCs w:val="17"/>
                <w:color w:val="0000FF"/>
              </w:rPr>
              <w:t>02/16/2023</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vMerge w:val="restart"/>
          </w:tcPr>
          <w:p>
            <w:pPr>
              <w:ind w:left="180"/>
              <w:spacing w:after="0"/>
              <w:rPr>
                <w:sz w:val="20"/>
                <w:szCs w:val="20"/>
                <w:color w:val="auto"/>
              </w:rPr>
            </w:pPr>
            <w:r>
              <w:rPr>
                <w:rFonts w:ascii="Arial" w:cs="Arial" w:eastAsia="Arial" w:hAnsi="Arial"/>
                <w:sz w:val="13"/>
                <w:szCs w:val="13"/>
                <w:color w:val="0000FF"/>
              </w:rPr>
              <w:t>F</w:t>
            </w:r>
          </w:p>
        </w:tc>
        <w:tc>
          <w:tcPr>
            <w:tcW w:w="700" w:type="dxa"/>
            <w:vAlign w:val="bottom"/>
            <w:vMerge w:val="restart"/>
          </w:tcPr>
          <w:p>
            <w:pPr>
              <w:ind w:left="280"/>
              <w:spacing w:after="0"/>
              <w:rPr>
                <w:sz w:val="20"/>
                <w:szCs w:val="20"/>
                <w:color w:val="auto"/>
              </w:rPr>
            </w:pPr>
            <w:r>
              <w:rPr>
                <w:rFonts w:ascii="Arial" w:cs="Arial" w:eastAsia="Arial" w:hAnsi="Arial"/>
                <w:sz w:val="17"/>
                <w:szCs w:val="17"/>
                <w:color w:val="0000FF"/>
              </w:rPr>
              <w:t>272</w:t>
            </w:r>
          </w:p>
        </w:tc>
        <w:tc>
          <w:tcPr>
            <w:tcW w:w="660" w:type="dxa"/>
            <w:vAlign w:val="bottom"/>
            <w:vMerge w:val="restart"/>
          </w:tcPr>
          <w:p>
            <w:pPr>
              <w:ind w:left="300"/>
              <w:spacing w:after="0"/>
              <w:rPr>
                <w:sz w:val="20"/>
                <w:szCs w:val="20"/>
                <w:color w:val="auto"/>
              </w:rPr>
            </w:pPr>
            <w:r>
              <w:rPr>
                <w:rFonts w:ascii="Arial" w:cs="Arial" w:eastAsia="Arial" w:hAnsi="Arial"/>
                <w:sz w:val="17"/>
                <w:szCs w:val="17"/>
                <w:color w:val="0000FF"/>
              </w:rPr>
              <w:t>D</w:t>
            </w:r>
          </w:p>
        </w:tc>
        <w:tc>
          <w:tcPr>
            <w:tcW w:w="760" w:type="dxa"/>
            <w:vAlign w:val="bottom"/>
            <w:gridSpan w:val="3"/>
            <w:vMerge w:val="restart"/>
          </w:tcPr>
          <w:p>
            <w:pPr>
              <w:jc w:val="center"/>
              <w:ind w:right="1"/>
              <w:spacing w:after="0"/>
              <w:rPr>
                <w:sz w:val="20"/>
                <w:szCs w:val="20"/>
                <w:color w:val="auto"/>
              </w:rPr>
            </w:pPr>
            <w:r>
              <w:rPr>
                <w:rFonts w:ascii="Arial" w:cs="Arial" w:eastAsia="Arial" w:hAnsi="Arial"/>
                <w:sz w:val="17"/>
                <w:szCs w:val="17"/>
                <w:color w:val="auto"/>
                <w:w w:val="83"/>
              </w:rPr>
              <w:t>$</w:t>
            </w:r>
            <w:r>
              <w:rPr>
                <w:rFonts w:ascii="Arial" w:cs="Arial" w:eastAsia="Arial" w:hAnsi="Arial"/>
                <w:sz w:val="17"/>
                <w:szCs w:val="17"/>
                <w:color w:val="0000FF"/>
                <w:w w:val="83"/>
              </w:rPr>
              <w:t>172.03</w:t>
            </w:r>
            <w:r>
              <w:rPr>
                <w:rFonts w:ascii="Arial" w:cs="Arial" w:eastAsia="Arial" w:hAnsi="Arial"/>
                <w:sz w:val="21"/>
                <w:szCs w:val="21"/>
                <w:color w:val="008000"/>
                <w:w w:val="83"/>
                <w:vertAlign w:val="superscript"/>
              </w:rPr>
              <w:t>(2)</w:t>
            </w:r>
          </w:p>
        </w:tc>
        <w:tc>
          <w:tcPr>
            <w:tcW w:w="1160" w:type="dxa"/>
            <w:vAlign w:val="bottom"/>
            <w:gridSpan w:val="2"/>
            <w:vMerge w:val="restart"/>
          </w:tcPr>
          <w:p>
            <w:pPr>
              <w:ind w:left="320"/>
              <w:spacing w:after="0"/>
              <w:rPr>
                <w:sz w:val="20"/>
                <w:szCs w:val="20"/>
                <w:color w:val="auto"/>
              </w:rPr>
            </w:pPr>
            <w:r>
              <w:rPr>
                <w:rFonts w:ascii="Arial" w:cs="Arial" w:eastAsia="Arial" w:hAnsi="Arial"/>
                <w:sz w:val="17"/>
                <w:szCs w:val="17"/>
                <w:color w:val="0000FF"/>
              </w:rPr>
              <w:t>13,179</w:t>
            </w:r>
          </w:p>
        </w:tc>
        <w:tc>
          <w:tcPr>
            <w:tcW w:w="280" w:type="dxa"/>
            <w:vAlign w:val="bottom"/>
          </w:tcPr>
          <w:p>
            <w:pPr>
              <w:spacing w:after="0"/>
              <w:rPr>
                <w:sz w:val="21"/>
                <w:szCs w:val="21"/>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6440" w:type="dxa"/>
            <w:vAlign w:val="bottom"/>
            <w:tcBorders>
              <w:bottom w:val="single" w:sz="8" w:color="2C2C2C"/>
            </w:tcBorders>
            <w:gridSpan w:val="9"/>
          </w:tcPr>
          <w:p>
            <w:pPr>
              <w:spacing w:after="0"/>
              <w:rPr>
                <w:sz w:val="8"/>
                <w:szCs w:val="8"/>
                <w:color w:val="auto"/>
              </w:rPr>
            </w:pPr>
          </w:p>
        </w:tc>
        <w:tc>
          <w:tcPr>
            <w:tcW w:w="700" w:type="dxa"/>
            <w:vAlign w:val="bottom"/>
            <w:tcBorders>
              <w:bottom w:val="single" w:sz="8" w:color="2C2C2C"/>
            </w:tcBorders>
            <w:gridSpan w:val="3"/>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40" w:type="dxa"/>
            <w:vAlign w:val="bottom"/>
            <w:tcBorders>
              <w:top w:val="single" w:sz="8" w:color="2C2C2C"/>
            </w:tcBorders>
            <w:gridSpan w:val="12"/>
          </w:tcPr>
          <w:p>
            <w:pPr>
              <w:ind w:left="100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6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340" w:type="dxa"/>
            <w:vAlign w:val="bottom"/>
            <w:gridSpan w:val="9"/>
          </w:tcPr>
          <w:p>
            <w:pPr>
              <w:ind w:left="5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60" w:type="dxa"/>
            <w:vAlign w:val="bottom"/>
          </w:tcPr>
          <w:p>
            <w:pPr>
              <w:ind w:left="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0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4" w:lineRule="exact"/>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r>
              <w:rPr>
                <w:rFonts w:ascii="Arial" w:cs="Arial" w:eastAsia="Arial" w:hAnsi="Arial"/>
                <w:sz w:val="21"/>
                <w:szCs w:val="21"/>
                <w:color w:val="008000"/>
                <w:vertAlign w:val="superscript"/>
              </w:rPr>
              <w:t>(1)</w:t>
            </w:r>
          </w:p>
        </w:tc>
        <w:tc>
          <w:tcPr>
            <w:tcW w:w="1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vMerge w:val="restart"/>
          </w:tcPr>
          <w:p>
            <w:pPr>
              <w:ind w:left="300"/>
              <w:spacing w:after="0"/>
              <w:rPr>
                <w:sz w:val="20"/>
                <w:szCs w:val="20"/>
                <w:color w:val="auto"/>
              </w:rPr>
            </w:pPr>
            <w:r>
              <w:rPr>
                <w:rFonts w:ascii="Arial" w:cs="Arial" w:eastAsia="Arial" w:hAnsi="Arial"/>
                <w:sz w:val="11"/>
                <w:szCs w:val="11"/>
                <w:color w:val="008000"/>
              </w:rPr>
              <w:t>(3)</w:t>
            </w:r>
          </w:p>
        </w:tc>
        <w:tc>
          <w:tcPr>
            <w:tcW w:w="700" w:type="dxa"/>
            <w:vAlign w:val="bottom"/>
            <w:vMerge w:val="restart"/>
          </w:tcPr>
          <w:p>
            <w:pPr>
              <w:ind w:left="280"/>
              <w:spacing w:after="0"/>
              <w:rPr>
                <w:sz w:val="20"/>
                <w:szCs w:val="20"/>
                <w:color w:val="auto"/>
              </w:rPr>
            </w:pPr>
            <w:r>
              <w:rPr>
                <w:rFonts w:ascii="Arial" w:cs="Arial" w:eastAsia="Arial" w:hAnsi="Arial"/>
                <w:sz w:val="11"/>
                <w:szCs w:val="11"/>
                <w:color w:val="008000"/>
              </w:rPr>
              <w:t>(3)</w:t>
            </w:r>
          </w:p>
        </w:tc>
        <w:tc>
          <w:tcPr>
            <w:tcW w:w="660" w:type="dxa"/>
            <w:vAlign w:val="bottom"/>
          </w:tcPr>
          <w:p>
            <w:pPr>
              <w:jc w:val="center"/>
              <w:spacing w:after="0" w:line="144" w:lineRule="exact"/>
              <w:rPr>
                <w:sz w:val="20"/>
                <w:szCs w:val="20"/>
                <w:color w:val="auto"/>
              </w:rPr>
            </w:pPr>
            <w:r>
              <w:rPr>
                <w:rFonts w:ascii="Arial" w:cs="Arial" w:eastAsia="Arial" w:hAnsi="Arial"/>
                <w:sz w:val="13"/>
                <w:szCs w:val="13"/>
                <w:color w:val="0000FF"/>
                <w:w w:val="88"/>
              </w:rPr>
              <w:t>Stock,</w:t>
            </w:r>
          </w:p>
        </w:tc>
        <w:tc>
          <w:tcPr>
            <w:tcW w:w="560" w:type="dxa"/>
            <w:vAlign w:val="bottom"/>
            <w:vMerge w:val="restart"/>
          </w:tcPr>
          <w:p>
            <w:pPr>
              <w:ind w:left="140"/>
              <w:spacing w:after="0"/>
              <w:rPr>
                <w:sz w:val="20"/>
                <w:szCs w:val="20"/>
                <w:color w:val="auto"/>
              </w:rPr>
            </w:pPr>
            <w:r>
              <w:rPr>
                <w:rFonts w:ascii="Arial" w:cs="Arial" w:eastAsia="Arial" w:hAnsi="Arial"/>
                <w:sz w:val="17"/>
                <w:szCs w:val="17"/>
                <w:color w:val="0000FF"/>
              </w:rPr>
              <w:t>777</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4"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140" w:type="dxa"/>
            <w:vAlign w:val="bottom"/>
          </w:tcPr>
          <w:p>
            <w:pPr>
              <w:ind w:left="260"/>
              <w:spacing w:after="0" w:line="144" w:lineRule="exact"/>
              <w:rPr>
                <w:sz w:val="20"/>
                <w:szCs w:val="20"/>
                <w:color w:val="auto"/>
              </w:rPr>
            </w:pPr>
            <w:r>
              <w:rPr>
                <w:rFonts w:ascii="Arial" w:cs="Arial" w:eastAsia="Arial" w:hAnsi="Arial"/>
                <w:sz w:val="13"/>
                <w:szCs w:val="13"/>
                <w:color w:val="0000FF"/>
              </w:rPr>
              <w:t>02/16/2023</w:t>
            </w:r>
          </w:p>
        </w:tc>
        <w:tc>
          <w:tcPr>
            <w:tcW w:w="1060" w:type="dxa"/>
            <w:vAlign w:val="bottom"/>
          </w:tcPr>
          <w:p>
            <w:pPr>
              <w:spacing w:after="0"/>
              <w:rPr>
                <w:sz w:val="12"/>
                <w:szCs w:val="12"/>
                <w:color w:val="auto"/>
              </w:rPr>
            </w:pPr>
          </w:p>
        </w:tc>
        <w:tc>
          <w:tcPr>
            <w:tcW w:w="440" w:type="dxa"/>
            <w:vAlign w:val="bottom"/>
          </w:tcPr>
          <w:p>
            <w:pPr>
              <w:ind w:left="140"/>
              <w:spacing w:after="0" w:line="144"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12"/>
                <w:szCs w:val="12"/>
                <w:color w:val="auto"/>
              </w:rPr>
            </w:pPr>
          </w:p>
        </w:tc>
        <w:tc>
          <w:tcPr>
            <w:tcW w:w="700" w:type="dxa"/>
            <w:vAlign w:val="bottom"/>
          </w:tcPr>
          <w:p>
            <w:pPr>
              <w:ind w:left="380"/>
              <w:spacing w:after="0" w:line="144" w:lineRule="exact"/>
              <w:rPr>
                <w:sz w:val="20"/>
                <w:szCs w:val="20"/>
                <w:color w:val="auto"/>
              </w:rPr>
            </w:pPr>
            <w:r>
              <w:rPr>
                <w:rFonts w:ascii="Arial" w:cs="Arial" w:eastAsia="Arial" w:hAnsi="Arial"/>
                <w:sz w:val="13"/>
                <w:szCs w:val="13"/>
                <w:color w:val="0000FF"/>
              </w:rPr>
              <w:t>777</w:t>
            </w:r>
          </w:p>
        </w:tc>
        <w:tc>
          <w:tcPr>
            <w:tcW w:w="76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60" w:type="dxa"/>
            <w:vAlign w:val="bottom"/>
          </w:tcPr>
          <w:p>
            <w:pPr>
              <w:ind w:left="80"/>
              <w:spacing w:after="0" w:line="144" w:lineRule="exact"/>
              <w:rPr>
                <w:sz w:val="20"/>
                <w:szCs w:val="20"/>
                <w:color w:val="auto"/>
              </w:rPr>
            </w:pPr>
            <w:r>
              <w:rPr>
                <w:rFonts w:ascii="Arial" w:cs="Arial" w:eastAsia="Arial" w:hAnsi="Arial"/>
                <w:sz w:val="13"/>
                <w:szCs w:val="13"/>
                <w:color w:val="0000FF"/>
              </w:rPr>
              <w:t>par value</w:t>
            </w: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ind w:left="8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60" w:type="dxa"/>
            <w:vAlign w:val="bottom"/>
          </w:tcPr>
          <w:p>
            <w:pPr>
              <w:ind w:left="320"/>
              <w:spacing w:after="0" w:line="144" w:lineRule="exact"/>
              <w:rPr>
                <w:sz w:val="20"/>
                <w:szCs w:val="20"/>
                <w:color w:val="auto"/>
              </w:rPr>
            </w:pPr>
            <w:r>
              <w:rPr>
                <w:rFonts w:ascii="Arial" w:cs="Arial" w:eastAsia="Arial" w:hAnsi="Arial"/>
                <w:sz w:val="13"/>
                <w:szCs w:val="13"/>
                <w:color w:val="0000FF"/>
                <w:w w:val="98"/>
              </w:rPr>
              <w:t>2,331</w:t>
            </w:r>
          </w:p>
        </w:tc>
        <w:tc>
          <w:tcPr>
            <w:tcW w:w="280" w:type="dxa"/>
            <w:vAlign w:val="bottom"/>
          </w:tcPr>
          <w:p>
            <w:pPr>
              <w:spacing w:after="0"/>
              <w:rPr>
                <w:sz w:val="12"/>
                <w:szCs w:val="12"/>
                <w:color w:val="auto"/>
              </w:rPr>
            </w:pPr>
          </w:p>
        </w:tc>
        <w:tc>
          <w:tcPr>
            <w:tcW w:w="680" w:type="dxa"/>
            <w:vAlign w:val="bottom"/>
          </w:tcPr>
          <w:p>
            <w:pPr>
              <w:ind w:left="320"/>
              <w:spacing w:after="0" w:line="144"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0000FF"/>
                <w:w w:val="90"/>
              </w:rPr>
              <w:t>$0.001</w:t>
            </w: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6800"/>
        <w:spacing w:after="0"/>
        <w:rPr>
          <w:sz w:val="20"/>
          <w:szCs w:val="20"/>
          <w:color w:val="auto"/>
        </w:rPr>
      </w:pPr>
      <w:r>
        <w:rPr>
          <w:rFonts w:ascii="Arial" w:cs="Arial" w:eastAsia="Arial" w:hAnsi="Arial"/>
          <w:sz w:val="13"/>
          <w:szCs w:val="13"/>
          <w:color w:val="0000FF"/>
        </w:rPr>
        <w:t>per share</w:t>
      </w:r>
    </w:p>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of ExlService Holdings, Inc. (the "Company") convert into common stock, par value $0.001 per share (the "Common Stock") on a one-for-one basis.</w:t>
      </w:r>
    </w:p>
    <w:p>
      <w:pPr>
        <w:spacing w:after="0" w:line="45" w:lineRule="exact"/>
        <w:rPr>
          <w:rFonts w:ascii="Arial" w:cs="Arial" w:eastAsia="Arial" w:hAnsi="Arial"/>
          <w:sz w:val="13"/>
          <w:szCs w:val="13"/>
          <w:color w:val="008000"/>
        </w:rPr>
      </w:pPr>
    </w:p>
    <w:p>
      <w:pPr>
        <w:ind w:left="40" w:right="340" w:firstLine="3"/>
        <w:spacing w:after="0" w:line="294" w:lineRule="auto"/>
        <w:tabs>
          <w:tab w:leader="none" w:pos="17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units reported in this report vested on February 16, 2023. Pursuant to the ExlService Holdings, Inc. 2018 Omnibus Incentive Plan, pursuant to which such restricted stock units were granted, the closing price of the Common Stock on the Nasdaq Global Select Market on the preceding day is used for purposes of computing tax reporting and withholding.</w:t>
      </w:r>
    </w:p>
    <w:p>
      <w:pPr>
        <w:jc w:val="both"/>
        <w:ind w:left="40" w:right="240" w:firstLine="3"/>
        <w:spacing w:after="0" w:line="241"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16, 2022, the reporting person was granted 3,108 restricted stock units, vesting in four annual installments beginning on the first anniversary of the grant date. 25 percent of the restricted stock units became vested on February 16, 2023, an additional twenty-five percent of the restricted stock units will vest on February 16, 2024, an additional twenty-five percent of the restricted stock units will vest on February 16, 2025; and the remaining balance of twenty-five percent of the restricted stock units will vest on February 16, 2026.</w:t>
      </w:r>
    </w:p>
    <w:p>
      <w:pPr>
        <w:spacing w:after="0" w:line="2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ind w:left="6600"/>
        <w:spacing w:after="0" w:line="186"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3"/>
          <w:szCs w:val="33"/>
          <w:color w:val="0000FF"/>
          <w:vertAlign w:val="subscript"/>
        </w:rPr>
        <w:t>02/21/2023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-27305</wp:posOffset>
            </wp:positionV>
            <wp:extent cx="13265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651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-19685</wp:posOffset>
            </wp:positionV>
            <wp:extent cx="1854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5420"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-85725</wp:posOffset>
            </wp:positionV>
            <wp:extent cx="4902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0220" cy="8255"/>
                    </a:xfrm>
                    <a:prstGeom prst="rect">
                      <a:avLst/>
                    </a:prstGeom>
                    <a:noFill/>
                  </pic:spPr>
                </pic:pic>
              </a:graphicData>
            </a:graphic>
          </wp:anchor>
        </w:drawing>
      </w:r>
    </w:p>
    <w:p>
      <w:pPr>
        <w:spacing w:after="0" w:line="39"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2"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88174"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2023-02-21T16:56:49Z</dcterms:created>
  <dcterms:modified xsi:type="dcterms:W3CDTF">2023-02-21T16:56:49Z</dcterms:modified>
</cp:coreProperties>
</file>