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026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26785"/>
                    </a:xfrm>
                    <a:prstGeom prst="rect">
                      <a:avLst/>
                    </a:prstGeom>
                    <a:noFill/>
                  </pic:spPr>
                </pic:pic>
              </a:graphicData>
            </a:graphic>
          </wp:anchor>
        </w:drawing>
      </w:r>
    </w:p>
    <w:p>
      <w:pPr>
        <w:spacing w:after="0" w:line="1194" w:lineRule="exact"/>
        <w:rPr>
          <w:sz w:val="24"/>
          <w:szCs w:val="24"/>
          <w:color w:val="auto"/>
        </w:rPr>
      </w:pPr>
    </w:p>
    <w:p>
      <w:pPr>
        <w:sectPr>
          <w:pgSz w:w="11900" w:h="16865"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Sahney Nitin</w:t>
              </w:r>
            </w:hyperlink>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06/17/2025</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2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29TH FLOOR</w:t>
            </w:r>
          </w:p>
        </w:tc>
        <w:tc>
          <w:tcPr>
            <w:tcW w:w="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65"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65"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4,981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86,556</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1,124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1,124</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87,680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1,123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1,123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88,803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vested on the date of grant. Such awards settle upon the earlier of (i) the reporting person's death, (ii) the occurrence of a "Change of Control", as defined in the ExlService Holdings, Inc. 2025 Omnibus Incentive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upon the earlier of (i) December 31, 2025 or (ii) the occurrence of a "Change in Control", as defined in the ExlService Holdings, Inc. 2025 Omnibus Incentive Plan (the "Plan").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65"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Ajay Ayyappan,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265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040" w:firstLine="3"/>
        <w:spacing w:after="0" w:line="39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65" w:orient="portrait"/>
          <w:cols w:equalWidth="0" w:num="2">
            <w:col w:w="8580" w:space="2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556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2025-06-20T16:35:34Z</dcterms:created>
  <dcterms:modified xsi:type="dcterms:W3CDTF">2025-06-20T16:35:34Z</dcterms:modified>
</cp:coreProperties>
</file>