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58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572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10/10/2013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37,500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29.58</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593,776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250,000</w:t>
            </w:r>
            <w:r>
              <w:rPr>
                <w:rFonts w:ascii="Arial" w:cs="Arial" w:eastAsia="Arial" w:hAnsi="Arial"/>
                <w:sz w:val="22"/>
                <w:szCs w:val="22"/>
                <w:color w:val="008000"/>
                <w:w w:val="84"/>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(7)</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8"/>
          </w:tcPr>
          <w:p>
            <w:pPr>
              <w:ind w:left="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$29.50 to $29.75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previously reported as directly beneficially owned by the reporting person, but were transferred by the reporting person to the Rohit Kapoor 2013 Grantor Retained Annuity Trust on September 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2019-12-16T15:26:46Z</dcterms:created>
  <dcterms:modified xsi:type="dcterms:W3CDTF">2019-12-16T15:26:46Z</dcterms:modified>
</cp:coreProperties>
</file>