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939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9394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KELSO DAVID B</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350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1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01/02/2009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3"/>
        <w:spacing w:after="0"/>
        <w:tabs>
          <w:tab w:leader="none" w:pos="522" w:val="left"/>
          <w:tab w:leader="none" w:pos="2163"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3"/>
        <w:spacing w:after="0"/>
        <w:tabs>
          <w:tab w:leader="none" w:pos="21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p>
      <w:pPr>
        <w:spacing w:after="0" w:line="24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NEW YORK</w:t>
            </w:r>
          </w:p>
        </w:tc>
        <w:tc>
          <w:tcPr>
            <w:tcW w:w="1000" w:type="dxa"/>
            <w:vAlign w:val="bottom"/>
          </w:tcPr>
          <w:p>
            <w:pPr>
              <w:ind w:left="180"/>
              <w:spacing w:after="0"/>
              <w:rPr>
                <w:sz w:val="20"/>
                <w:szCs w:val="20"/>
                <w:color w:val="auto"/>
              </w:rPr>
            </w:pPr>
            <w:r>
              <w:rPr>
                <w:rFonts w:ascii="Arial" w:cs="Arial" w:eastAsia="Arial" w:hAnsi="Arial"/>
                <w:sz w:val="17"/>
                <w:szCs w:val="17"/>
                <w:color w:val="0000FF"/>
              </w:rPr>
              <w:t>NY</w:t>
            </w:r>
          </w:p>
        </w:tc>
        <w:tc>
          <w:tcPr>
            <w:tcW w:w="1680" w:type="dxa"/>
            <w:vAlign w:val="bottom"/>
          </w:tcPr>
          <w:p>
            <w:pPr>
              <w:ind w:left="440"/>
              <w:spacing w:after="0"/>
              <w:rPr>
                <w:sz w:val="20"/>
                <w:szCs w:val="20"/>
                <w:color w:val="auto"/>
              </w:rPr>
            </w:pPr>
            <w:r>
              <w:rPr>
                <w:rFonts w:ascii="Arial" w:cs="Arial" w:eastAsia="Arial" w:hAnsi="Arial"/>
                <w:sz w:val="17"/>
                <w:szCs w:val="17"/>
                <w:color w:val="0000FF"/>
              </w:rPr>
              <w:t>10022</w:t>
            </w:r>
          </w:p>
        </w:tc>
      </w:tr>
      <w:tr>
        <w:trPr>
          <w:trHeight w:val="156"/>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95"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vMerge w:val="restart"/>
          </w:tcPr>
          <w:p>
            <w:pPr>
              <w:ind w:left="160"/>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72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Options</w:t>
            </w: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(3)</w:t>
            </w:r>
          </w:p>
        </w:tc>
        <w:tc>
          <w:tcPr>
            <w:tcW w:w="720" w:type="dxa"/>
            <w:vAlign w:val="bottom"/>
            <w:vMerge w:val="continue"/>
          </w:tcPr>
          <w:p>
            <w:pPr>
              <w:spacing w:after="0"/>
              <w:rPr>
                <w:sz w:val="8"/>
                <w:szCs w:val="8"/>
                <w:color w:val="auto"/>
              </w:rPr>
            </w:pPr>
          </w:p>
        </w:tc>
        <w:tc>
          <w:tcPr>
            <w:tcW w:w="560" w:type="dxa"/>
            <w:vAlign w:val="bottom"/>
            <w:vMerge w:val="restart"/>
          </w:tcPr>
          <w:p>
            <w:pPr>
              <w:spacing w:after="0"/>
              <w:rPr>
                <w:sz w:val="20"/>
                <w:szCs w:val="20"/>
                <w:color w:val="auto"/>
              </w:rPr>
            </w:pPr>
            <w:r>
              <w:rPr>
                <w:rFonts w:ascii="Arial" w:cs="Arial" w:eastAsia="Arial" w:hAnsi="Arial"/>
                <w:sz w:val="17"/>
                <w:szCs w:val="17"/>
                <w:color w:val="0000FF"/>
              </w:rPr>
              <w:t>18,243</w:t>
            </w:r>
          </w:p>
        </w:tc>
        <w:tc>
          <w:tcPr>
            <w:tcW w:w="720" w:type="dxa"/>
            <w:vAlign w:val="bottom"/>
            <w:vMerge w:val="restart"/>
          </w:tcPr>
          <w:p>
            <w:pPr>
              <w:ind w:left="280"/>
              <w:spacing w:after="0"/>
              <w:rPr>
                <w:sz w:val="20"/>
                <w:szCs w:val="20"/>
                <w:color w:val="auto"/>
              </w:rPr>
            </w:pPr>
            <w:r>
              <w:rPr>
                <w:rFonts w:ascii="Arial" w:cs="Arial" w:eastAsia="Arial" w:hAnsi="Arial"/>
                <w:sz w:val="11"/>
                <w:szCs w:val="11"/>
                <w:color w:val="008000"/>
              </w:rPr>
              <w:t>(4)</w:t>
            </w: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720" w:type="dxa"/>
            <w:vAlign w:val="bottom"/>
            <w:vMerge w:val="continue"/>
          </w:tcPr>
          <w:p>
            <w:pPr>
              <w:spacing w:after="0"/>
              <w:rPr>
                <w:sz w:val="4"/>
                <w:szCs w:val="4"/>
                <w:color w:val="auto"/>
              </w:rPr>
            </w:pPr>
          </w:p>
        </w:tc>
        <w:tc>
          <w:tcPr>
            <w:tcW w:w="800" w:type="dxa"/>
            <w:vAlign w:val="bottom"/>
            <w:vMerge w:val="restart"/>
          </w:tcPr>
          <w:p>
            <w:pPr>
              <w:ind w:left="220"/>
              <w:spacing w:after="0" w:line="105"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8.505</w:t>
            </w:r>
          </w:p>
        </w:tc>
        <w:tc>
          <w:tcPr>
            <w:tcW w:w="1140" w:type="dxa"/>
            <w:vAlign w:val="bottom"/>
            <w:vMerge w:val="restart"/>
          </w:tcPr>
          <w:p>
            <w:pPr>
              <w:jc w:val="right"/>
              <w:ind w:right="199"/>
              <w:spacing w:after="0" w:line="105" w:lineRule="exact"/>
              <w:rPr>
                <w:sz w:val="20"/>
                <w:szCs w:val="20"/>
                <w:color w:val="auto"/>
              </w:rPr>
            </w:pPr>
            <w:r>
              <w:rPr>
                <w:rFonts w:ascii="Arial" w:cs="Arial" w:eastAsia="Arial" w:hAnsi="Arial"/>
                <w:sz w:val="12"/>
                <w:szCs w:val="12"/>
                <w:color w:val="0000FF"/>
              </w:rPr>
              <w:t>01/02/2009</w:t>
            </w:r>
          </w:p>
        </w:tc>
        <w:tc>
          <w:tcPr>
            <w:tcW w:w="1120" w:type="dxa"/>
            <w:vAlign w:val="bottom"/>
          </w:tcPr>
          <w:p>
            <w:pPr>
              <w:spacing w:after="0"/>
              <w:rPr>
                <w:sz w:val="4"/>
                <w:szCs w:val="4"/>
                <w:color w:val="auto"/>
              </w:rPr>
            </w:pPr>
          </w:p>
        </w:tc>
        <w:tc>
          <w:tcPr>
            <w:tcW w:w="840" w:type="dxa"/>
            <w:vAlign w:val="bottom"/>
            <w:vMerge w:val="restart"/>
          </w:tcPr>
          <w:p>
            <w:pPr>
              <w:ind w:left="180"/>
              <w:spacing w:after="0" w:line="105" w:lineRule="exact"/>
              <w:rPr>
                <w:sz w:val="20"/>
                <w:szCs w:val="20"/>
                <w:color w:val="auto"/>
              </w:rPr>
            </w:pPr>
            <w:r>
              <w:rPr>
                <w:rFonts w:ascii="Arial" w:cs="Arial" w:eastAsia="Arial" w:hAnsi="Arial"/>
                <w:sz w:val="12"/>
                <w:szCs w:val="12"/>
                <w:color w:val="0000FF"/>
              </w:rPr>
              <w:t>A</w:t>
            </w:r>
          </w:p>
        </w:tc>
        <w:tc>
          <w:tcPr>
            <w:tcW w:w="520" w:type="dxa"/>
            <w:vAlign w:val="bottom"/>
            <w:vMerge w:val="restart"/>
          </w:tcPr>
          <w:p>
            <w:pPr>
              <w:ind w:left="80"/>
              <w:spacing w:after="0" w:line="105" w:lineRule="exact"/>
              <w:rPr>
                <w:sz w:val="20"/>
                <w:szCs w:val="20"/>
                <w:color w:val="auto"/>
              </w:rPr>
            </w:pPr>
            <w:r>
              <w:rPr>
                <w:rFonts w:ascii="Arial" w:cs="Arial" w:eastAsia="Arial" w:hAnsi="Arial"/>
                <w:sz w:val="12"/>
                <w:szCs w:val="12"/>
                <w:color w:val="0000FF"/>
              </w:rPr>
              <w:t>18,243</w:t>
            </w:r>
          </w:p>
        </w:tc>
        <w:tc>
          <w:tcPr>
            <w:tcW w:w="3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vMerge w:val="restart"/>
          </w:tcPr>
          <w:p>
            <w:pPr>
              <w:ind w:left="80"/>
              <w:spacing w:after="0" w:line="105" w:lineRule="exact"/>
              <w:rPr>
                <w:sz w:val="20"/>
                <w:szCs w:val="20"/>
                <w:color w:val="auto"/>
              </w:rPr>
            </w:pPr>
            <w:r>
              <w:rPr>
                <w:rFonts w:ascii="Arial" w:cs="Arial" w:eastAsia="Arial" w:hAnsi="Arial"/>
                <w:sz w:val="12"/>
                <w:szCs w:val="12"/>
                <w:color w:val="0000FF"/>
              </w:rPr>
              <w:t>par value</w:t>
            </w:r>
          </w:p>
        </w:tc>
        <w:tc>
          <w:tcPr>
            <w:tcW w:w="56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960" w:type="dxa"/>
            <w:vAlign w:val="bottom"/>
            <w:vMerge w:val="restart"/>
          </w:tcPr>
          <w:p>
            <w:pPr>
              <w:ind w:left="300"/>
              <w:spacing w:after="0" w:line="105" w:lineRule="exact"/>
              <w:rPr>
                <w:sz w:val="20"/>
                <w:szCs w:val="20"/>
                <w:color w:val="auto"/>
              </w:rPr>
            </w:pPr>
            <w:r>
              <w:rPr>
                <w:rFonts w:ascii="Arial" w:cs="Arial" w:eastAsia="Arial" w:hAnsi="Arial"/>
                <w:sz w:val="12"/>
                <w:szCs w:val="12"/>
                <w:color w:val="0000FF"/>
              </w:rPr>
              <w:t>18,243</w:t>
            </w:r>
          </w:p>
        </w:tc>
        <w:tc>
          <w:tcPr>
            <w:tcW w:w="760" w:type="dxa"/>
            <w:vAlign w:val="bottom"/>
            <w:vMerge w:val="restart"/>
          </w:tcPr>
          <w:p>
            <w:pPr>
              <w:ind w:left="340"/>
              <w:spacing w:after="0" w:line="105" w:lineRule="exact"/>
              <w:rPr>
                <w:sz w:val="20"/>
                <w:szCs w:val="20"/>
                <w:color w:val="auto"/>
              </w:rPr>
            </w:pPr>
            <w:r>
              <w:rPr>
                <w:rFonts w:ascii="Arial" w:cs="Arial" w:eastAsia="Arial" w:hAnsi="Arial"/>
                <w:sz w:val="12"/>
                <w:szCs w:val="12"/>
                <w:color w:val="0000FF"/>
              </w:rPr>
              <w:t>D</w:t>
            </w: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720" w:type="dxa"/>
            <w:vAlign w:val="bottom"/>
          </w:tcPr>
          <w:p>
            <w:pPr>
              <w:ind w:left="60"/>
              <w:spacing w:after="0"/>
              <w:rPr>
                <w:sz w:val="20"/>
                <w:szCs w:val="20"/>
                <w:color w:val="auto"/>
              </w:rPr>
            </w:pPr>
            <w:r>
              <w:rPr>
                <w:rFonts w:ascii="Arial" w:cs="Arial" w:eastAsia="Arial" w:hAnsi="Arial"/>
                <w:sz w:val="4"/>
                <w:szCs w:val="4"/>
                <w:color w:val="0000FF"/>
              </w:rPr>
              <w:t>(right to</w:t>
            </w:r>
          </w:p>
        </w:tc>
        <w:tc>
          <w:tcPr>
            <w:tcW w:w="80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20" w:type="dxa"/>
            <w:vAlign w:val="bottom"/>
          </w:tcPr>
          <w:p>
            <w:pPr>
              <w:ind w:left="60"/>
              <w:spacing w:after="0" w:line="223" w:lineRule="exact"/>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(1)</w:t>
            </w:r>
          </w:p>
        </w:tc>
        <w:tc>
          <w:tcPr>
            <w:tcW w:w="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ind w:left="140"/>
              <w:spacing w:after="0"/>
              <w:rPr>
                <w:sz w:val="20"/>
                <w:szCs w:val="20"/>
                <w:color w:val="auto"/>
              </w:rPr>
            </w:pPr>
            <w:r>
              <w:rPr>
                <w:rFonts w:ascii="Arial" w:cs="Arial" w:eastAsia="Arial" w:hAnsi="Arial"/>
                <w:sz w:val="13"/>
                <w:szCs w:val="13"/>
                <w:color w:val="0000FF"/>
              </w:rPr>
              <w:t>$0.001</w:t>
            </w: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January 2, 2009, ExlService Holdings, Inc. (the "Company") issued options (the "Options") to purchase shares of its common stock, par value $0.001 per share (the "Option Shares"), to certain of its directors in accordance with the Company's compensation program for non-employee directors.</w:t>
      </w:r>
    </w:p>
    <w:p>
      <w:pPr>
        <w:spacing w:after="0" w:line="10" w:lineRule="exact"/>
        <w:rPr>
          <w:rFonts w:ascii="Arial" w:cs="Arial" w:eastAsia="Arial" w:hAnsi="Arial"/>
          <w:sz w:val="13"/>
          <w:szCs w:val="13"/>
          <w:color w:val="008000"/>
        </w:rPr>
      </w:pPr>
    </w:p>
    <w:p>
      <w:pPr>
        <w:ind w:left="40" w:right="200" w:firstLine="8"/>
        <w:spacing w:after="0" w:line="248"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Options were granted pursuant to the terms and conditions of the Company's 2006 Omnibus Award Plan and the Company's compensation program for non-employee directors. Subject to the following sentence, and subject to the reporting person's continued service with the Company, the Options shall become vested and exercisable as to 100% of the Option Shares subject thereto on December 31 of the year of grant. In the event of death or disability of the reporting person after the date of grant but prior to the vesting date specified in the preceding sentence, then the Options shall vest pro rata up to the date of such event.</w:t>
      </w:r>
    </w:p>
    <w:p>
      <w:pPr>
        <w:spacing w:after="0" w:line="26" w:lineRule="exact"/>
        <w:rPr>
          <w:rFonts w:ascii="Arial" w:cs="Arial" w:eastAsia="Arial" w:hAnsi="Arial"/>
          <w:sz w:val="13"/>
          <w:szCs w:val="13"/>
          <w:color w:val="008000"/>
        </w:rPr>
      </w:pPr>
    </w:p>
    <w:p>
      <w:pPr>
        <w:ind w:left="40" w:right="2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Options shall expire at the end of the period commencing on the date of grant and ending at 11:59 p.m. Eastern Time on the day preceding the tenth anniversary of the date of grant. In the event of death or disability of the reporting person, any portion of the Options that does not vest as set forth in footnote (2) above shall immediately expire.</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Not applicable.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860"/>
        <w:spacing w:after="0" w:line="190"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01/06/2009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665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652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-16510</wp:posOffset>
            </wp:positionV>
            <wp:extent cx="190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0500" cy="8255"/>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-84455</wp:posOffset>
            </wp:positionV>
            <wp:extent cx="5048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825" cy="8255"/>
                    </a:xfrm>
                    <a:prstGeom prst="rect">
                      <a:avLst/>
                    </a:prstGeom>
                    <a:noFill/>
                  </pic:spPr>
                </pic:pic>
              </a:graphicData>
            </a:graphic>
          </wp:anchor>
        </w:drawing>
      </w:r>
    </w:p>
    <w:p>
      <w:pPr>
        <w:spacing w:after="0" w:line="4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780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2019-12-16T15:27:21Z</dcterms:created>
  <dcterms:modified xsi:type="dcterms:W3CDTF">2019-12-16T15:27:21Z</dcterms:modified>
</cp:coreProperties>
</file>