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spacing w:after="0"/>
              <w:rPr>
                <w:sz w:val="21"/>
                <w:szCs w:val="2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jc w:val="right"/>
              <w:ind w:right="118"/>
              <w:spacing w:after="0"/>
              <w:rPr>
                <w:sz w:val="20"/>
                <w:szCs w:val="20"/>
                <w:color w:val="auto"/>
              </w:rPr>
            </w:pPr>
            <w:r>
              <w:rPr>
                <w:rFonts w:ascii="Arial" w:cs="Arial" w:eastAsia="Arial" w:hAnsi="Arial"/>
                <w:sz w:val="18"/>
                <w:szCs w:val="18"/>
                <w:color w:val="0000FF"/>
              </w:rPr>
              <w:t>02/03/2015</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4"/>
              </w:rPr>
              <w:t>1,700</w:t>
            </w:r>
          </w:p>
        </w:tc>
        <w:tc>
          <w:tcPr>
            <w:tcW w:w="600" w:type="dxa"/>
            <w:vAlign w:val="bottom"/>
            <w:vMerge w:val="restart"/>
          </w:tcPr>
          <w:p>
            <w:pPr>
              <w:ind w:left="240"/>
              <w:spacing w:after="0"/>
              <w:rPr>
                <w:sz w:val="20"/>
                <w:szCs w:val="20"/>
                <w:color w:val="auto"/>
              </w:rPr>
            </w:pPr>
            <w:r>
              <w:rPr>
                <w:rFonts w:ascii="Arial" w:cs="Arial" w:eastAsia="Arial" w:hAnsi="Arial"/>
                <w:sz w:val="18"/>
                <w:szCs w:val="18"/>
                <w:color w:val="0000FF"/>
              </w:rPr>
              <w:t>A</w:t>
            </w:r>
          </w:p>
        </w:tc>
        <w:tc>
          <w:tcPr>
            <w:tcW w:w="660" w:type="dxa"/>
            <w:vAlign w:val="bottom"/>
            <w:vMerge w:val="restart"/>
          </w:tcPr>
          <w:p>
            <w:pPr>
              <w:jc w:val="right"/>
              <w:ind w:right="114"/>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300" w:type="dxa"/>
            <w:vAlign w:val="bottom"/>
            <w:gridSpan w:val="3"/>
            <w:vMerge w:val="restart"/>
          </w:tcPr>
          <w:p>
            <w:pPr>
              <w:jc w:val="right"/>
              <w:ind w:right="359"/>
              <w:spacing w:after="0"/>
              <w:rPr>
                <w:sz w:val="20"/>
                <w:szCs w:val="20"/>
                <w:color w:val="auto"/>
              </w:rPr>
            </w:pPr>
            <w:r>
              <w:rPr>
                <w:rFonts w:ascii="Arial" w:cs="Arial" w:eastAsia="Arial" w:hAnsi="Arial"/>
                <w:sz w:val="18"/>
                <w:szCs w:val="18"/>
                <w:color w:val="0000FF"/>
              </w:rPr>
              <w:t>10,535</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jc w:val="right"/>
              <w:ind w:right="118"/>
              <w:spacing w:after="0"/>
              <w:rPr>
                <w:sz w:val="20"/>
                <w:szCs w:val="20"/>
                <w:color w:val="auto"/>
              </w:rPr>
            </w:pPr>
            <w:r>
              <w:rPr>
                <w:rFonts w:ascii="Arial" w:cs="Arial" w:eastAsia="Arial" w:hAnsi="Arial"/>
                <w:sz w:val="18"/>
                <w:szCs w:val="18"/>
                <w:color w:val="0000FF"/>
              </w:rPr>
              <w:t>02/03/2015</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578</w:t>
            </w:r>
          </w:p>
        </w:tc>
        <w:tc>
          <w:tcPr>
            <w:tcW w:w="600" w:type="dxa"/>
            <w:vAlign w:val="bottom"/>
            <w:vMerge w:val="restart"/>
          </w:tcPr>
          <w:p>
            <w:pPr>
              <w:ind w:left="24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29.5475</w:t>
            </w:r>
            <w:r>
              <w:rPr>
                <w:rFonts w:ascii="Arial" w:cs="Arial" w:eastAsia="Arial" w:hAnsi="Arial"/>
                <w:sz w:val="22"/>
                <w:szCs w:val="22"/>
                <w:color w:val="008000"/>
                <w:w w:val="85"/>
                <w:vertAlign w:val="superscript"/>
              </w:rPr>
              <w:t>(2)</w:t>
            </w:r>
          </w:p>
        </w:tc>
        <w:tc>
          <w:tcPr>
            <w:tcW w:w="1300" w:type="dxa"/>
            <w:vAlign w:val="bottom"/>
            <w:gridSpan w:val="3"/>
            <w:vMerge w:val="restart"/>
          </w:tcPr>
          <w:p>
            <w:pPr>
              <w:jc w:val="right"/>
              <w:ind w:right="399"/>
              <w:spacing w:after="0"/>
              <w:rPr>
                <w:sz w:val="20"/>
                <w:szCs w:val="20"/>
                <w:color w:val="auto"/>
              </w:rPr>
            </w:pPr>
            <w:r>
              <w:rPr>
                <w:rFonts w:ascii="Arial" w:cs="Arial" w:eastAsia="Arial" w:hAnsi="Arial"/>
                <w:sz w:val="18"/>
                <w:szCs w:val="18"/>
                <w:color w:val="0000FF"/>
              </w:rPr>
              <w:t>9,957</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920" w:type="dxa"/>
            <w:vAlign w:val="bottom"/>
            <w:tcBorders>
              <w:bottom w:val="single" w:sz="8" w:color="2C2C2C"/>
            </w:tcBorders>
            <w:gridSpan w:val="11"/>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20" w:type="dxa"/>
            <w:vAlign w:val="bottom"/>
            <w:gridSpan w:val="8"/>
          </w:tcPr>
          <w:p>
            <w:pPr>
              <w:ind w:left="6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0000FF"/>
                <w:w w:val="87"/>
              </w:rPr>
              <w:t>Common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0000FF"/>
              </w:rPr>
              <w:t>1,700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02/03/2015</w:t>
            </w:r>
          </w:p>
        </w:tc>
        <w:tc>
          <w:tcPr>
            <w:tcW w:w="1100" w:type="dxa"/>
            <w:vAlign w:val="bottom"/>
          </w:tcPr>
          <w:p>
            <w:pPr>
              <w:spacing w:after="0"/>
              <w:rPr>
                <w:sz w:val="12"/>
                <w:szCs w:val="12"/>
                <w:color w:val="auto"/>
              </w:rPr>
            </w:pPr>
          </w:p>
        </w:tc>
        <w:tc>
          <w:tcPr>
            <w:tcW w:w="440" w:type="dxa"/>
            <w:vAlign w:val="bottom"/>
          </w:tcPr>
          <w:p>
            <w:pPr>
              <w:jc w:val="right"/>
              <w:ind w:right="98"/>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1,700</w:t>
            </w: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0000FF"/>
                <w:w w:val="86"/>
              </w:rPr>
              <w:t>par value</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139"/>
              <w:spacing w:after="0"/>
              <w:rPr>
                <w:sz w:val="20"/>
                <w:szCs w:val="20"/>
                <w:color w:val="auto"/>
              </w:rPr>
            </w:pPr>
            <w:r>
              <w:rPr>
                <w:rFonts w:ascii="Arial" w:cs="Arial" w:eastAsia="Arial" w:hAnsi="Arial"/>
                <w:sz w:val="12"/>
                <w:szCs w:val="12"/>
                <w:color w:val="auto"/>
                <w:w w:val="99"/>
              </w:rPr>
              <w:t>$</w:t>
            </w:r>
            <w:r>
              <w:rPr>
                <w:rFonts w:ascii="Arial" w:cs="Arial" w:eastAsia="Arial" w:hAnsi="Arial"/>
                <w:sz w:val="13"/>
                <w:szCs w:val="13"/>
                <w:color w:val="0000FF"/>
                <w:w w:val="99"/>
              </w:rPr>
              <w:t>0.00</w:t>
            </w:r>
          </w:p>
        </w:tc>
        <w:tc>
          <w:tcPr>
            <w:tcW w:w="76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92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0000FF"/>
                <w:w w:val="84"/>
              </w:rPr>
              <w:t>per share</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3, 2015.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3, 2011, the reporting person was granted 4,250 restricted stock units, vesting in 10%, 20%, 30% and 40% beginning on the first anniversary of the grant date. The remaining balance i/n/o 1,700 shares of restricted stock units became vested on February 3, 2015.</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2019-12-08T12:05:20Z</dcterms:created>
  <dcterms:modified xsi:type="dcterms:W3CDTF">2019-12-08T12:05:20Z</dcterms:modified>
</cp:coreProperties>
</file>