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327"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Date of Report (Date of earliest event reported): April 14, 2008</w:t>
      </w:r>
    </w:p>
    <w:p>
      <w:pPr>
        <w:spacing w:after="0" w:line="200" w:lineRule="exact"/>
        <w:rPr>
          <w:sz w:val="24"/>
          <w:szCs w:val="24"/>
          <w:color w:val="auto"/>
        </w:rPr>
      </w:pPr>
    </w:p>
    <w:p>
      <w:pPr>
        <w:spacing w:after="0" w:line="34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001-33089</w:t>
            </w:r>
          </w:p>
        </w:tc>
        <w:tc>
          <w:tcPr>
            <w:tcW w:w="3840" w:type="dxa"/>
            <w:vAlign w:val="bottom"/>
          </w:tcPr>
          <w:p>
            <w:pPr>
              <w:jc w:val="right"/>
              <w:ind w:right="137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(Commission File Number)</w:t>
            </w:r>
          </w:p>
        </w:tc>
        <w:tc>
          <w:tcPr>
            <w:tcW w:w="384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628"/>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350 Park Avenue</w:t>
            </w:r>
          </w:p>
        </w:tc>
        <w:tc>
          <w:tcPr>
            <w:tcW w:w="3840" w:type="dxa"/>
            <w:vAlign w:val="bottom"/>
          </w:tcPr>
          <w:p>
            <w:pPr>
              <w:spacing w:after="0"/>
              <w:rPr>
                <w:sz w:val="24"/>
                <w:szCs w:val="24"/>
                <w:color w:val="auto"/>
              </w:rPr>
            </w:pPr>
          </w:p>
        </w:tc>
      </w:tr>
      <w:tr>
        <w:trPr>
          <w:trHeight w:val="255"/>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New York, New York</w:t>
            </w:r>
          </w:p>
        </w:tc>
        <w:tc>
          <w:tcPr>
            <w:tcW w:w="3840" w:type="dxa"/>
            <w:vAlign w:val="bottom"/>
          </w:tcPr>
          <w:p>
            <w:pPr>
              <w:jc w:val="right"/>
              <w:ind w:right="1572"/>
              <w:spacing w:after="0"/>
              <w:rPr>
                <w:sz w:val="20"/>
                <w:szCs w:val="20"/>
                <w:color w:val="auto"/>
              </w:rPr>
            </w:pPr>
            <w:r>
              <w:rPr>
                <w:rFonts w:ascii="Arial" w:cs="Arial" w:eastAsia="Arial" w:hAnsi="Arial"/>
                <w:sz w:val="18"/>
                <w:szCs w:val="18"/>
                <w:b w:val="1"/>
                <w:bCs w:val="1"/>
                <w:color w:val="auto"/>
              </w:rPr>
              <w:t>10022</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(Address of principal executive offices)</w:t>
            </w:r>
          </w:p>
        </w:tc>
        <w:tc>
          <w:tcPr>
            <w:tcW w:w="3840" w:type="dxa"/>
            <w:vAlign w:val="bottom"/>
          </w:tcPr>
          <w:p>
            <w:pPr>
              <w:jc w:val="center"/>
              <w:spacing w:after="0"/>
              <w:rPr>
                <w:sz w:val="20"/>
                <w:szCs w:val="20"/>
                <w:color w:val="auto"/>
              </w:rPr>
            </w:pPr>
            <w:r>
              <w:rPr>
                <w:rFonts w:ascii="Arial" w:cs="Arial" w:eastAsia="Arial" w:hAnsi="Arial"/>
                <w:sz w:val="18"/>
                <w:szCs w:val="18"/>
                <w:color w:val="auto"/>
                <w:w w:val="89"/>
              </w:rPr>
              <w:t>(Zip Code)</w:t>
            </w:r>
          </w:p>
        </w:tc>
      </w:tr>
    </w:tbl>
    <w:p>
      <w:pPr>
        <w:spacing w:after="0" w:line="317"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address, if changed since last report)</w:t>
      </w:r>
    </w:p>
    <w:p>
      <w:pPr>
        <w:spacing w:after="0" w:line="200" w:lineRule="exact"/>
        <w:rPr>
          <w:sz w:val="24"/>
          <w:szCs w:val="24"/>
          <w:color w:val="auto"/>
        </w:rPr>
      </w:pPr>
    </w:p>
    <w:p>
      <w:pPr>
        <w:spacing w:after="0" w:line="262" w:lineRule="exact"/>
        <w:rPr>
          <w:sz w:val="24"/>
          <w:szCs w:val="24"/>
          <w:color w:val="auto"/>
        </w:rPr>
      </w:pPr>
    </w:p>
    <w:p>
      <w:pPr>
        <w:jc w:val="both"/>
        <w:ind w:right="2119" w:firstLine="324"/>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2" w:lineRule="exact"/>
        <w:rPr>
          <w:sz w:val="24"/>
          <w:szCs w:val="24"/>
          <w:color w:val="auto"/>
        </w:rPr>
      </w:pPr>
    </w:p>
    <w:p>
      <w:pPr>
        <w:ind w:left="740" w:hanging="408"/>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740" w:hanging="408"/>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17" w:lineRule="exact"/>
        <w:rPr>
          <w:rFonts w:ascii="Arial" w:cs="Arial" w:eastAsia="Arial" w:hAnsi="Arial"/>
          <w:sz w:val="22"/>
          <w:szCs w:val="22"/>
          <w:color w:val="auto"/>
        </w:rPr>
      </w:pPr>
    </w:p>
    <w:p>
      <w:pPr>
        <w:ind w:left="740" w:right="2119" w:hanging="408"/>
        <w:spacing w:after="0" w:line="228" w:lineRule="auto"/>
        <w:tabs>
          <w:tab w:leader="none" w:pos="817"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Arial" w:cs="Arial" w:eastAsia="Arial" w:hAnsi="Arial"/>
          <w:sz w:val="22"/>
          <w:szCs w:val="22"/>
          <w:color w:val="auto"/>
        </w:rPr>
      </w:pPr>
    </w:p>
    <w:p>
      <w:pPr>
        <w:ind w:left="740" w:right="2099" w:hanging="408"/>
        <w:spacing w:after="0" w:line="228" w:lineRule="auto"/>
        <w:tabs>
          <w:tab w:leader="none" w:pos="821"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Item 5.02</w:t>
            </w:r>
          </w:p>
        </w:tc>
        <w:tc>
          <w:tcPr>
            <w:tcW w:w="6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Departure of Directors or Certain Officers; Election of Directors; Appointment of Certain</w:t>
            </w:r>
          </w:p>
        </w:tc>
      </w:tr>
      <w:tr>
        <w:trPr>
          <w:trHeight w:val="196"/>
        </w:trPr>
        <w:tc>
          <w:tcPr>
            <w:tcW w:w="1300" w:type="dxa"/>
            <w:vAlign w:val="bottom"/>
          </w:tcPr>
          <w:p>
            <w:pPr>
              <w:spacing w:after="0"/>
              <w:rPr>
                <w:sz w:val="17"/>
                <w:szCs w:val="17"/>
                <w:color w:val="auto"/>
              </w:rPr>
            </w:pPr>
          </w:p>
        </w:tc>
        <w:tc>
          <w:tcPr>
            <w:tcW w:w="6700" w:type="dxa"/>
            <w:vAlign w:val="bottom"/>
            <w:gridSpan w:val="2"/>
          </w:tcPr>
          <w:p>
            <w:pPr>
              <w:spacing w:after="0" w:line="196" w:lineRule="exact"/>
              <w:rPr>
                <w:sz w:val="20"/>
                <w:szCs w:val="20"/>
                <w:color w:val="auto"/>
              </w:rPr>
            </w:pPr>
            <w:r>
              <w:rPr>
                <w:rFonts w:ascii="Arial" w:cs="Arial" w:eastAsia="Arial" w:hAnsi="Arial"/>
                <w:sz w:val="18"/>
                <w:szCs w:val="18"/>
                <w:color w:val="auto"/>
              </w:rPr>
              <w:t>Officers; Compensatory Arrangements of Certain Officers.</w:t>
            </w:r>
          </w:p>
        </w:tc>
      </w:tr>
      <w:tr>
        <w:trPr>
          <w:trHeight w:val="20"/>
        </w:trPr>
        <w:tc>
          <w:tcPr>
            <w:tcW w:w="130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On April 14, 2008, ExlService Holdings, Inc. (the “Company”) announced that its Board of Directors (the “Board”) had approved changes it the Company’s management pursuant to its internally developed succession plans.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May 1, 2008:</w:t>
      </w:r>
    </w:p>
    <w:p>
      <w:pPr>
        <w:spacing w:after="0" w:line="117" w:lineRule="exact"/>
        <w:rPr>
          <w:sz w:val="20"/>
          <w:szCs w:val="20"/>
          <w:color w:val="auto"/>
        </w:rPr>
      </w:pPr>
    </w:p>
    <w:p>
      <w:pPr>
        <w:ind w:left="1300" w:right="2759" w:hanging="320"/>
        <w:spacing w:after="0" w:line="183" w:lineRule="auto"/>
        <w:tabs>
          <w:tab w:leader="none" w:pos="1300" w:val="left"/>
        </w:tabs>
        <w:numPr>
          <w:ilvl w:val="0"/>
          <w:numId w:val="2"/>
        </w:numPr>
        <w:rPr>
          <w:rFonts w:ascii="Arial" w:cs="Arial" w:eastAsia="Arial" w:hAnsi="Arial"/>
          <w:sz w:val="35"/>
          <w:szCs w:val="35"/>
          <w:b w:val="1"/>
          <w:bCs w:val="1"/>
          <w:color w:val="auto"/>
          <w:vertAlign w:val="subscript"/>
        </w:rPr>
      </w:pPr>
      <w:r>
        <w:rPr>
          <w:rFonts w:ascii="Arial" w:cs="Arial" w:eastAsia="Arial" w:hAnsi="Arial"/>
          <w:sz w:val="15"/>
          <w:szCs w:val="15"/>
          <w:color w:val="auto"/>
        </w:rPr>
        <w:t>Vikram Talwar, the Company’s current Vice Chairman and CEO, will resign from those positions and become Executive Chairman of the Company;</w:t>
      </w:r>
    </w:p>
    <w:p>
      <w:pPr>
        <w:spacing w:after="0" w:line="101" w:lineRule="exact"/>
        <w:rPr>
          <w:rFonts w:ascii="Arial" w:cs="Arial" w:eastAsia="Arial" w:hAnsi="Arial"/>
          <w:sz w:val="35"/>
          <w:szCs w:val="35"/>
          <w:b w:val="1"/>
          <w:bCs w:val="1"/>
          <w:color w:val="auto"/>
          <w:vertAlign w:val="subscript"/>
        </w:rPr>
      </w:pPr>
    </w:p>
    <w:p>
      <w:pPr>
        <w:ind w:left="1300" w:right="2159" w:hanging="320"/>
        <w:spacing w:after="0" w:line="183" w:lineRule="auto"/>
        <w:tabs>
          <w:tab w:leader="none" w:pos="1300" w:val="left"/>
        </w:tabs>
        <w:numPr>
          <w:ilvl w:val="0"/>
          <w:numId w:val="2"/>
        </w:numPr>
        <w:rPr>
          <w:rFonts w:ascii="Arial" w:cs="Arial" w:eastAsia="Arial" w:hAnsi="Arial"/>
          <w:sz w:val="35"/>
          <w:szCs w:val="35"/>
          <w:b w:val="1"/>
          <w:bCs w:val="1"/>
          <w:color w:val="auto"/>
          <w:vertAlign w:val="subscript"/>
        </w:rPr>
      </w:pPr>
      <w:r>
        <w:rPr>
          <w:rFonts w:ascii="Arial" w:cs="Arial" w:eastAsia="Arial" w:hAnsi="Arial"/>
          <w:sz w:val="15"/>
          <w:szCs w:val="15"/>
          <w:color w:val="auto"/>
        </w:rPr>
        <w:t>Rohit Kapoor, the Company’s current President and Chief Operating Officer, will resign as Chief Operating Officer and will become the Company’s Chief Executive Officer and President;</w:t>
      </w:r>
    </w:p>
    <w:p>
      <w:pPr>
        <w:spacing w:after="0" w:line="101" w:lineRule="exact"/>
        <w:rPr>
          <w:rFonts w:ascii="Arial" w:cs="Arial" w:eastAsia="Arial" w:hAnsi="Arial"/>
          <w:sz w:val="35"/>
          <w:szCs w:val="35"/>
          <w:b w:val="1"/>
          <w:bCs w:val="1"/>
          <w:color w:val="auto"/>
          <w:vertAlign w:val="subscript"/>
        </w:rPr>
      </w:pPr>
    </w:p>
    <w:p>
      <w:pPr>
        <w:ind w:left="1300" w:right="2339" w:hanging="320"/>
        <w:spacing w:after="0" w:line="183" w:lineRule="auto"/>
        <w:tabs>
          <w:tab w:leader="none" w:pos="1300" w:val="left"/>
        </w:tabs>
        <w:numPr>
          <w:ilvl w:val="0"/>
          <w:numId w:val="2"/>
        </w:numPr>
        <w:rPr>
          <w:rFonts w:ascii="Arial" w:cs="Arial" w:eastAsia="Arial" w:hAnsi="Arial"/>
          <w:sz w:val="35"/>
          <w:szCs w:val="35"/>
          <w:b w:val="1"/>
          <w:bCs w:val="1"/>
          <w:color w:val="auto"/>
          <w:vertAlign w:val="subscript"/>
        </w:rPr>
      </w:pPr>
      <w:r>
        <w:rPr>
          <w:rFonts w:ascii="Arial" w:cs="Arial" w:eastAsia="Arial" w:hAnsi="Arial"/>
          <w:sz w:val="15"/>
          <w:szCs w:val="15"/>
          <w:color w:val="auto"/>
        </w:rPr>
        <w:t>Pavan Bagai, the Company’s current Head of Outsourcing, will become the Company’s Chief Operating Officer.</w:t>
      </w:r>
    </w:p>
    <w:p>
      <w:pPr>
        <w:spacing w:after="0" w:line="210"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In addition, the Company announced that it is in the process of creating the new position of Lead Director of the Board. Steven B. Gruber, currently Chairman of the Board, is expected to be the Company’s Lead Director effective May 1, 2008.</w:t>
      </w:r>
    </w:p>
    <w:p>
      <w:pPr>
        <w:spacing w:after="0" w:line="194" w:lineRule="exact"/>
        <w:rPr>
          <w:sz w:val="20"/>
          <w:szCs w:val="20"/>
          <w:color w:val="auto"/>
        </w:rPr>
      </w:pPr>
    </w:p>
    <w:p>
      <w:pPr>
        <w:jc w:val="both"/>
        <w:ind w:right="2119" w:firstLine="648"/>
        <w:spacing w:after="0" w:line="268" w:lineRule="auto"/>
        <w:rPr>
          <w:sz w:val="20"/>
          <w:szCs w:val="20"/>
          <w:color w:val="auto"/>
        </w:rPr>
      </w:pPr>
      <w:r>
        <w:rPr>
          <w:rFonts w:ascii="Arial" w:cs="Arial" w:eastAsia="Arial" w:hAnsi="Arial"/>
          <w:sz w:val="18"/>
          <w:szCs w:val="18"/>
          <w:color w:val="auto"/>
        </w:rPr>
        <w:t>Effective April 15, 2008, Rembert de Villa joined the Company as Vice President, Head of Transformation Services and Managing Principal of Inductis.</w:t>
      </w:r>
    </w:p>
    <w:p>
      <w:pPr>
        <w:spacing w:after="0" w:line="186" w:lineRule="exact"/>
        <w:rPr>
          <w:sz w:val="20"/>
          <w:szCs w:val="20"/>
          <w:color w:val="auto"/>
        </w:rPr>
      </w:pPr>
    </w:p>
    <w:p>
      <w:pPr>
        <w:jc w:val="both"/>
        <w:ind w:right="2119" w:firstLine="648"/>
        <w:spacing w:after="0" w:line="298" w:lineRule="auto"/>
        <w:rPr>
          <w:sz w:val="20"/>
          <w:szCs w:val="20"/>
          <w:color w:val="auto"/>
        </w:rPr>
      </w:pPr>
      <w:r>
        <w:rPr>
          <w:rFonts w:ascii="Arial" w:cs="Arial" w:eastAsia="Arial" w:hAnsi="Arial"/>
          <w:sz w:val="16"/>
          <w:szCs w:val="16"/>
          <w:color w:val="auto"/>
        </w:rPr>
        <w:t>Information regarding the business experience of each of Messrs. Talwar, Kapoor, Bagai and Gruber and information regarding any related party transactions between each of them and the Company can be found in the Company’s Definitive Proxy Statement with regard to its 2007 Annual Meeting of Stockholders, which Definitive Proxy Statement was filed with the Securities and Exchange Commission on April 25, 2007.</w:t>
      </w:r>
    </w:p>
    <w:p>
      <w:pPr>
        <w:spacing w:after="0" w:line="167" w:lineRule="exact"/>
        <w:rPr>
          <w:sz w:val="20"/>
          <w:szCs w:val="20"/>
          <w:color w:val="auto"/>
        </w:rPr>
      </w:pPr>
    </w:p>
    <w:p>
      <w:pPr>
        <w:jc w:val="both"/>
        <w:ind w:right="2119" w:firstLine="648"/>
        <w:spacing w:after="0" w:line="256" w:lineRule="auto"/>
        <w:rPr>
          <w:sz w:val="20"/>
          <w:szCs w:val="20"/>
          <w:color w:val="auto"/>
        </w:rPr>
      </w:pPr>
      <w:r>
        <w:rPr>
          <w:rFonts w:ascii="Arial" w:cs="Arial" w:eastAsia="Arial" w:hAnsi="Arial"/>
          <w:sz w:val="18"/>
          <w:szCs w:val="18"/>
          <w:color w:val="auto"/>
        </w:rPr>
        <w:t>Prior to joining the Company, Mr. de Villa, 51, served as the Managing Director and Global Practice Leader, Strategic Services at MasterCard Advisors from December 2005 through April 2008 and as Vice President and Financial Services Practice Leader for North America at Capgemini Ernst &amp; Young from March 2003 to December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814705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594"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27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80" w:type="dxa"/>
            <w:vAlign w:val="bottom"/>
          </w:tcPr>
          <w:p>
            <w:pPr>
              <w:spacing w:after="0"/>
              <w:rPr>
                <w:sz w:val="19"/>
                <w:szCs w:val="19"/>
                <w:color w:val="auto"/>
              </w:rPr>
            </w:pPr>
          </w:p>
        </w:tc>
        <w:tc>
          <w:tcPr>
            <w:tcW w:w="4380" w:type="dxa"/>
            <w:vAlign w:val="bottom"/>
            <w:gridSpan w:val="2"/>
          </w:tcPr>
          <w:p>
            <w:pPr>
              <w:ind w:left="112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2580" w:type="dxa"/>
            <w:vAlign w:val="bottom"/>
          </w:tcPr>
          <w:p>
            <w:pPr>
              <w:spacing w:after="0"/>
              <w:rPr>
                <w:sz w:val="19"/>
                <w:szCs w:val="19"/>
                <w:color w:val="auto"/>
              </w:rPr>
            </w:pPr>
          </w:p>
        </w:tc>
        <w:tc>
          <w:tcPr>
            <w:tcW w:w="4380" w:type="dxa"/>
            <w:vAlign w:val="bottom"/>
            <w:gridSpan w:val="2"/>
          </w:tcPr>
          <w:p>
            <w:pPr>
              <w:ind w:left="1340"/>
              <w:spacing w:after="0"/>
              <w:rPr>
                <w:sz w:val="20"/>
                <w:szCs w:val="20"/>
                <w:color w:val="auto"/>
              </w:rPr>
            </w:pPr>
            <w:r>
              <w:rPr>
                <w:rFonts w:ascii="Arial" w:cs="Arial" w:eastAsia="Arial" w:hAnsi="Arial"/>
                <w:sz w:val="18"/>
                <w:szCs w:val="18"/>
                <w:color w:val="auto"/>
              </w:rPr>
              <w:t>(Registrant)</w:t>
            </w:r>
          </w:p>
        </w:tc>
      </w:tr>
      <w:tr>
        <w:trPr>
          <w:trHeight w:val="664"/>
        </w:trPr>
        <w:tc>
          <w:tcPr>
            <w:tcW w:w="2580" w:type="dxa"/>
            <w:vAlign w:val="bottom"/>
          </w:tcPr>
          <w:p>
            <w:pPr>
              <w:spacing w:after="0"/>
              <w:rPr>
                <w:sz w:val="20"/>
                <w:szCs w:val="20"/>
                <w:color w:val="auto"/>
              </w:rPr>
            </w:pPr>
            <w:r>
              <w:rPr>
                <w:rFonts w:ascii="Arial" w:cs="Arial" w:eastAsia="Arial" w:hAnsi="Arial"/>
                <w:sz w:val="18"/>
                <w:szCs w:val="18"/>
                <w:color w:val="auto"/>
              </w:rPr>
              <w:t>Date: April 18, 2008</w:t>
            </w:r>
          </w:p>
        </w:tc>
        <w:tc>
          <w:tcPr>
            <w:tcW w:w="4380" w:type="dxa"/>
            <w:vAlign w:val="bottom"/>
            <w:gridSpan w:val="2"/>
          </w:tcPr>
          <w:p>
            <w:pPr>
              <w:ind w:left="1120"/>
              <w:spacing w:after="0"/>
              <w:rPr>
                <w:sz w:val="20"/>
                <w:szCs w:val="20"/>
                <w:color w:val="auto"/>
              </w:rPr>
            </w:pPr>
            <w:r>
              <w:rPr>
                <w:rFonts w:ascii="Arial" w:cs="Arial" w:eastAsia="Arial" w:hAnsi="Arial"/>
                <w:sz w:val="18"/>
                <w:szCs w:val="18"/>
                <w:color w:val="auto"/>
              </w:rPr>
              <w:t>By: /s/ Amit Shashank</w:t>
            </w:r>
          </w:p>
        </w:tc>
      </w:tr>
      <w:tr>
        <w:trPr>
          <w:trHeight w:val="228"/>
        </w:trPr>
        <w:tc>
          <w:tcPr>
            <w:tcW w:w="2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Amit Shashank</w:t>
            </w:r>
          </w:p>
        </w:tc>
      </w:tr>
      <w:tr>
        <w:trPr>
          <w:trHeight w:val="216"/>
        </w:trPr>
        <w:tc>
          <w:tcPr>
            <w:tcW w:w="2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2"/>
              </w:rPr>
              <w:t>Title:   Vice President, General Counsel</w:t>
            </w:r>
          </w:p>
        </w:tc>
      </w:tr>
      <w:tr>
        <w:trPr>
          <w:trHeight w:val="222"/>
        </w:trPr>
        <w:tc>
          <w:tcPr>
            <w:tcW w:w="2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920" w:type="dxa"/>
            <w:vAlign w:val="bottom"/>
          </w:tcPr>
          <w:p>
            <w:pPr>
              <w:ind w:left="620"/>
              <w:spacing w:after="0"/>
              <w:rPr>
                <w:sz w:val="20"/>
                <w:szCs w:val="20"/>
                <w:color w:val="auto"/>
              </w:rPr>
            </w:pPr>
            <w:r>
              <w:rPr>
                <w:rFonts w:ascii="Arial" w:cs="Arial" w:eastAsia="Arial" w:hAnsi="Arial"/>
                <w:sz w:val="18"/>
                <w:szCs w:val="18"/>
                <w:color w:val="auto"/>
              </w:rPr>
              <w:t>and Corporate Secretary</w:t>
            </w:r>
          </w:p>
        </w:tc>
      </w:tr>
    </w:tbl>
    <w:p>
      <w:pPr>
        <w:spacing w:after="0" w:line="1" w:lineRule="exact"/>
        <w:rPr>
          <w:sz w:val="20"/>
          <w:szCs w:val="20"/>
          <w:color w:val="auto"/>
        </w:rPr>
      </w:pPr>
    </w:p>
    <w:sectPr>
      <w:pgSz w:w="11900" w:h="16838" w:orient="portrait"/>
      <w:cols w:equalWidth="0" w:num="1">
        <w:col w:w="10219"/>
      </w:cols>
      <w:pgMar w:left="240" w:top="6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2019-12-15T10:33:44Z</dcterms:created>
  <dcterms:modified xsi:type="dcterms:W3CDTF">2019-12-15T10:33:44Z</dcterms:modified>
</cp:coreProperties>
</file>