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November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 2012, ExlService Holdings, Inc. (the “Company”) reported its results of operations for the three and nine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2012. A copy of the press release issued by the Company concerning the foregoing is furnished herewith as Exhibit 99.1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8890</wp:posOffset>
            </wp:positionV>
            <wp:extent cx="6749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 2012</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 w:leader="none" w:pos="8040" w:val="left"/>
        </w:tabs>
        <w:rPr>
          <w:sz w:val="20"/>
          <w:szCs w:val="20"/>
          <w:color w:val="auto"/>
        </w:rPr>
      </w:pPr>
      <w:r>
        <w:rPr>
          <w:rFonts w:ascii="Arial" w:cs="Arial" w:eastAsia="Arial" w:hAnsi="Arial"/>
          <w:sz w:val="18"/>
          <w:szCs w:val="18"/>
          <w:color w:val="auto"/>
        </w:rPr>
        <w:t>Date: November 2,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 2012</w:t>
      </w:r>
    </w:p>
    <w:p>
      <w:pPr>
        <w:sectPr>
          <w:pgSz w:w="11900" w:h="16838" w:orient="portrait"/>
          <w:cols w:equalWidth="0" w:num="1">
            <w:col w:w="11300"/>
          </w:cols>
          <w:pgMar w:left="240" w:top="274"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2012 THIRD QUARTER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Revenues of $112.6 Million, Up 13% Year over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Diluted Earnings Per Share (EPS) of $0.42, Up 21% Year over Year</w:t>
      </w:r>
    </w:p>
    <w:p>
      <w:pPr>
        <w:spacing w:after="0" w:line="1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New York, NY – November 2, 2012 – ExlService Holdings, Inc. (NASDAQ: EXLS), a leading provider of outsourcing and transformation services, today announced its financial results for the third quarter of 2012.</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Rohit Kapoor, Vice Chairman and CEO, commented: “In the third quarter, EXL posted strong 4% sequential revenue growth led by client expansions in our insurance and healthcare and our utilities practices. In addition, our transformation business has continued to grow. In particular, we are capitalizing on the secular growth opportunity in analytics, where among other assets we have built a world-class banking practice. This practice is generating robust new business with several of the largest global banks.</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 am pleased to announce that we won a new strategic client account for our finance and accounting outsourcing practice with a leading specialty insurer. This new client win is a validation of our domain expertise both in insurance and finance and accounting, and was won against significant competition. Finally, as we discussed in October, our Landacorp acquisition adds a critical piece to our rapidly growing healthcare offering providing comprehensive operations, analytics, and technology solutions.”</w:t>
      </w:r>
    </w:p>
    <w:p>
      <w:pPr>
        <w:spacing w:after="0" w:line="14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Vishal Chhibbar, CFO, commented: “In the third quarter, EXL achieved revenue of $112.6 million, up 13% year-over-year, driven by 11% growth in outsourcing and 23% growth in transformation services. On a constant currency basis, revenue grew 17% year over year. This quarter we delivered adjusted diluted earnings per share of $0.42, up 21% year over year and 17% quarter over quarter. This growth was driven by strong revenue growth, operating efficiencies and operating leverage.</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2012, we are updating our revenue guidance to $442 million to $444 million, and updating our adjusted diluted EPS guidance to $1.54 to $1.57 to account for a rupee to dollar exchange rate of 53.5, third quarter results and the recent acquisition of Landacorp.”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Third Quarter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September 30, 2012 were $112.6 million compared to $100.0 million for the quarter ended September 30, 2011 and $108.0 million for the quarter ended June 30, 2012. Outsourcing services revenues for the quarter ended September 30, 2012 were $92.0 million compared to $83.2 million for the quarter ended September 30, 2011 and $88.9 million for the quarter ended June 30, 2012. Transformation services revenues for the quarter ended September 30, 2012 were $20.7 million compared to $16.9 million in the quarter ended September 30, 2011 and $19.1 million for the quarter ended June 30, 2012.</w:t>
      </w:r>
    </w:p>
    <w:p>
      <w:pPr>
        <w:spacing w:after="0" w:line="61" w:lineRule="exact"/>
        <w:rPr>
          <w:rFonts w:ascii="Arial" w:cs="Arial" w:eastAsia="Arial" w:hAnsi="Arial"/>
          <w:sz w:val="18"/>
          <w:szCs w:val="18"/>
          <w:color w:val="auto"/>
        </w:rPr>
      </w:pPr>
    </w:p>
    <w:p>
      <w:pPr>
        <w:ind w:left="900" w:right="100" w:hanging="325"/>
        <w:spacing w:after="0" w:line="323"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Gross margin for the quarter ended September 30, 2012 was 39.1% compared to 38.3% for the quarter ended September 30, 2011 and 38.9% for the quarter ended June 30, 2012. Outsourcing services gross margin for the quarter ended September 30, 2012 was 39.5% compared to 38.7% for the quarter ended September 30, 2011 and 38.7% for the quarter ended June 30, 2012. Transformation services gross margin for the quarter ended September 30, 2012 was 37.1% compared to 35.9% for the quarter ended September 30, 2012 and 39.6% for the quarter ended June 30, 2012.</w:t>
      </w:r>
    </w:p>
    <w:p>
      <w:pPr>
        <w:spacing w:after="0" w:line="16" w:lineRule="exact"/>
        <w:rPr>
          <w:rFonts w:ascii="Arial" w:cs="Arial" w:eastAsia="Arial" w:hAnsi="Arial"/>
          <w:sz w:val="15"/>
          <w:szCs w:val="15"/>
          <w:color w:val="auto"/>
        </w:rPr>
      </w:pPr>
    </w:p>
    <w:p>
      <w:pPr>
        <w:jc w:val="both"/>
        <w:ind w:left="900" w:right="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September 30, 2012 was 15.0% compared to 11.7% for the quarter ended September 30, 2011 and 13.3% for the quarter ended June 30, 2012. Adjusted operating margin for the quarter ended September 30, 2012 was 17.8% compared to 15.2% for the quarter ended September 30, 2011 and 17.1% for the quarter ended June 30, 2012.</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for the quarter ended September 30, 2012 was $11.7 million compared to $8.4 million for the quarter ended September 30, 2011 and $9.1 million for the quarter ended June 30, 2012. Adjusted EBITDA for the quarter ended September 30, 2012 was $25.1 million compared to $20.3 million for the quarter ended September 30, 2011 and $23.1 million for the quarter ended June 30, 2012.</w:t>
      </w:r>
    </w:p>
    <w:p>
      <w:pPr>
        <w:spacing w:after="0" w:line="25" w:lineRule="exact"/>
        <w:rPr>
          <w:rFonts w:ascii="Arial" w:cs="Arial" w:eastAsia="Arial" w:hAnsi="Arial"/>
          <w:sz w:val="16"/>
          <w:szCs w:val="16"/>
          <w:color w:val="auto"/>
        </w:rPr>
      </w:pPr>
    </w:p>
    <w:p>
      <w:pPr>
        <w:jc w:val="both"/>
        <w:ind w:left="900" w:right="26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share for the quarter ended September 30, 2012 were $0.35 compared to $0.27 for the quarter ended September 30, 2011 and $0.27 for the quarter ended June 30, 2012. Adjusted diluted earnings per share for the quarter ended September 30, 2012 were $0.42 compared to $0.35 for the quarter ended September 30, 2011 and $0.36 for the quarter ended June 30,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9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a new strategic client account with a leading specialty insurer for finance and accounting outsourcing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six new clients during the quarter, including three transformation clients and three outsourcing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35 new processes in the third quarter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Landacorp, a leading provider of healthcare solutions and technology, for $37.5 million in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Selected to Forbes’ “America’s 100 Best Small Companies” list for the third consecutive year.</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EXL’s Healthcare Academy in Manila to scale its clinical and utilization management capabilities for health insurers and providers. EXL now employs over 800 nurses, doctors and clinicians.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headcount as of September 30, 2012 to approximately 20,095, compared to approximately 17,853 as of September 30, 2011 and 19,468 as of June 30,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Employee attrition for the quarter ended September 30, 2012 was 28.5%, compared with 28.4% for the quarter ended June 30,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Outlook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updating its guidance for calendar year 2012 based on a rupee to dollar exchange rate of 53.5, third quarter results and the recent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Landacorp:</w:t>
      </w:r>
    </w:p>
    <w:p>
      <w:pPr>
        <w:spacing w:after="0" w:line="8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$442 million to $444 million.</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$1.54 to $1.57.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EXL will host a conference call on Friday, November 2, 2012 at 8:00 a.m. (ET) to discuss the Company’s quarterly operating and financial results. The conference call will be available live via the internet by accessing the investor relations section of EXL’s website at ir.exlservice.com, where the accompanying investor-friendly spreadsheet of historical operating and financial data can also be accessed. Please go to the website at least fifteen minutes prior to the call to register, download and install any necessary audio software.</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2011.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93"/>
              <w:spacing w:after="0"/>
              <w:rPr>
                <w:sz w:val="20"/>
                <w:szCs w:val="20"/>
                <w:color w:val="auto"/>
              </w:rPr>
            </w:pPr>
            <w:r>
              <w:rPr>
                <w:rFonts w:ascii="Arial" w:cs="Arial" w:eastAsia="Arial" w:hAnsi="Arial"/>
                <w:sz w:val="14"/>
                <w:szCs w:val="14"/>
                <w:b w:val="1"/>
                <w:bCs w:val="1"/>
                <w:color w:val="auto"/>
                <w:w w:val="86"/>
              </w:rPr>
              <w:t>Three months ended September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61,755</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123,910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26,611</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32,154,001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30,293,114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31,857,909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29,926,846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33,283,854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31,586,936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33,055,857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31,131,513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118,579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65,649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213,551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41,154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10,042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92,886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415,667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26,681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63,204</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98,936</w:t>
            </w: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stock, $0.001 par value; 100,000,000 shares authorized, 32,450,559 shares issued and 32,114,297 shares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outstanding as of September 30, 2012 and 31,496,461 shares issued and 31,173,064 shares outstanding as of</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2011.</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190,155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176,719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(28,934)</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337,972</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w w:val="92"/>
              </w:rPr>
              <w:t>Less: 336,262 shares as of September 30, 2012 and 323,397 shares as of December 31, 2011, held in treasury, at cost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(3,024)</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334,948</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334,972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415,667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the Company provides certain information on a constant currency basis, which reflects a comparison of current period results translated at the prior period currency rates. This information is provided because the Company believes that it provides useful incremental information to investors regarding the Company’s operating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three months ended September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for the three months ended June 30, 2012:</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2140" w:type="dxa"/>
            <w:vAlign w:val="bottom"/>
            <w:gridSpan w:val="6"/>
          </w:tcPr>
          <w:p>
            <w:pPr>
              <w:jc w:val="right"/>
              <w:ind w:right="640"/>
              <w:spacing w:after="0" w:line="149"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Sep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$ 11,703</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add: Income tax provision and other income/(expense)</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5,167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3,269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b w:val="1"/>
                <w:bCs w:val="1"/>
                <w:color w:val="auto"/>
                <w:w w:val="86"/>
              </w:rPr>
              <w:t>$16,870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11,660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14,393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1,871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1,324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20,065</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15,215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18,473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11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i w:val="1"/>
                <w:iCs w:val="1"/>
                <w:color w:val="auto"/>
              </w:rPr>
              <w:t>17.8%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17.1%</w:t>
            </w: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add: Depreciation</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5,009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5,048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25,074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20,263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23,148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vMerge w:val="continue"/>
          </w:tcPr>
          <w:p>
            <w:pPr>
              <w:spacing w:after="0"/>
              <w:rPr>
                <w:sz w:val="18"/>
                <w:szCs w:val="18"/>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8"/>
                <w:szCs w:val="18"/>
                <w:i w:val="1"/>
                <w:iCs w:val="1"/>
                <w:color w:val="auto"/>
              </w:rPr>
              <w:t>22.3%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21.4%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Sep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6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11,703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9,054</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32"/>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(1,075)</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13,966</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10,914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11,870</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0.36</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2019-12-09T16:17:09Z</dcterms:created>
  <dcterms:modified xsi:type="dcterms:W3CDTF">2019-12-09T16:17:09Z</dcterms:modified>
</cp:coreProperties>
</file>