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31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311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MITTAL SOM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340" w:type="dxa"/>
            <w:vAlign w:val="bottom"/>
            <w:gridSpan w:val="2"/>
          </w:tcPr>
          <w:p>
            <w:pPr>
              <w:jc w:val="center"/>
              <w:ind w:left="28"/>
              <w:spacing w:after="0"/>
              <w:rPr>
                <w:sz w:val="20"/>
                <w:szCs w:val="20"/>
                <w:color w:val="auto"/>
              </w:rPr>
            </w:pPr>
            <w:r>
              <w:rPr>
                <w:rFonts w:ascii="Arial" w:cs="Arial" w:eastAsia="Arial" w:hAnsi="Arial"/>
                <w:sz w:val="18"/>
                <w:szCs w:val="18"/>
                <w:color w:val="0000FF"/>
                <w:w w:val="88"/>
              </w:rPr>
              <w:t>06/17/2017</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0000FF"/>
                <w:w w:val="84"/>
              </w:rPr>
              <w:t>1,946</w:t>
            </w:r>
          </w:p>
        </w:tc>
        <w:tc>
          <w:tcPr>
            <w:tcW w:w="64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380" w:type="dxa"/>
            <w:vAlign w:val="bottom"/>
            <w:gridSpan w:val="3"/>
          </w:tcPr>
          <w:p>
            <w:pPr>
              <w:ind w:left="520"/>
              <w:spacing w:after="0"/>
              <w:rPr>
                <w:sz w:val="20"/>
                <w:szCs w:val="20"/>
                <w:color w:val="auto"/>
              </w:rPr>
            </w:pPr>
            <w:r>
              <w:rPr>
                <w:rFonts w:ascii="Arial" w:cs="Arial" w:eastAsia="Arial" w:hAnsi="Arial"/>
                <w:sz w:val="18"/>
                <w:szCs w:val="18"/>
                <w:color w:val="0000FF"/>
              </w:rPr>
              <w:t>1,946</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12"/>
                <w:szCs w:val="12"/>
                <w:color w:val="auto"/>
              </w:rPr>
            </w:pPr>
          </w:p>
        </w:tc>
        <w:tc>
          <w:tcPr>
            <w:tcW w:w="640" w:type="dxa"/>
            <w:vAlign w:val="bottom"/>
          </w:tcPr>
          <w:p>
            <w:pPr>
              <w:ind w:left="8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6"/>
              <w:spacing w:after="0"/>
              <w:rPr>
                <w:sz w:val="20"/>
                <w:szCs w:val="20"/>
                <w:color w:val="auto"/>
              </w:rPr>
            </w:pPr>
            <w:r>
              <w:rPr>
                <w:rFonts w:ascii="Arial" w:cs="Arial" w:eastAsia="Arial" w:hAnsi="Arial"/>
                <w:sz w:val="18"/>
                <w:szCs w:val="18"/>
                <w:color w:val="0000FF"/>
                <w:w w:val="93"/>
              </w:rPr>
              <w:t>1,946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vMerge w:val="restart"/>
          </w:tcPr>
          <w:p>
            <w:pPr>
              <w:ind w:left="200"/>
              <w:spacing w:after="0"/>
              <w:rPr>
                <w:sz w:val="20"/>
                <w:szCs w:val="20"/>
                <w:color w:val="auto"/>
              </w:rPr>
            </w:pPr>
            <w:r>
              <w:rPr>
                <w:rFonts w:ascii="Arial" w:cs="Arial" w:eastAsia="Arial" w:hAnsi="Arial"/>
                <w:sz w:val="14"/>
                <w:szCs w:val="14"/>
                <w:color w:val="0000FF"/>
                <w:w w:val="79"/>
              </w:rPr>
              <w:t>8,874</w:t>
            </w:r>
            <w:r>
              <w:rPr>
                <w:rFonts w:ascii="Arial" w:cs="Arial" w:eastAsia="Arial" w:hAnsi="Arial"/>
                <w:sz w:val="22"/>
                <w:szCs w:val="22"/>
                <w:color w:val="008000"/>
                <w:w w:val="79"/>
                <w:vertAlign w:val="superscript"/>
              </w:rPr>
              <w:t>(3)</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ind w:left="260"/>
              <w:spacing w:after="0" w:line="149" w:lineRule="exact"/>
              <w:rPr>
                <w:sz w:val="20"/>
                <w:szCs w:val="20"/>
                <w:color w:val="auto"/>
              </w:rPr>
            </w:pPr>
            <w:r>
              <w:rPr>
                <w:rFonts w:ascii="Arial" w:cs="Arial" w:eastAsia="Arial" w:hAnsi="Arial"/>
                <w:sz w:val="14"/>
                <w:szCs w:val="14"/>
                <w:color w:val="0000FF"/>
              </w:rPr>
              <w:t>06/17/2017</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920" w:type="dxa"/>
            <w:vAlign w:val="bottom"/>
          </w:tcPr>
          <w:p>
            <w:pPr>
              <w:ind w:left="480"/>
              <w:spacing w:after="0" w:line="149" w:lineRule="exact"/>
              <w:rPr>
                <w:sz w:val="20"/>
                <w:szCs w:val="20"/>
                <w:color w:val="auto"/>
              </w:rPr>
            </w:pPr>
            <w:r>
              <w:rPr>
                <w:rFonts w:ascii="Arial" w:cs="Arial" w:eastAsia="Arial" w:hAnsi="Arial"/>
                <w:sz w:val="14"/>
                <w:szCs w:val="14"/>
                <w:color w:val="0000FF"/>
              </w:rPr>
              <w:t>1,946</w:t>
            </w:r>
          </w:p>
        </w:tc>
        <w:tc>
          <w:tcPr>
            <w:tcW w:w="6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June 17, 2016, the reporting person was granted 1,946 restricted stock units, that vest upon the earlier of (i) the first anniversary of the date of grant, (ii) the end of the reporting person's term on the Board if such person is not subsequently elected to a new term on the Board, and (iii) the occurrence of a "Change of Control", as defined in the Plan, and such awards settle upon the earlier of (i) the reporting person's death, (ii) the occurrence of a "Change of Control", as defined in the Plan or (iii) the vesting date.</w:t>
      </w:r>
    </w:p>
    <w:p>
      <w:pPr>
        <w:spacing w:after="0" w:line="30"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an additional restricted stock unit granted and previously disclosed by the reporting person on December 5, 2016, but which was inadvertently omitted from the total in a subsequent Form 4 filed by the reporting person.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06/20/2017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148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2019-12-04T00:58:53Z</dcterms:created>
  <dcterms:modified xsi:type="dcterms:W3CDTF">2019-12-04T00:58:53Z</dcterms:modified>
</cp:coreProperties>
</file>