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Miglani Nalin Kumar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12/04/2017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EVP and Chief HR Officer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jc w:val="center"/>
              <w:ind w:right="14"/>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12/04/2017</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6,000</w:t>
            </w:r>
          </w:p>
        </w:tc>
        <w:tc>
          <w:tcPr>
            <w:tcW w:w="700" w:type="dxa"/>
            <w:vAlign w:val="bottom"/>
          </w:tcPr>
          <w:p>
            <w:pPr>
              <w:ind w:left="360"/>
              <w:spacing w:after="0"/>
              <w:rPr>
                <w:sz w:val="20"/>
                <w:szCs w:val="20"/>
                <w:color w:val="auto"/>
              </w:rPr>
            </w:pPr>
            <w:r>
              <w:rPr>
                <w:rFonts w:ascii="Arial" w:cs="Arial" w:eastAsia="Arial" w:hAnsi="Arial"/>
                <w:sz w:val="18"/>
                <w:szCs w:val="18"/>
                <w:color w:val="0000FF"/>
              </w:rPr>
              <w:t>A</w:t>
            </w:r>
          </w:p>
        </w:tc>
        <w:tc>
          <w:tcPr>
            <w:tcW w:w="560" w:type="dxa"/>
            <w:vAlign w:val="bottom"/>
          </w:tcPr>
          <w:p>
            <w:pPr>
              <w:ind w:left="300"/>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0000FF"/>
              </w:rPr>
              <w:t>6,000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12/04/2017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2,474</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60.22</w:t>
            </w:r>
            <w:r>
              <w:rPr>
                <w:rFonts w:ascii="Arial" w:cs="Arial" w:eastAsia="Arial" w:hAnsi="Arial"/>
                <w:sz w:val="22"/>
                <w:szCs w:val="22"/>
                <w:color w:val="008000"/>
                <w:w w:val="93"/>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3,526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100" w:type="dxa"/>
            <w:vAlign w:val="bottom"/>
            <w:gridSpan w:val="10"/>
          </w:tcPr>
          <w:p>
            <w:pPr>
              <w:ind w:left="1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6,000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12/04/2017</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6,000</w:t>
            </w:r>
          </w:p>
        </w:tc>
        <w:tc>
          <w:tcPr>
            <w:tcW w:w="820" w:type="dxa"/>
            <w:vAlign w:val="bottom"/>
            <w:gridSpan w:val="2"/>
            <w:vMerge w:val="continue"/>
          </w:tcPr>
          <w:p>
            <w:pPr>
              <w:spacing w:after="0"/>
              <w:rPr>
                <w:sz w:val="12"/>
                <w:szCs w:val="12"/>
                <w:color w:val="auto"/>
              </w:rPr>
            </w:pPr>
          </w:p>
        </w:tc>
        <w:tc>
          <w:tcPr>
            <w:tcW w:w="720" w:type="dxa"/>
            <w:vAlign w:val="bottom"/>
          </w:tcPr>
          <w:p>
            <w:pPr>
              <w:ind w:left="40"/>
              <w:spacing w:after="0" w:line="149" w:lineRule="exact"/>
              <w:rPr>
                <w:sz w:val="20"/>
                <w:szCs w:val="20"/>
                <w:color w:val="auto"/>
              </w:rPr>
            </w:pPr>
            <w:r>
              <w:rPr>
                <w:rFonts w:ascii="Arial" w:cs="Arial" w:eastAsia="Arial" w:hAnsi="Arial"/>
                <w:sz w:val="14"/>
                <w:szCs w:val="14"/>
                <w:color w:val="0000FF"/>
                <w:w w:val="94"/>
              </w:rPr>
              <w:t>12/04/2024</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80"/>
              <w:spacing w:after="0" w:line="149" w:lineRule="exact"/>
              <w:rPr>
                <w:sz w:val="20"/>
                <w:szCs w:val="20"/>
                <w:color w:val="auto"/>
              </w:rPr>
            </w:pPr>
            <w:r>
              <w:rPr>
                <w:rFonts w:ascii="Arial" w:cs="Arial" w:eastAsia="Arial" w:hAnsi="Arial"/>
                <w:sz w:val="14"/>
                <w:szCs w:val="14"/>
                <w:color w:val="0000FF"/>
                <w:w w:val="91"/>
              </w:rPr>
              <w:t>8,000</w:t>
            </w:r>
          </w:p>
        </w:tc>
        <w:tc>
          <w:tcPr>
            <w:tcW w:w="30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0000FF"/>
                <w:w w:val="83"/>
              </w:rPr>
              <w:t>$0.001</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December 4, 2017. Pursuant to the Company's 2006 Omnibus Award Plan, pursuant to which such restricted stock units were granted, the closing price of the Common Stock on the Nasdaq Global Select Market on the preceding day is used for purposes of computing tax reporting and withholding.</w:t>
      </w: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December 4, 2014, the reporting person was granted 20,000 restricted stock units, 10 percent of the restricted stock units became vested on December 4, 2015, an additional 20 percent of the restricted stock units became vested on December 4, 2016, an additional 30 percent of the restricted stock units became vested on December 4, 2017, and the remaining balance 40 percent of the restricted stock units will vest on December 4, 2018.</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12/06/2017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701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2019-12-04T01:09:22Z</dcterms:created>
  <dcterms:modified xsi:type="dcterms:W3CDTF">2019-12-04T01:09:22Z</dcterms:modified>
</cp:coreProperties>
</file>