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0"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594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594475"/>
                    </a:xfrm>
                    <a:prstGeom prst="rect">
                      <a:avLst/>
                    </a:prstGeom>
                    <a:noFill/>
                  </pic:spPr>
                </pic:pic>
              </a:graphicData>
            </a:graphic>
          </wp:anchor>
        </w:drawing>
      </w:r>
    </w:p>
    <w:p>
      <w:pPr>
        <w:spacing w:after="0" w:line="96" w:lineRule="exact"/>
        <w:rPr>
          <w:sz w:val="24"/>
          <w:szCs w:val="24"/>
          <w:color w:val="auto"/>
        </w:rPr>
      </w:pPr>
    </w:p>
    <w:p>
      <w:pPr>
        <w:sectPr>
          <w:pgSz w:w="11900" w:h="1695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Bhalla Vikas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EXLSERVICE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02/03/2012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VP &amp; Head of Outsourcing</w:t>
      </w:r>
    </w:p>
    <w:p>
      <w:pPr>
        <w:spacing w:after="0" w:line="406" w:lineRule="exact"/>
        <w:rPr>
          <w:sz w:val="24"/>
          <w:szCs w:val="24"/>
          <w:color w:val="auto"/>
        </w:rPr>
      </w:pPr>
    </w:p>
    <w:p>
      <w:pPr>
        <w:sectPr>
          <w:pgSz w:w="11900" w:h="16958"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60" w:type="dxa"/>
            <w:vAlign w:val="bottom"/>
            <w:gridSpan w:val="6"/>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840" w:type="dxa"/>
            <w:vAlign w:val="bottom"/>
            <w:gridSpan w:val="11"/>
          </w:tcPr>
          <w:p>
            <w:pPr>
              <w:ind w:left="38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gridSpan w:val="3"/>
          </w:tcPr>
          <w:p>
            <w:pPr>
              <w:ind w:left="38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580" w:type="dxa"/>
            <w:vAlign w:val="bottom"/>
            <w:vMerge w:val="restart"/>
          </w:tcPr>
          <w:p>
            <w:pPr>
              <w:ind w:left="20"/>
              <w:spacing w:after="0"/>
              <w:rPr>
                <w:sz w:val="20"/>
                <w:szCs w:val="20"/>
                <w:color w:val="auto"/>
              </w:rPr>
            </w:pPr>
            <w:r>
              <w:rPr>
                <w:rFonts w:ascii="Arial" w:cs="Arial" w:eastAsia="Arial" w:hAnsi="Arial"/>
                <w:sz w:val="18"/>
                <w:szCs w:val="18"/>
                <w:color w:val="0000FF"/>
              </w:rPr>
              <w:t>10017</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gridSpan w:val="8"/>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58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4340" w:type="dxa"/>
            <w:vAlign w:val="bottom"/>
            <w:tcBorders>
              <w:bottom w:val="single" w:sz="8" w:color="2C2C2C"/>
            </w:tcBorders>
            <w:gridSpan w:val="7"/>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jc w:val="center"/>
              <w:ind w:left="73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80" w:type="dxa"/>
            <w:vAlign w:val="bottom"/>
          </w:tcPr>
          <w:p>
            <w:pPr>
              <w:spacing w:after="0"/>
              <w:rPr>
                <w:sz w:val="15"/>
                <w:szCs w:val="15"/>
                <w:color w:val="auto"/>
              </w:rPr>
            </w:pPr>
          </w:p>
        </w:tc>
        <w:tc>
          <w:tcPr>
            <w:tcW w:w="1100" w:type="dxa"/>
            <w:vAlign w:val="bottom"/>
            <w:gridSpan w:val="3"/>
          </w:tcPr>
          <w:p>
            <w:pPr>
              <w:jc w:val="right"/>
              <w:ind w:right="152"/>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gridSpan w:val="3"/>
          </w:tcPr>
          <w:p>
            <w:pPr>
              <w:jc w:val="center"/>
              <w:spacing w:after="0"/>
              <w:rPr>
                <w:sz w:val="20"/>
                <w:szCs w:val="20"/>
                <w:color w:val="auto"/>
              </w:rPr>
            </w:pPr>
            <w:r>
              <w:rPr>
                <w:rFonts w:ascii="Arial" w:cs="Arial" w:eastAsia="Arial" w:hAnsi="Arial"/>
                <w:sz w:val="18"/>
                <w:szCs w:val="18"/>
                <w:color w:val="0000FF"/>
                <w:w w:val="88"/>
              </w:rPr>
              <w:t>02/03/2012</w:t>
            </w: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jc w:val="center"/>
              <w:ind w:right="278"/>
              <w:spacing w:after="0"/>
              <w:rPr>
                <w:sz w:val="20"/>
                <w:szCs w:val="20"/>
                <w:color w:val="auto"/>
              </w:rPr>
            </w:pPr>
            <w:r>
              <w:rPr>
                <w:rFonts w:ascii="Arial" w:cs="Arial" w:eastAsia="Arial" w:hAnsi="Arial"/>
                <w:sz w:val="14"/>
                <w:szCs w:val="14"/>
                <w:color w:val="0000FF"/>
              </w:rPr>
              <w:t>M</w:t>
            </w:r>
          </w:p>
        </w:tc>
        <w:tc>
          <w:tcPr>
            <w:tcW w:w="720" w:type="dxa"/>
            <w:vAlign w:val="bottom"/>
          </w:tcPr>
          <w:p>
            <w:pPr>
              <w:jc w:val="center"/>
              <w:ind w:left="70"/>
              <w:spacing w:after="0"/>
              <w:rPr>
                <w:sz w:val="20"/>
                <w:szCs w:val="20"/>
                <w:color w:val="auto"/>
              </w:rPr>
            </w:pPr>
            <w:r>
              <w:rPr>
                <w:rFonts w:ascii="Arial" w:cs="Arial" w:eastAsia="Arial" w:hAnsi="Arial"/>
                <w:sz w:val="18"/>
                <w:szCs w:val="18"/>
                <w:color w:val="0000FF"/>
                <w:w w:val="86"/>
              </w:rPr>
              <w:t>659</w:t>
            </w:r>
          </w:p>
        </w:tc>
        <w:tc>
          <w:tcPr>
            <w:tcW w:w="680" w:type="dxa"/>
            <w:vAlign w:val="bottom"/>
          </w:tcPr>
          <w:p>
            <w:pPr>
              <w:ind w:left="320"/>
              <w:spacing w:after="0"/>
              <w:rPr>
                <w:sz w:val="20"/>
                <w:szCs w:val="20"/>
                <w:color w:val="auto"/>
              </w:rPr>
            </w:pPr>
            <w:r>
              <w:rPr>
                <w:rFonts w:ascii="Arial" w:cs="Arial" w:eastAsia="Arial" w:hAnsi="Arial"/>
                <w:sz w:val="18"/>
                <w:szCs w:val="18"/>
                <w:color w:val="0000FF"/>
              </w:rPr>
              <w:t>A</w:t>
            </w:r>
          </w:p>
        </w:tc>
        <w:tc>
          <w:tcPr>
            <w:tcW w:w="580" w:type="dxa"/>
            <w:vAlign w:val="bottom"/>
          </w:tcPr>
          <w:p>
            <w:pPr>
              <w:jc w:val="center"/>
              <w:ind w:left="91"/>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ind w:left="340"/>
              <w:spacing w:after="0"/>
              <w:rPr>
                <w:sz w:val="20"/>
                <w:szCs w:val="20"/>
                <w:color w:val="auto"/>
              </w:rPr>
            </w:pPr>
            <w:r>
              <w:rPr>
                <w:rFonts w:ascii="Arial" w:cs="Arial" w:eastAsia="Arial" w:hAnsi="Arial"/>
                <w:sz w:val="18"/>
                <w:szCs w:val="18"/>
                <w:color w:val="0000FF"/>
              </w:rPr>
              <w:t>24,522</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gridSpan w:val="6"/>
          </w:tcPr>
          <w:p>
            <w:pPr>
              <w:spacing w:after="0"/>
              <w:rPr>
                <w:sz w:val="5"/>
                <w:szCs w:val="5"/>
                <w:color w:val="auto"/>
              </w:rPr>
            </w:pPr>
          </w:p>
        </w:tc>
        <w:tc>
          <w:tcPr>
            <w:tcW w:w="110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8"/>
              </w:rPr>
              <w:t>02/03/2012</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jc w:val="center"/>
              <w:ind w:left="70"/>
              <w:spacing w:after="0"/>
              <w:rPr>
                <w:sz w:val="20"/>
                <w:szCs w:val="20"/>
                <w:color w:val="auto"/>
              </w:rPr>
            </w:pPr>
            <w:r>
              <w:rPr>
                <w:rFonts w:ascii="Arial" w:cs="Arial" w:eastAsia="Arial" w:hAnsi="Arial"/>
                <w:sz w:val="18"/>
                <w:szCs w:val="18"/>
                <w:color w:val="0000FF"/>
                <w:w w:val="86"/>
              </w:rPr>
              <w:t>205</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24.37</w:t>
            </w:r>
            <w:r>
              <w:rPr>
                <w:rFonts w:ascii="Arial" w:cs="Arial" w:eastAsia="Arial" w:hAnsi="Arial"/>
                <w:sz w:val="22"/>
                <w:szCs w:val="22"/>
                <w:color w:val="008000"/>
                <w:w w:val="84"/>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24,317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gridSpan w:val="3"/>
          </w:tcPr>
          <w:p>
            <w:pPr>
              <w:jc w:val="center"/>
              <w:spacing w:after="0"/>
              <w:rPr>
                <w:sz w:val="20"/>
                <w:szCs w:val="20"/>
                <w:color w:val="auto"/>
              </w:rPr>
            </w:pPr>
            <w:r>
              <w:rPr>
                <w:rFonts w:ascii="Arial" w:cs="Arial" w:eastAsia="Arial" w:hAnsi="Arial"/>
                <w:sz w:val="18"/>
                <w:szCs w:val="18"/>
                <w:color w:val="0000FF"/>
                <w:w w:val="88"/>
              </w:rPr>
              <w:t>02/04/2012</w:t>
            </w: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jc w:val="center"/>
              <w:ind w:right="278"/>
              <w:spacing w:after="0"/>
              <w:rPr>
                <w:sz w:val="20"/>
                <w:szCs w:val="20"/>
                <w:color w:val="auto"/>
              </w:rPr>
            </w:pPr>
            <w:r>
              <w:rPr>
                <w:rFonts w:ascii="Arial" w:cs="Arial" w:eastAsia="Arial" w:hAnsi="Arial"/>
                <w:sz w:val="14"/>
                <w:szCs w:val="14"/>
                <w:color w:val="0000FF"/>
              </w:rPr>
              <w:t>M</w:t>
            </w:r>
          </w:p>
        </w:tc>
        <w:tc>
          <w:tcPr>
            <w:tcW w:w="720" w:type="dxa"/>
            <w:vAlign w:val="bottom"/>
          </w:tcPr>
          <w:p>
            <w:pPr>
              <w:jc w:val="center"/>
              <w:ind w:left="90"/>
              <w:spacing w:after="0"/>
              <w:rPr>
                <w:sz w:val="20"/>
                <w:szCs w:val="20"/>
                <w:color w:val="auto"/>
              </w:rPr>
            </w:pPr>
            <w:r>
              <w:rPr>
                <w:rFonts w:ascii="Arial" w:cs="Arial" w:eastAsia="Arial" w:hAnsi="Arial"/>
                <w:sz w:val="18"/>
                <w:szCs w:val="18"/>
                <w:color w:val="0000FF"/>
                <w:w w:val="88"/>
              </w:rPr>
              <w:t>3,200</w:t>
            </w:r>
          </w:p>
        </w:tc>
        <w:tc>
          <w:tcPr>
            <w:tcW w:w="680" w:type="dxa"/>
            <w:vAlign w:val="bottom"/>
          </w:tcPr>
          <w:p>
            <w:pPr>
              <w:ind w:left="320"/>
              <w:spacing w:after="0"/>
              <w:rPr>
                <w:sz w:val="20"/>
                <w:szCs w:val="20"/>
                <w:color w:val="auto"/>
              </w:rPr>
            </w:pPr>
            <w:r>
              <w:rPr>
                <w:rFonts w:ascii="Arial" w:cs="Arial" w:eastAsia="Arial" w:hAnsi="Arial"/>
                <w:sz w:val="18"/>
                <w:szCs w:val="18"/>
                <w:color w:val="0000FF"/>
              </w:rPr>
              <w:t>A</w:t>
            </w:r>
          </w:p>
        </w:tc>
        <w:tc>
          <w:tcPr>
            <w:tcW w:w="580" w:type="dxa"/>
            <w:vAlign w:val="bottom"/>
          </w:tcPr>
          <w:p>
            <w:pPr>
              <w:jc w:val="center"/>
              <w:ind w:left="91"/>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ind w:left="340"/>
              <w:spacing w:after="0"/>
              <w:rPr>
                <w:sz w:val="20"/>
                <w:szCs w:val="20"/>
                <w:color w:val="auto"/>
              </w:rPr>
            </w:pPr>
            <w:r>
              <w:rPr>
                <w:rFonts w:ascii="Arial" w:cs="Arial" w:eastAsia="Arial" w:hAnsi="Arial"/>
                <w:sz w:val="18"/>
                <w:szCs w:val="18"/>
                <w:color w:val="0000FF"/>
              </w:rPr>
              <w:t>27,517</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gridSpan w:val="6"/>
          </w:tcPr>
          <w:p>
            <w:pPr>
              <w:spacing w:after="0"/>
              <w:rPr>
                <w:sz w:val="5"/>
                <w:szCs w:val="5"/>
                <w:color w:val="auto"/>
              </w:rPr>
            </w:pPr>
          </w:p>
        </w:tc>
        <w:tc>
          <w:tcPr>
            <w:tcW w:w="110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8"/>
              </w:rPr>
              <w:t>02/04/2012</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jc w:val="center"/>
              <w:ind w:left="70"/>
              <w:spacing w:after="0"/>
              <w:rPr>
                <w:sz w:val="20"/>
                <w:szCs w:val="20"/>
                <w:color w:val="auto"/>
              </w:rPr>
            </w:pPr>
            <w:r>
              <w:rPr>
                <w:rFonts w:ascii="Arial" w:cs="Arial" w:eastAsia="Arial" w:hAnsi="Arial"/>
                <w:sz w:val="18"/>
                <w:szCs w:val="18"/>
                <w:color w:val="0000FF"/>
                <w:w w:val="86"/>
              </w:rPr>
              <w:t>989</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24.525</w:t>
            </w:r>
            <w:r>
              <w:rPr>
                <w:rFonts w:ascii="Arial" w:cs="Arial" w:eastAsia="Arial" w:hAnsi="Arial"/>
                <w:sz w:val="22"/>
                <w:szCs w:val="22"/>
                <w:color w:val="008000"/>
                <w:w w:val="84"/>
                <w:vertAlign w:val="superscript"/>
              </w:rPr>
              <w:t>(4)</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26,528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jc w:val="center"/>
              <w:ind w:left="8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8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Amount of</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0000FF"/>
                <w:w w:val="87"/>
              </w:rPr>
              <w:t>Stock,</w:t>
            </w:r>
          </w:p>
        </w:tc>
        <w:tc>
          <w:tcPr>
            <w:tcW w:w="580" w:type="dxa"/>
            <w:vAlign w:val="bottom"/>
            <w:vMerge w:val="restart"/>
          </w:tcPr>
          <w:p>
            <w:pPr>
              <w:jc w:val="right"/>
              <w:ind w:right="111"/>
              <w:spacing w:after="0"/>
              <w:rPr>
                <w:sz w:val="20"/>
                <w:szCs w:val="20"/>
                <w:color w:val="auto"/>
              </w:rPr>
            </w:pPr>
            <w:r>
              <w:rPr>
                <w:rFonts w:ascii="Arial" w:cs="Arial" w:eastAsia="Arial" w:hAnsi="Arial"/>
                <w:sz w:val="18"/>
                <w:szCs w:val="18"/>
                <w:color w:val="0000FF"/>
              </w:rPr>
              <w:t>659</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0" w:type="dxa"/>
            <w:vAlign w:val="bottom"/>
          </w:tcPr>
          <w:p>
            <w:pPr>
              <w:spacing w:after="0"/>
              <w:rPr>
                <w:sz w:val="5"/>
                <w:szCs w:val="5"/>
                <w:color w:val="auto"/>
              </w:rPr>
            </w:pPr>
          </w:p>
        </w:tc>
        <w:tc>
          <w:tcPr>
            <w:tcW w:w="108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02/03/2012</w:t>
            </w: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vMerge w:val="restart"/>
          </w:tcPr>
          <w:p>
            <w:pPr>
              <w:jc w:val="right"/>
              <w:ind w:right="132"/>
              <w:spacing w:after="0" w:line="149"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5"/>
                <w:szCs w:val="5"/>
                <w:color w:val="auto"/>
              </w:rPr>
            </w:pPr>
          </w:p>
        </w:tc>
        <w:tc>
          <w:tcPr>
            <w:tcW w:w="760" w:type="dxa"/>
            <w:vAlign w:val="bottom"/>
            <w:vMerge w:val="restart"/>
          </w:tcPr>
          <w:p>
            <w:pPr>
              <w:jc w:val="right"/>
              <w:ind w:right="118"/>
              <w:spacing w:after="0" w:line="149" w:lineRule="exact"/>
              <w:rPr>
                <w:sz w:val="20"/>
                <w:szCs w:val="20"/>
                <w:color w:val="auto"/>
              </w:rPr>
            </w:pPr>
            <w:r>
              <w:rPr>
                <w:rFonts w:ascii="Arial" w:cs="Arial" w:eastAsia="Arial" w:hAnsi="Arial"/>
                <w:sz w:val="14"/>
                <w:szCs w:val="14"/>
                <w:color w:val="0000FF"/>
              </w:rPr>
              <w:t>659</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9" w:lineRule="exact"/>
              <w:rPr>
                <w:sz w:val="20"/>
                <w:szCs w:val="20"/>
                <w:color w:val="auto"/>
              </w:rPr>
            </w:pPr>
            <w:r>
              <w:rPr>
                <w:rFonts w:ascii="Arial" w:cs="Arial" w:eastAsia="Arial" w:hAnsi="Arial"/>
                <w:sz w:val="14"/>
                <w:szCs w:val="14"/>
                <w:color w:val="0000FF"/>
              </w:rPr>
              <w:t>3,771</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$0.001</w:t>
            </w: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4"/>
                <w:szCs w:val="14"/>
                <w:color w:val="0000FF"/>
                <w:w w:val="97"/>
              </w:rPr>
              <w:t>per share</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(6)</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0000FF"/>
                <w:w w:val="87"/>
              </w:rPr>
              <w:t>Stock,</w:t>
            </w:r>
          </w:p>
        </w:tc>
        <w:tc>
          <w:tcPr>
            <w:tcW w:w="580" w:type="dxa"/>
            <w:vAlign w:val="bottom"/>
            <w:vMerge w:val="restart"/>
          </w:tcPr>
          <w:p>
            <w:pPr>
              <w:jc w:val="right"/>
              <w:ind w:right="31"/>
              <w:spacing w:after="0"/>
              <w:rPr>
                <w:sz w:val="20"/>
                <w:szCs w:val="20"/>
                <w:color w:val="auto"/>
              </w:rPr>
            </w:pPr>
            <w:r>
              <w:rPr>
                <w:rFonts w:ascii="Arial" w:cs="Arial" w:eastAsia="Arial" w:hAnsi="Arial"/>
                <w:sz w:val="18"/>
                <w:szCs w:val="18"/>
                <w:color w:val="0000FF"/>
              </w:rPr>
              <w:t>3,200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0" w:type="dxa"/>
            <w:vAlign w:val="bottom"/>
          </w:tcPr>
          <w:p>
            <w:pPr>
              <w:spacing w:after="0"/>
              <w:rPr>
                <w:sz w:val="5"/>
                <w:szCs w:val="5"/>
                <w:color w:val="auto"/>
              </w:rPr>
            </w:pPr>
          </w:p>
        </w:tc>
        <w:tc>
          <w:tcPr>
            <w:tcW w:w="108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02/04/2012</w:t>
            </w: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vMerge w:val="restart"/>
          </w:tcPr>
          <w:p>
            <w:pPr>
              <w:jc w:val="right"/>
              <w:ind w:right="132"/>
              <w:spacing w:after="0" w:line="149"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5"/>
                <w:szCs w:val="5"/>
                <w:color w:val="auto"/>
              </w:rPr>
            </w:pPr>
          </w:p>
        </w:tc>
        <w:tc>
          <w:tcPr>
            <w:tcW w:w="760" w:type="dxa"/>
            <w:vAlign w:val="bottom"/>
            <w:vMerge w:val="restart"/>
          </w:tcPr>
          <w:p>
            <w:pPr>
              <w:jc w:val="right"/>
              <w:ind w:right="78"/>
              <w:spacing w:after="0" w:line="149" w:lineRule="exact"/>
              <w:rPr>
                <w:sz w:val="20"/>
                <w:szCs w:val="20"/>
                <w:color w:val="auto"/>
              </w:rPr>
            </w:pPr>
            <w:r>
              <w:rPr>
                <w:rFonts w:ascii="Arial" w:cs="Arial" w:eastAsia="Arial" w:hAnsi="Arial"/>
                <w:sz w:val="14"/>
                <w:szCs w:val="14"/>
                <w:color w:val="0000FF"/>
              </w:rPr>
              <w:t>3,200</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9" w:lineRule="exact"/>
              <w:rPr>
                <w:sz w:val="20"/>
                <w:szCs w:val="20"/>
                <w:color w:val="auto"/>
              </w:rPr>
            </w:pPr>
            <w:r>
              <w:rPr>
                <w:rFonts w:ascii="Arial" w:cs="Arial" w:eastAsia="Arial" w:hAnsi="Arial"/>
                <w:sz w:val="14"/>
                <w:szCs w:val="14"/>
                <w:color w:val="0000FF"/>
              </w:rPr>
              <w:t>11,200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0000FF"/>
                <w:w w:val="88"/>
              </w:rPr>
              <w:t>$0.001</w:t>
            </w: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February 3, 2012, ExlService Holdings, Inc. (the "Company") issued 659 shares of common stock, par value $0.001 per share ("Common Stock"), to the reporting person upon the vesting of shares of restricted stock previously granted to the reporting person.</w:t>
      </w:r>
    </w:p>
    <w:p>
      <w:pPr>
        <w:spacing w:after="0" w:line="30" w:lineRule="exact"/>
        <w:rPr>
          <w:rFonts w:ascii="Arial" w:cs="Arial" w:eastAsia="Arial" w:hAnsi="Arial"/>
          <w:sz w:val="14"/>
          <w:szCs w:val="14"/>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3, 2012.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February 4, 2012, ExlService Holdings, Inc. (the "Company") issued 3,200 shares of common stock, par value $0.001 per share ("Common Stock"), to the reporting person upon the vesting of shares of restricted stock previously granted to the reporting person.</w:t>
      </w:r>
    </w:p>
    <w:p>
      <w:pPr>
        <w:spacing w:after="0" w:line="30" w:lineRule="exact"/>
        <w:rPr>
          <w:rFonts w:ascii="Arial" w:cs="Arial" w:eastAsia="Arial" w:hAnsi="Arial"/>
          <w:sz w:val="14"/>
          <w:szCs w:val="14"/>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4, 2012.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659 shares of restricted stock vested on February 3, 2012; an additional 1,010 shares of restricted stock will vest on February 3, 2013; another 1,361 shares of restricted stock will vest on February 3, 2014; and the remaining 1,400 shares of restricted stock will vest on February 3, 2015.</w:t>
      </w:r>
    </w:p>
    <w:p>
      <w:pPr>
        <w:spacing w:after="0" w:line="30" w:lineRule="exact"/>
        <w:rPr>
          <w:rFonts w:ascii="Arial" w:cs="Arial" w:eastAsia="Arial" w:hAnsi="Arial"/>
          <w:sz w:val="14"/>
          <w:szCs w:val="14"/>
          <w:color w:val="008000"/>
        </w:rPr>
      </w:pPr>
    </w:p>
    <w:p>
      <w:pPr>
        <w:ind w:left="40" w:right="6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3,200 shares of restricted stock vested on February 4, 2012; an additional 4,800 shares of restricted stock will vest on February 4, 2013; and the remaining 6,400 shares of restricted stock will vest on February 4, 2014.</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02/07/2012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418"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958"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4"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2019-12-16T15:17:27Z</dcterms:created>
  <dcterms:modified xsi:type="dcterms:W3CDTF">2019-12-16T15:17:27Z</dcterms:modified>
</cp:coreProperties>
</file>