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6216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1665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60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Miglani Nalin Kumar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4"/>
        <w:spacing w:after="0"/>
        <w:rPr>
          <w:sz w:val="20"/>
          <w:szCs w:val="20"/>
          <w:color w:val="auto"/>
        </w:rPr>
      </w:pPr>
      <w:r>
        <w:rPr>
          <w:rFonts w:ascii="Arial" w:cs="Arial" w:eastAsia="Arial" w:hAnsi="Arial"/>
          <w:sz w:val="17"/>
          <w:szCs w:val="17"/>
          <w:color w:val="0000FF"/>
        </w:rPr>
        <w:t>EVP and Chief HR Officer</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609"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60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02/19/2022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1,749</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11,270</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02/19/2022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968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114.2</w:t>
            </w:r>
            <w:r>
              <w:rPr>
                <w:rFonts w:ascii="Arial" w:cs="Arial" w:eastAsia="Arial" w:hAnsi="Arial"/>
                <w:sz w:val="21"/>
                <w:szCs w:val="21"/>
                <w:color w:val="008000"/>
                <w:w w:val="86"/>
                <w:vertAlign w:val="superscript"/>
              </w:rPr>
              <w:t>(2)</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10,302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02/20/2022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9"/>
              </w:rPr>
              <w:t>1,544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1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11,846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02/20/2022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1"/>
              </w:rPr>
              <w:t>854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114.2</w:t>
            </w:r>
            <w:r>
              <w:rPr>
                <w:rFonts w:ascii="Arial" w:cs="Arial" w:eastAsia="Arial" w:hAnsi="Arial"/>
                <w:sz w:val="21"/>
                <w:szCs w:val="21"/>
                <w:color w:val="008000"/>
                <w:w w:val="86"/>
                <w:vertAlign w:val="superscript"/>
              </w:rPr>
              <w:t>(3)</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10,992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1,749</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02/19/2022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1,749</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3,498</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1,544</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9"/>
              <w:spacing w:after="0" w:line="143" w:lineRule="exact"/>
              <w:rPr>
                <w:sz w:val="20"/>
                <w:szCs w:val="20"/>
                <w:color w:val="auto"/>
              </w:rPr>
            </w:pPr>
            <w:r>
              <w:rPr>
                <w:rFonts w:ascii="Arial" w:cs="Arial" w:eastAsia="Arial" w:hAnsi="Arial"/>
                <w:sz w:val="13"/>
                <w:szCs w:val="13"/>
                <w:color w:val="0000FF"/>
              </w:rPr>
              <w:t>02/20/2022</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43" w:lineRule="exact"/>
              <w:rPr>
                <w:sz w:val="20"/>
                <w:szCs w:val="20"/>
                <w:color w:val="auto"/>
              </w:rPr>
            </w:pPr>
            <w:r>
              <w:rPr>
                <w:rFonts w:ascii="Arial" w:cs="Arial" w:eastAsia="Arial" w:hAnsi="Arial"/>
                <w:sz w:val="13"/>
                <w:szCs w:val="13"/>
                <w:color w:val="0000FF"/>
              </w:rPr>
              <w:t>1,544</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40"/>
              <w:spacing w:after="0" w:line="143" w:lineRule="exact"/>
              <w:rPr>
                <w:sz w:val="20"/>
                <w:szCs w:val="20"/>
                <w:color w:val="auto"/>
              </w:rPr>
            </w:pPr>
            <w:r>
              <w:rPr>
                <w:rFonts w:ascii="Arial" w:cs="Arial" w:eastAsia="Arial" w:hAnsi="Arial"/>
                <w:sz w:val="13"/>
                <w:szCs w:val="13"/>
                <w:color w:val="0000FF"/>
              </w:rPr>
              <w:t>1,545</w:t>
            </w:r>
          </w:p>
        </w:tc>
        <w:tc>
          <w:tcPr>
            <w:tcW w:w="74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Arial" w:cs="Arial" w:eastAsia="Arial" w:hAnsi="Arial"/>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19,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19, 2020, the reporting person was granted 6,995 restricted stock units, vesting in four annual installments beginning on the first anniversary of the grant date. 25 percent of the restricted stock units became vested on February 19, 2021, an additional twenty-five percent of the restricted stock units became vested on February 19, 2022, an additional twenty-five percent of the restricted stock units will vest on February 19, 2023, and the remaining balance of twenty-five percent of the restricted stock units will vest on February 19, 2024.</w:t>
      </w:r>
    </w:p>
    <w:p>
      <w:pPr>
        <w:spacing w:after="0" w:line="30" w:lineRule="exact"/>
        <w:rPr>
          <w:rFonts w:ascii="Arial" w:cs="Arial" w:eastAsia="Arial" w:hAnsi="Arial"/>
          <w:sz w:val="13"/>
          <w:szCs w:val="13"/>
          <w:color w:val="008000"/>
        </w:rPr>
      </w:pPr>
    </w:p>
    <w:p>
      <w:pPr>
        <w:ind w:left="40" w:right="26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2019, the reporting person was granted 6,175 restricted stock units, vesting in four annual installments beginning on the first anniversary of the grant date. 25 percent of the restricted stock units became vested on February 20, 2020, an additional twenty-five percent of the restricted stock units became vested on February 20, 2021, an additional twenty-five percent of the restricted stock units became vested on February 20, 2022; and the remaining balance of twenty-five percent of the restricted stock units will vest on February 20, 2023.</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7"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60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2022-02-23T17:05:21Z</dcterms:created>
  <dcterms:modified xsi:type="dcterms:W3CDTF">2022-02-23T17:05:21Z</dcterms:modified>
</cp:coreProperties>
</file>